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bidi w:val="0"/>
        <w:jc w:val="center"/>
        <w:rPr>
          <w:rFonts w:hint="eastAsia" w:eastAsia="宋体"/>
          <w:b/>
          <w:bCs/>
          <w:color w:val="auto"/>
          <w:sz w:val="36"/>
          <w:szCs w:val="36"/>
          <w:lang w:val="en-US" w:eastAsia="zh-CN"/>
        </w:rPr>
      </w:pPr>
      <w:bookmarkStart w:id="0" w:name="_Toc306034534"/>
      <w:bookmarkStart w:id="1" w:name="_Toc219258512"/>
      <w:bookmarkStart w:id="2" w:name="_Toc280188828"/>
      <w:bookmarkStart w:id="3" w:name="_Toc304810284"/>
      <w:bookmarkStart w:id="4" w:name="_Toc220122790"/>
      <w:bookmarkStart w:id="5" w:name="_Toc32740"/>
      <w:r>
        <w:rPr>
          <w:rFonts w:hint="eastAsia"/>
          <w:b/>
          <w:bCs/>
          <w:color w:val="auto"/>
          <w:sz w:val="36"/>
          <w:szCs w:val="36"/>
          <w:lang w:val="en-US" w:eastAsia="zh-CN"/>
        </w:rPr>
        <w:t xml:space="preserve"> </w:t>
      </w:r>
    </w:p>
    <w:p>
      <w:pPr>
        <w:pStyle w:val="33"/>
        <w:keepNext w:val="0"/>
        <w:keepLines w:val="0"/>
        <w:pageBreakBefore w:val="0"/>
        <w:widowControl w:val="0"/>
        <w:kinsoku/>
        <w:wordWrap/>
        <w:overflowPunct/>
        <w:topLinePunct w:val="0"/>
        <w:autoSpaceDE/>
        <w:autoSpaceDN/>
        <w:bidi w:val="0"/>
        <w:adjustRightInd/>
        <w:snapToGrid/>
        <w:spacing w:line="600" w:lineRule="auto"/>
        <w:jc w:val="center"/>
        <w:textAlignment w:val="auto"/>
        <w:rPr>
          <w:b/>
          <w:bCs/>
          <w:color w:val="auto"/>
          <w:sz w:val="44"/>
          <w:szCs w:val="44"/>
        </w:rPr>
      </w:pPr>
      <w:r>
        <w:rPr>
          <w:rFonts w:hint="eastAsia"/>
          <w:b/>
          <w:bCs/>
          <w:color w:val="auto"/>
          <w:sz w:val="44"/>
          <w:szCs w:val="44"/>
        </w:rPr>
        <w:t>岳阳市凌峰化工有限公司</w:t>
      </w:r>
    </w:p>
    <w:p>
      <w:pPr>
        <w:pStyle w:val="33"/>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rPr>
          <w:b/>
          <w:bCs/>
          <w:color w:val="auto"/>
          <w:sz w:val="44"/>
          <w:szCs w:val="44"/>
        </w:rPr>
      </w:pPr>
      <w:r>
        <w:rPr>
          <w:rFonts w:hint="eastAsia"/>
          <w:b/>
          <w:bCs/>
          <w:color w:val="auto"/>
          <w:sz w:val="44"/>
          <w:szCs w:val="44"/>
        </w:rPr>
        <w:t>1.5万吨/年碳酸二甲酯及1万吨/醋酸甲酯项目</w:t>
      </w: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240" w:lineRule="auto"/>
        <w:jc w:val="center"/>
        <w:textAlignment w:val="auto"/>
        <w:rPr>
          <w:rFonts w:hint="eastAsia"/>
          <w:b/>
          <w:bCs/>
          <w:color w:val="auto"/>
          <w:sz w:val="72"/>
          <w:szCs w:val="72"/>
          <w:lang w:val="en-US" w:eastAsia="zh-CN"/>
        </w:rPr>
      </w:pPr>
      <w:r>
        <w:rPr>
          <w:rFonts w:hint="eastAsia" w:ascii="Times New Roman" w:eastAsia="宋体"/>
          <w:b/>
          <w:bCs/>
          <w:color w:val="auto"/>
          <w:sz w:val="72"/>
          <w:szCs w:val="72"/>
          <w:lang w:val="en-US" w:eastAsia="zh-CN"/>
        </w:rPr>
        <w:t>环境影响报告书</w:t>
      </w: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240" w:lineRule="auto"/>
        <w:jc w:val="center"/>
        <w:textAlignment w:val="auto"/>
        <w:rPr>
          <w:rFonts w:hint="eastAsia" w:ascii="Times New Roman" w:eastAsia="宋体"/>
          <w:b/>
          <w:bCs/>
          <w:color w:val="auto"/>
          <w:sz w:val="44"/>
          <w:szCs w:val="44"/>
          <w:lang w:val="en-US" w:eastAsia="zh-CN"/>
        </w:rPr>
      </w:pPr>
      <w:r>
        <w:rPr>
          <w:rFonts w:hint="eastAsia" w:ascii="Times New Roman" w:eastAsia="宋体"/>
          <w:b/>
          <w:bCs/>
          <w:color w:val="auto"/>
          <w:sz w:val="44"/>
          <w:szCs w:val="44"/>
          <w:lang w:val="en-US" w:eastAsia="zh-CN"/>
        </w:rPr>
        <w:t>（</w:t>
      </w:r>
      <w:r>
        <w:rPr>
          <w:rFonts w:hint="eastAsia"/>
          <w:b/>
          <w:bCs/>
          <w:color w:val="auto"/>
          <w:sz w:val="44"/>
          <w:szCs w:val="44"/>
          <w:lang w:val="en-US" w:eastAsia="zh-CN"/>
        </w:rPr>
        <w:t>报批稿</w:t>
      </w:r>
      <w:r>
        <w:rPr>
          <w:rFonts w:hint="eastAsia" w:ascii="Times New Roman" w:eastAsia="宋体"/>
          <w:b/>
          <w:bCs/>
          <w:color w:val="auto"/>
          <w:sz w:val="44"/>
          <w:szCs w:val="44"/>
          <w:lang w:val="en-US" w:eastAsia="zh-CN"/>
        </w:rPr>
        <w:t>）</w:t>
      </w:r>
    </w:p>
    <w:p>
      <w:pPr>
        <w:pStyle w:val="71"/>
        <w:bidi w:val="0"/>
        <w:rPr>
          <w:rFonts w:hint="eastAsia"/>
          <w:color w:val="auto"/>
          <w:lang w:val="en-US" w:eastAsia="zh-CN"/>
        </w:rPr>
      </w:pPr>
    </w:p>
    <w:p>
      <w:pPr>
        <w:pStyle w:val="71"/>
        <w:bidi w:val="0"/>
        <w:rPr>
          <w:rFonts w:hint="eastAsia"/>
          <w:color w:val="auto"/>
          <w:lang w:val="en-US" w:eastAsia="zh-CN"/>
        </w:rPr>
      </w:pPr>
    </w:p>
    <w:p>
      <w:pPr>
        <w:pStyle w:val="71"/>
        <w:bidi w:val="0"/>
        <w:rPr>
          <w:rFonts w:hint="eastAsia"/>
          <w:color w:val="auto"/>
          <w:lang w:val="en-US" w:eastAsia="zh-CN"/>
        </w:rPr>
      </w:pPr>
    </w:p>
    <w:p>
      <w:pPr>
        <w:pStyle w:val="71"/>
        <w:bidi w:val="0"/>
        <w:rPr>
          <w:rFonts w:hint="eastAsia"/>
          <w:color w:val="auto"/>
          <w:lang w:val="en-US" w:eastAsia="zh-CN"/>
        </w:rPr>
      </w:pPr>
    </w:p>
    <w:p>
      <w:pPr>
        <w:pStyle w:val="71"/>
        <w:bidi w:val="0"/>
        <w:rPr>
          <w:rFonts w:hint="eastAsia"/>
          <w:color w:val="auto"/>
          <w:lang w:val="en-US" w:eastAsia="zh-CN"/>
        </w:rPr>
      </w:pPr>
    </w:p>
    <w:p>
      <w:pPr>
        <w:pStyle w:val="71"/>
        <w:bidi w:val="0"/>
        <w:rPr>
          <w:rFonts w:hint="eastAsia"/>
          <w:color w:val="auto"/>
          <w:lang w:val="en-US" w:eastAsia="zh-CN"/>
        </w:rPr>
      </w:pPr>
    </w:p>
    <w:p>
      <w:pPr>
        <w:pStyle w:val="71"/>
        <w:bidi w:val="0"/>
        <w:rPr>
          <w:rFonts w:hint="eastAsia"/>
          <w:color w:val="auto"/>
          <w:lang w:val="en-US" w:eastAsia="zh-CN"/>
        </w:rPr>
      </w:pPr>
    </w:p>
    <w:p>
      <w:pPr>
        <w:pStyle w:val="71"/>
        <w:bidi w:val="0"/>
        <w:rPr>
          <w:rFonts w:hint="eastAsia"/>
          <w:color w:val="auto"/>
          <w:lang w:val="en-US" w:eastAsia="zh-CN"/>
        </w:rPr>
      </w:pPr>
    </w:p>
    <w:p>
      <w:pPr>
        <w:pStyle w:val="71"/>
        <w:bidi w:val="0"/>
        <w:rPr>
          <w:rFonts w:hint="eastAsia"/>
          <w:color w:val="auto"/>
          <w:lang w:val="en-US" w:eastAsia="zh-CN"/>
        </w:rPr>
      </w:pPr>
    </w:p>
    <w:p>
      <w:pPr>
        <w:pStyle w:val="71"/>
        <w:bidi w:val="0"/>
        <w:rPr>
          <w:rFonts w:hint="eastAsia"/>
          <w:color w:val="auto"/>
          <w:lang w:val="en-US" w:eastAsia="zh-CN"/>
        </w:rPr>
      </w:pPr>
    </w:p>
    <w:p>
      <w:pPr>
        <w:pStyle w:val="71"/>
        <w:bidi w:val="0"/>
        <w:rPr>
          <w:rFonts w:hint="eastAsia"/>
          <w:color w:val="auto"/>
          <w:lang w:val="en-US" w:eastAsia="zh-CN"/>
        </w:rPr>
      </w:pPr>
    </w:p>
    <w:p>
      <w:pPr>
        <w:pStyle w:val="71"/>
        <w:bidi w:val="0"/>
        <w:rPr>
          <w:rFonts w:hint="eastAsia"/>
          <w:color w:val="auto"/>
          <w:lang w:val="en-US" w:eastAsia="zh-CN"/>
        </w:rPr>
      </w:pPr>
    </w:p>
    <w:p>
      <w:pPr>
        <w:rPr>
          <w:rFonts w:hint="eastAsia"/>
          <w:color w:val="auto"/>
          <w:lang w:val="en-US" w:eastAsia="zh-CN"/>
        </w:rPr>
      </w:pPr>
    </w:p>
    <w:p>
      <w:pPr>
        <w:keepNext w:val="0"/>
        <w:keepLines w:val="0"/>
        <w:pageBreakBefore w:val="0"/>
        <w:widowControl/>
        <w:kinsoku/>
        <w:wordWrap/>
        <w:overflowPunct/>
        <w:topLinePunct w:val="0"/>
        <w:autoSpaceDE w:val="0"/>
        <w:autoSpaceDN w:val="0"/>
        <w:bidi w:val="0"/>
        <w:adjustRightInd/>
        <w:snapToGrid/>
        <w:spacing w:before="157" w:beforeLines="50" w:after="157" w:afterLines="50" w:line="360" w:lineRule="auto"/>
        <w:jc w:val="center"/>
        <w:textAlignment w:val="auto"/>
        <w:rPr>
          <w:rFonts w:hint="eastAsia" w:ascii="Times New Roman"/>
          <w:b/>
          <w:bCs/>
          <w:color w:val="auto"/>
          <w:sz w:val="32"/>
          <w:szCs w:val="32"/>
          <w:u w:val="single"/>
          <w:lang w:val="en-US" w:eastAsia="zh-CN"/>
        </w:rPr>
      </w:pPr>
      <w:r>
        <w:rPr>
          <w:rFonts w:hint="eastAsia" w:ascii="Times New Roman"/>
          <w:b/>
          <w:bCs/>
          <w:color w:val="auto"/>
          <w:sz w:val="32"/>
          <w:szCs w:val="32"/>
          <w:lang w:val="en-US" w:eastAsia="zh-CN"/>
        </w:rPr>
        <w:t>建设单位：</w:t>
      </w:r>
      <w:r>
        <w:rPr>
          <w:rFonts w:hint="eastAsia" w:ascii="Times New Roman"/>
          <w:b/>
          <w:bCs/>
          <w:color w:val="auto"/>
          <w:sz w:val="32"/>
          <w:szCs w:val="32"/>
          <w:u w:val="single"/>
          <w:lang w:val="en-US" w:eastAsia="zh-CN"/>
        </w:rPr>
        <w:t>岳阳市凌峰化工有限公司</w:t>
      </w:r>
    </w:p>
    <w:p>
      <w:pPr>
        <w:keepNext w:val="0"/>
        <w:keepLines w:val="0"/>
        <w:pageBreakBefore w:val="0"/>
        <w:widowControl/>
        <w:kinsoku/>
        <w:wordWrap/>
        <w:overflowPunct/>
        <w:topLinePunct w:val="0"/>
        <w:autoSpaceDE w:val="0"/>
        <w:autoSpaceDN w:val="0"/>
        <w:bidi w:val="0"/>
        <w:adjustRightInd/>
        <w:snapToGrid/>
        <w:spacing w:before="157" w:beforeLines="50" w:after="157" w:afterLines="50" w:line="360" w:lineRule="auto"/>
        <w:jc w:val="center"/>
        <w:textAlignment w:val="auto"/>
        <w:rPr>
          <w:rFonts w:hint="eastAsia" w:ascii="Times New Roman" w:eastAsia="宋体"/>
          <w:b/>
          <w:bCs/>
          <w:color w:val="auto"/>
          <w:sz w:val="32"/>
          <w:szCs w:val="32"/>
          <w:u w:val="single"/>
          <w:lang w:val="en-US" w:eastAsia="zh-CN"/>
        </w:rPr>
      </w:pPr>
      <w:r>
        <w:rPr>
          <w:rFonts w:hint="eastAsia" w:ascii="Times New Roman"/>
          <w:b/>
          <w:bCs/>
          <w:color w:val="auto"/>
          <w:sz w:val="32"/>
          <w:szCs w:val="32"/>
          <w:lang w:val="en-US" w:eastAsia="zh-CN"/>
        </w:rPr>
        <w:t>编制单位：</w:t>
      </w:r>
      <w:r>
        <w:rPr>
          <w:rFonts w:hint="eastAsia" w:ascii="Times New Roman" w:eastAsia="宋体"/>
          <w:b/>
          <w:bCs/>
          <w:color w:val="auto"/>
          <w:sz w:val="32"/>
          <w:szCs w:val="32"/>
          <w:u w:val="single"/>
          <w:lang w:val="en-US" w:eastAsia="zh-CN"/>
        </w:rPr>
        <w:t>湖南衡润科技有限公司</w:t>
      </w:r>
    </w:p>
    <w:p>
      <w:pPr>
        <w:keepNext w:val="0"/>
        <w:keepLines w:val="0"/>
        <w:pageBreakBefore w:val="0"/>
        <w:widowControl/>
        <w:kinsoku/>
        <w:wordWrap/>
        <w:overflowPunct/>
        <w:topLinePunct w:val="0"/>
        <w:autoSpaceDE w:val="0"/>
        <w:autoSpaceDN w:val="0"/>
        <w:bidi w:val="0"/>
        <w:adjustRightInd/>
        <w:snapToGrid/>
        <w:spacing w:before="157" w:beforeLines="50" w:after="157" w:afterLines="50" w:line="360" w:lineRule="auto"/>
        <w:jc w:val="center"/>
        <w:textAlignment w:val="auto"/>
        <w:rPr>
          <w:rFonts w:hint="eastAsia"/>
          <w:b/>
          <w:bCs/>
          <w:color w:val="auto"/>
          <w:sz w:val="32"/>
          <w:szCs w:val="32"/>
          <w:lang w:val="en-US" w:eastAsia="zh-CN"/>
        </w:rPr>
      </w:pPr>
      <w:r>
        <w:rPr>
          <w:rFonts w:hint="eastAsia" w:ascii="Times New Roman" w:eastAsia="宋体"/>
          <w:b/>
          <w:bCs/>
          <w:color w:val="auto"/>
          <w:sz w:val="32"/>
          <w:szCs w:val="32"/>
          <w:lang w:val="en-US" w:eastAsia="zh-CN"/>
        </w:rPr>
        <w:t>二〇二</w:t>
      </w:r>
      <w:r>
        <w:rPr>
          <w:rFonts w:hint="eastAsia" w:ascii="Times New Roman"/>
          <w:b/>
          <w:bCs/>
          <w:color w:val="auto"/>
          <w:sz w:val="32"/>
          <w:szCs w:val="32"/>
          <w:lang w:val="en-US" w:eastAsia="zh-CN"/>
        </w:rPr>
        <w:t>一</w:t>
      </w:r>
      <w:r>
        <w:rPr>
          <w:rFonts w:hint="eastAsia" w:ascii="Times New Roman" w:eastAsia="宋体"/>
          <w:b/>
          <w:bCs/>
          <w:color w:val="auto"/>
          <w:sz w:val="32"/>
          <w:szCs w:val="32"/>
          <w:lang w:val="en-US" w:eastAsia="zh-CN"/>
        </w:rPr>
        <w:t>年</w:t>
      </w:r>
      <w:r>
        <w:rPr>
          <w:rFonts w:hint="eastAsia"/>
          <w:b/>
          <w:bCs/>
          <w:color w:val="auto"/>
          <w:sz w:val="32"/>
          <w:szCs w:val="32"/>
          <w:lang w:val="en-US" w:eastAsia="zh-CN"/>
        </w:rPr>
        <w:t>二</w:t>
      </w:r>
      <w:r>
        <w:rPr>
          <w:rFonts w:hint="eastAsia" w:ascii="Times New Roman" w:eastAsia="宋体"/>
          <w:b/>
          <w:bCs/>
          <w:color w:val="auto"/>
          <w:sz w:val="32"/>
          <w:szCs w:val="32"/>
          <w:lang w:val="en-US" w:eastAsia="zh-CN"/>
        </w:rPr>
        <w:t>月</w:t>
      </w:r>
    </w:p>
    <w:p>
      <w:pPr>
        <w:pStyle w:val="36"/>
        <w:bidi w:val="0"/>
        <w:rPr>
          <w:color w:val="auto"/>
        </w:rPr>
        <w:sectPr>
          <w:pgSz w:w="11906" w:h="16838"/>
          <w:pgMar w:top="1417" w:right="1304" w:bottom="1417" w:left="130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35"/>
        <w:rPr>
          <w:rFonts w:hint="default" w:eastAsia="宋体"/>
          <w:b/>
          <w:bCs/>
          <w:color w:val="auto"/>
          <w:sz w:val="28"/>
          <w:szCs w:val="28"/>
          <w:lang w:val="en-US" w:eastAsia="zh-CN"/>
        </w:rPr>
      </w:pPr>
      <w:r>
        <w:rPr>
          <w:rFonts w:hint="eastAsia"/>
          <w:b/>
          <w:bCs/>
          <w:color w:val="auto"/>
          <w:sz w:val="28"/>
          <w:szCs w:val="28"/>
          <w:lang w:eastAsia="zh-CN"/>
        </w:rPr>
        <w:t>岳阳市凌峰化工有限公司1.5万吨/年碳酸二甲酯及1万吨/醋酸甲酯项目环境影响报告书</w:t>
      </w:r>
      <w:r>
        <w:rPr>
          <w:rFonts w:hint="eastAsia"/>
          <w:b/>
          <w:bCs/>
          <w:color w:val="auto"/>
          <w:sz w:val="28"/>
          <w:szCs w:val="28"/>
        </w:rPr>
        <w:t>技术评审会专家意见</w:t>
      </w:r>
      <w:r>
        <w:rPr>
          <w:rFonts w:hint="eastAsia"/>
          <w:b/>
          <w:bCs/>
          <w:color w:val="auto"/>
          <w:sz w:val="28"/>
          <w:szCs w:val="28"/>
          <w:lang w:val="en-US" w:eastAsia="zh-CN"/>
        </w:rPr>
        <w:t>修改清单</w:t>
      </w:r>
    </w:p>
    <w:p>
      <w:pPr>
        <w:pStyle w:val="35"/>
        <w:jc w:val="left"/>
        <w:rPr>
          <w:rFonts w:hint="default" w:eastAsia="宋体"/>
          <w:b/>
          <w:bCs/>
          <w:color w:val="auto"/>
          <w:sz w:val="28"/>
          <w:szCs w:val="28"/>
          <w:lang w:val="en-US" w:eastAsia="zh-CN"/>
        </w:rPr>
      </w:pPr>
      <w:r>
        <w:rPr>
          <w:rFonts w:hint="eastAsia"/>
          <w:b/>
          <w:bCs/>
          <w:color w:val="auto"/>
          <w:sz w:val="28"/>
          <w:szCs w:val="28"/>
          <w:lang w:val="en-US" w:eastAsia="zh-CN"/>
        </w:rPr>
        <w:t>根据专家意见修改情况如下：</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3486"/>
        <w:gridCol w:w="3041"/>
        <w:gridCol w:w="1717"/>
      </w:tblGrid>
      <w:tr>
        <w:trPr>
          <w:jc w:val="center"/>
        </w:trPr>
        <w:tc>
          <w:tcPr>
            <w:tcW w:w="66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eastAsia="宋体"/>
                <w:b/>
                <w:bCs/>
                <w:color w:val="auto"/>
                <w:sz w:val="24"/>
                <w:szCs w:val="24"/>
                <w:vertAlign w:val="baseline"/>
                <w:lang w:val="en-US" w:eastAsia="zh-CN"/>
              </w:rPr>
            </w:pPr>
            <w:r>
              <w:rPr>
                <w:rFonts w:hint="eastAsia"/>
                <w:b/>
                <w:bCs/>
                <w:color w:val="auto"/>
                <w:sz w:val="24"/>
                <w:szCs w:val="24"/>
                <w:vertAlign w:val="baseline"/>
                <w:lang w:val="en-US" w:eastAsia="zh-CN"/>
              </w:rPr>
              <w:t>序号</w:t>
            </w:r>
          </w:p>
        </w:tc>
        <w:tc>
          <w:tcPr>
            <w:tcW w:w="1831"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b/>
                <w:bCs/>
                <w:color w:val="auto"/>
                <w:sz w:val="24"/>
                <w:szCs w:val="24"/>
                <w:vertAlign w:val="baseline"/>
                <w:lang w:val="en-US" w:eastAsia="zh-CN"/>
              </w:rPr>
            </w:pPr>
            <w:r>
              <w:rPr>
                <w:rFonts w:hint="eastAsia"/>
                <w:b/>
                <w:bCs/>
                <w:color w:val="auto"/>
                <w:sz w:val="24"/>
                <w:szCs w:val="24"/>
                <w:vertAlign w:val="baseline"/>
                <w:lang w:val="en-US" w:eastAsia="zh-CN"/>
              </w:rPr>
              <w:t>专家意见</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b/>
                <w:bCs/>
                <w:color w:val="auto"/>
                <w:sz w:val="24"/>
                <w:szCs w:val="24"/>
                <w:vertAlign w:val="baseline"/>
                <w:lang w:val="en-US" w:eastAsia="zh-CN"/>
              </w:rPr>
            </w:pPr>
            <w:r>
              <w:rPr>
                <w:rFonts w:hint="eastAsia"/>
                <w:b/>
                <w:bCs/>
                <w:color w:val="auto"/>
                <w:sz w:val="24"/>
                <w:szCs w:val="24"/>
                <w:vertAlign w:val="baseline"/>
                <w:lang w:val="en-US" w:eastAsia="zh-CN"/>
              </w:rPr>
              <w:t>修改情况</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b/>
                <w:bCs/>
                <w:color w:val="auto"/>
                <w:sz w:val="24"/>
                <w:szCs w:val="24"/>
                <w:vertAlign w:val="baseline"/>
                <w:lang w:val="en-US" w:eastAsia="zh-CN"/>
              </w:rPr>
            </w:pPr>
            <w:r>
              <w:rPr>
                <w:rFonts w:hint="eastAsia"/>
                <w:b/>
                <w:bCs/>
                <w:color w:val="auto"/>
                <w:sz w:val="24"/>
                <w:szCs w:val="24"/>
                <w:vertAlign w:val="baseline"/>
                <w:lang w:val="en-US" w:eastAsia="zh-CN"/>
              </w:rPr>
              <w:t>修改位置页码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pct"/>
            <w:vMerge w:val="restar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1概述</w:t>
            </w:r>
          </w:p>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eastAsia="宋体"/>
                <w:color w:val="auto"/>
                <w:sz w:val="24"/>
                <w:szCs w:val="24"/>
                <w:vertAlign w:val="baseline"/>
                <w:lang w:val="en-US" w:eastAsia="zh-CN"/>
              </w:rPr>
            </w:pPr>
          </w:p>
        </w:tc>
        <w:tc>
          <w:tcPr>
            <w:tcW w:w="1831" w:type="pct"/>
            <w:noWrap w:val="0"/>
            <w:vAlign w:val="center"/>
          </w:tcPr>
          <w:p>
            <w:pPr>
              <w:pStyle w:val="6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lang w:val="en-US" w:eastAsia="zh-CN"/>
              </w:rPr>
              <w:t>（1）补充项目建设必要性。</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已补充</w:t>
            </w:r>
            <w:r>
              <w:rPr>
                <w:rFonts w:hint="eastAsia" w:ascii="Times New Roman" w:hAnsi="Times New Roman" w:eastAsia="宋体"/>
                <w:color w:val="auto"/>
                <w:sz w:val="24"/>
                <w:szCs w:val="24"/>
                <w:lang w:val="en-US" w:eastAsia="zh-CN"/>
              </w:rPr>
              <w:t>项目建设必要性</w:t>
            </w:r>
            <w:r>
              <w:rPr>
                <w:rFonts w:hint="eastAsia" w:ascii="Times New Roman" w:hAnsi="Times New Roman"/>
                <w:color w:val="auto"/>
                <w:sz w:val="24"/>
                <w:szCs w:val="24"/>
                <w:lang w:val="en-US" w:eastAsia="zh-CN"/>
              </w:rPr>
              <w:t>分析</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eastAsia="宋体"/>
                <w:color w:val="auto"/>
                <w:sz w:val="24"/>
                <w:szCs w:val="24"/>
                <w:vertAlign w:val="baseline"/>
                <w:lang w:val="en-US" w:eastAsia="zh-CN"/>
              </w:rPr>
            </w:pPr>
          </w:p>
        </w:tc>
        <w:tc>
          <w:tcPr>
            <w:tcW w:w="1831" w:type="pct"/>
            <w:noWrap w:val="0"/>
            <w:vAlign w:val="center"/>
          </w:tcPr>
          <w:p>
            <w:pPr>
              <w:pStyle w:val="6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both"/>
              <w:textAlignment w:val="auto"/>
              <w:rPr>
                <w:color w:val="auto"/>
                <w:sz w:val="24"/>
                <w:szCs w:val="24"/>
                <w:vertAlign w:val="baseline"/>
              </w:rPr>
            </w:pPr>
            <w:r>
              <w:rPr>
                <w:rFonts w:hint="eastAsia" w:ascii="Times New Roman" w:hAnsi="Times New Roman" w:eastAsia="宋体"/>
                <w:color w:val="auto"/>
                <w:sz w:val="24"/>
                <w:szCs w:val="24"/>
                <w:lang w:val="en-US" w:eastAsia="zh-CN"/>
              </w:rPr>
              <w:t>（2）核实项目由来，完善项目背景情况介绍。</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eastAsia="宋体"/>
                <w:color w:val="auto"/>
                <w:sz w:val="24"/>
                <w:szCs w:val="24"/>
                <w:vertAlign w:val="baseline"/>
                <w:lang w:val="en-US" w:eastAsia="zh-CN"/>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核实项目由来，完善项目背景情况介绍。</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color w:val="auto"/>
                <w:sz w:val="24"/>
                <w:szCs w:val="24"/>
                <w:vertAlign w:val="baseline"/>
                <w:lang w:val="en-US" w:eastAsia="zh-CN"/>
              </w:rPr>
              <w:t>P1-2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jc w:val="center"/>
        </w:trPr>
        <w:tc>
          <w:tcPr>
            <w:tcW w:w="667" w:type="pct"/>
            <w:vMerge w:val="restar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eastAsia="宋体"/>
                <w:color w:val="auto"/>
                <w:sz w:val="24"/>
                <w:szCs w:val="24"/>
                <w:vertAlign w:val="baseline"/>
                <w:lang w:val="en-US" w:eastAsia="zh-CN"/>
              </w:rPr>
            </w:pPr>
            <w:r>
              <w:rPr>
                <w:rFonts w:hint="eastAsia"/>
                <w:color w:val="auto"/>
                <w:sz w:val="24"/>
                <w:szCs w:val="24"/>
                <w:vertAlign w:val="baseline"/>
                <w:lang w:val="en-US" w:eastAsia="zh-CN"/>
              </w:rPr>
              <w:t>2</w:t>
            </w:r>
            <w:r>
              <w:rPr>
                <w:rFonts w:hint="eastAsia" w:ascii="Times New Roman" w:hAnsi="Times New Roman" w:eastAsia="宋体"/>
                <w:color w:val="auto"/>
                <w:sz w:val="24"/>
                <w:szCs w:val="24"/>
              </w:rPr>
              <w:t>总则</w:t>
            </w: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lang w:val="en-US" w:eastAsia="zh-CN"/>
              </w:rPr>
              <w:t>（1）编制依据补充《关于实施“三线一单”生态环境分区管控的意见》、《长江经济发展负面清单指南（试行）》、《湖南省建设项目管理条例》、《湖南省VOCs污染防治攻坚战三年行动计划》、《湖南省VOCs污染防治三年行动实施方案（2018-2020）》等。</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已补充</w:t>
            </w:r>
            <w:r>
              <w:rPr>
                <w:rFonts w:hint="eastAsia" w:ascii="Times New Roman" w:hAnsi="Times New Roman" w:eastAsia="宋体"/>
                <w:color w:val="auto"/>
                <w:sz w:val="24"/>
                <w:szCs w:val="24"/>
                <w:lang w:val="en-US" w:eastAsia="zh-CN"/>
              </w:rPr>
              <w:t>《关于实施“三线一单”生态环境分区管控的意见》、《长江经济发展负面清单指南（试行）》、《湖南省建设项目管理条例》、《湖南省VOCs污染防治攻坚战三年行动计划》、《湖南省VOCs污染防治三年行动实施方案（2018-2020）》等。</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lang w:val="en-US" w:eastAsia="zh-CN"/>
              </w:rPr>
              <w:t>（2）完善评价因子一览表，核实环境空气、土壤和风险评价因子等</w:t>
            </w:r>
            <w:r>
              <w:rPr>
                <w:rFonts w:hint="eastAsia" w:ascii="Times New Roman" w:hAnsi="Times New Roman" w:eastAsia="宋体"/>
                <w:color w:val="auto"/>
                <w:sz w:val="24"/>
                <w:szCs w:val="24"/>
              </w:rPr>
              <w:t>。</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已完善</w:t>
            </w:r>
            <w:r>
              <w:rPr>
                <w:rFonts w:hint="eastAsia" w:ascii="Times New Roman" w:hAnsi="Times New Roman" w:eastAsia="宋体"/>
                <w:color w:val="auto"/>
                <w:sz w:val="24"/>
                <w:szCs w:val="24"/>
                <w:lang w:val="en-US" w:eastAsia="zh-CN"/>
              </w:rPr>
              <w:t>评价因子一览表，</w:t>
            </w:r>
            <w:r>
              <w:rPr>
                <w:rFonts w:hint="eastAsia" w:ascii="Times New Roman" w:hAnsi="Times New Roman"/>
                <w:color w:val="auto"/>
                <w:sz w:val="24"/>
                <w:szCs w:val="24"/>
                <w:lang w:val="en-US" w:eastAsia="zh-CN"/>
              </w:rPr>
              <w:t>已</w:t>
            </w:r>
            <w:r>
              <w:rPr>
                <w:rFonts w:hint="eastAsia" w:ascii="Times New Roman" w:hAnsi="Times New Roman" w:eastAsia="宋体"/>
                <w:color w:val="auto"/>
                <w:sz w:val="24"/>
                <w:szCs w:val="24"/>
                <w:lang w:val="en-US" w:eastAsia="zh-CN"/>
              </w:rPr>
              <w:t>核实环境空气、土壤和风险评价因子等</w:t>
            </w:r>
            <w:r>
              <w:rPr>
                <w:rFonts w:hint="eastAsia" w:ascii="Times New Roman" w:hAnsi="Times New Roman" w:eastAsia="宋体"/>
                <w:color w:val="auto"/>
                <w:sz w:val="24"/>
                <w:szCs w:val="24"/>
              </w:rPr>
              <w:t>。</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补充各要素评价范围。</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已补充</w:t>
            </w:r>
            <w:r>
              <w:rPr>
                <w:rFonts w:hint="eastAsia" w:ascii="Times New Roman" w:hAnsi="Times New Roman" w:eastAsia="宋体"/>
                <w:color w:val="auto"/>
                <w:sz w:val="24"/>
                <w:szCs w:val="24"/>
                <w:lang w:val="en-US" w:eastAsia="zh-CN"/>
              </w:rPr>
              <w:t>各要素评价范围</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根据《</w:t>
            </w:r>
            <w:r>
              <w:rPr>
                <w:rFonts w:hint="eastAsia" w:ascii="Times New Roman" w:hAnsi="Times New Roman" w:eastAsia="宋体"/>
                <w:color w:val="auto"/>
                <w:sz w:val="24"/>
                <w:szCs w:val="24"/>
                <w:lang w:val="en-US" w:eastAsia="zh-CN"/>
              </w:rPr>
              <w:fldChar w:fldCharType="begin"/>
            </w:r>
            <w:r>
              <w:rPr>
                <w:rFonts w:hint="eastAsia" w:ascii="Times New Roman" w:hAnsi="Times New Roman" w:eastAsia="宋体"/>
                <w:color w:val="auto"/>
                <w:sz w:val="24"/>
                <w:szCs w:val="24"/>
                <w:lang w:val="en-US" w:eastAsia="zh-CN"/>
              </w:rPr>
              <w:instrText xml:space="preserve"> HYPERLINK "http://www.baidu.com/link?url=tSN4m1Zhl2ne-4x2yBRNuj6iVzU6DIjPuowN1hc9LZlQj_unNp0ZzpfMpqZnMEhLpK3kpdXcdXUl1QMA0121jfuHCpsVLsiSj6vvbURbPZHtHGvoiLJk2rJxce6Sn3nh" \t "https://www.baidu.com/_blank" </w:instrText>
            </w:r>
            <w:r>
              <w:rPr>
                <w:rFonts w:hint="eastAsia" w:ascii="Times New Roman" w:hAnsi="Times New Roman" w:eastAsia="宋体"/>
                <w:color w:val="auto"/>
                <w:sz w:val="24"/>
                <w:szCs w:val="24"/>
                <w:lang w:val="en-US" w:eastAsia="zh-CN"/>
              </w:rPr>
              <w:fldChar w:fldCharType="separate"/>
            </w:r>
            <w:r>
              <w:rPr>
                <w:rFonts w:hint="default" w:ascii="Times New Roman" w:hAnsi="Times New Roman" w:eastAsia="宋体"/>
                <w:color w:val="auto"/>
                <w:sz w:val="24"/>
                <w:szCs w:val="24"/>
                <w:lang w:val="en-US" w:eastAsia="zh-CN"/>
              </w:rPr>
              <w:t>挥发性有机物无组织排放控制标准</w:t>
            </w:r>
            <w:r>
              <w:rPr>
                <w:rFonts w:hint="eastAsia" w:ascii="Times New Roman" w:hAnsi="Times New Roman" w:eastAsia="宋体"/>
                <w:color w:val="auto"/>
                <w:sz w:val="24"/>
                <w:szCs w:val="24"/>
                <w:lang w:val="en-US" w:eastAsia="zh-CN"/>
              </w:rPr>
              <w:t>》</w:t>
            </w:r>
            <w:r>
              <w:rPr>
                <w:rFonts w:hint="default" w:ascii="Times New Roman" w:hAnsi="Times New Roman" w:eastAsia="宋体"/>
                <w:color w:val="auto"/>
                <w:sz w:val="24"/>
                <w:szCs w:val="24"/>
                <w:lang w:val="en-US" w:eastAsia="zh-CN"/>
              </w:rPr>
              <w:t>(GB27822-2019)</w:t>
            </w:r>
            <w:r>
              <w:rPr>
                <w:rFonts w:hint="eastAsia" w:ascii="Times New Roman" w:hAnsi="Times New Roman" w:eastAsia="宋体"/>
                <w:color w:val="auto"/>
                <w:sz w:val="24"/>
                <w:szCs w:val="24"/>
                <w:lang w:val="en-US" w:eastAsia="zh-CN"/>
              </w:rPr>
              <w:t>的要求</w:t>
            </w:r>
            <w:r>
              <w:rPr>
                <w:rFonts w:hint="default" w:ascii="Times New Roman" w:hAnsi="Times New Roman" w:eastAsia="宋体"/>
                <w:color w:val="auto"/>
                <w:sz w:val="24"/>
                <w:szCs w:val="24"/>
                <w:lang w:val="en-US" w:eastAsia="zh-CN"/>
              </w:rPr>
              <w:fldChar w:fldCharType="end"/>
            </w:r>
            <w:r>
              <w:rPr>
                <w:rFonts w:hint="eastAsia" w:ascii="Times New Roman" w:hAnsi="Times New Roman" w:eastAsia="宋体"/>
                <w:color w:val="auto"/>
                <w:sz w:val="24"/>
                <w:szCs w:val="24"/>
                <w:lang w:val="en-US" w:eastAsia="zh-CN"/>
              </w:rPr>
              <w:t>补</w:t>
            </w:r>
            <w:r>
              <w:rPr>
                <w:rFonts w:hint="eastAsia" w:ascii="Times New Roman" w:hAnsi="Times New Roman" w:eastAsia="宋体"/>
                <w:color w:val="auto"/>
                <w:sz w:val="24"/>
                <w:szCs w:val="24"/>
              </w:rPr>
              <w:t>充</w:t>
            </w:r>
            <w:r>
              <w:rPr>
                <w:rFonts w:hint="eastAsia" w:ascii="Times New Roman" w:hAnsi="Times New Roman" w:eastAsia="宋体"/>
                <w:color w:val="auto"/>
                <w:sz w:val="24"/>
                <w:szCs w:val="24"/>
                <w:lang w:val="en-US" w:eastAsia="zh-CN"/>
              </w:rPr>
              <w:t>厂区内无组织VOCs排放限值；VOCs建议执行《石油化学工业污染物排放标准》（GB31457-2015）。</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根据《</w:t>
            </w:r>
            <w:r>
              <w:rPr>
                <w:rFonts w:hint="eastAsia" w:ascii="Times New Roman" w:hAnsi="Times New Roman" w:eastAsia="宋体"/>
                <w:color w:val="auto"/>
                <w:sz w:val="24"/>
                <w:szCs w:val="24"/>
                <w:lang w:val="en-US" w:eastAsia="zh-CN"/>
              </w:rPr>
              <w:fldChar w:fldCharType="begin"/>
            </w:r>
            <w:r>
              <w:rPr>
                <w:rFonts w:hint="eastAsia" w:ascii="Times New Roman" w:hAnsi="Times New Roman" w:eastAsia="宋体"/>
                <w:color w:val="auto"/>
                <w:sz w:val="24"/>
                <w:szCs w:val="24"/>
                <w:lang w:val="en-US" w:eastAsia="zh-CN"/>
              </w:rPr>
              <w:instrText xml:space="preserve"> HYPERLINK "http://www.baidu.com/link?url=tSN4m1Zhl2ne-4x2yBRNuj6iVzU6DIjPuowN1hc9LZlQj_unNp0ZzpfMpqZnMEhLpK3kpdXcdXUl1QMA0121jfuHCpsVLsiSj6vvbURbPZHtHGvoiLJk2rJxce6Sn3nh" \t "https://www.baidu.com/_blank" </w:instrText>
            </w:r>
            <w:r>
              <w:rPr>
                <w:rFonts w:hint="eastAsia" w:ascii="Times New Roman" w:hAnsi="Times New Roman" w:eastAsia="宋体"/>
                <w:color w:val="auto"/>
                <w:sz w:val="24"/>
                <w:szCs w:val="24"/>
                <w:lang w:val="en-US" w:eastAsia="zh-CN"/>
              </w:rPr>
              <w:fldChar w:fldCharType="separate"/>
            </w:r>
            <w:r>
              <w:rPr>
                <w:rFonts w:hint="default" w:ascii="Times New Roman" w:hAnsi="Times New Roman" w:eastAsia="宋体"/>
                <w:color w:val="auto"/>
                <w:sz w:val="24"/>
                <w:szCs w:val="24"/>
                <w:lang w:val="en-US" w:eastAsia="zh-CN"/>
              </w:rPr>
              <w:t>挥发性有机物无组织排放控制标准</w:t>
            </w:r>
            <w:r>
              <w:rPr>
                <w:rFonts w:hint="eastAsia" w:ascii="Times New Roman" w:hAnsi="Times New Roman" w:eastAsia="宋体"/>
                <w:color w:val="auto"/>
                <w:sz w:val="24"/>
                <w:szCs w:val="24"/>
                <w:lang w:val="en-US" w:eastAsia="zh-CN"/>
              </w:rPr>
              <w:t>》</w:t>
            </w:r>
            <w:r>
              <w:rPr>
                <w:rFonts w:hint="default" w:ascii="Times New Roman" w:hAnsi="Times New Roman" w:eastAsia="宋体"/>
                <w:color w:val="auto"/>
                <w:sz w:val="24"/>
                <w:szCs w:val="24"/>
                <w:lang w:val="en-US" w:eastAsia="zh-CN"/>
              </w:rPr>
              <w:t>(GB27822-2019)</w:t>
            </w:r>
            <w:r>
              <w:rPr>
                <w:rFonts w:hint="eastAsia" w:ascii="Times New Roman" w:hAnsi="Times New Roman" w:eastAsia="宋体"/>
                <w:color w:val="auto"/>
                <w:sz w:val="24"/>
                <w:szCs w:val="24"/>
                <w:lang w:val="en-US" w:eastAsia="zh-CN"/>
              </w:rPr>
              <w:t>的要求</w:t>
            </w:r>
            <w:r>
              <w:rPr>
                <w:rFonts w:hint="default" w:ascii="Times New Roman" w:hAnsi="Times New Roman" w:eastAsia="宋体"/>
                <w:color w:val="auto"/>
                <w:sz w:val="24"/>
                <w:szCs w:val="24"/>
                <w:lang w:val="en-US" w:eastAsia="zh-CN"/>
              </w:rPr>
              <w:fldChar w:fldCharType="end"/>
            </w:r>
            <w:r>
              <w:rPr>
                <w:rFonts w:hint="eastAsia" w:ascii="Times New Roman" w:hAnsi="Times New Roman" w:eastAsia="宋体"/>
                <w:color w:val="auto"/>
                <w:sz w:val="24"/>
                <w:szCs w:val="24"/>
                <w:lang w:val="en-US" w:eastAsia="zh-CN"/>
              </w:rPr>
              <w:t>补</w:t>
            </w:r>
            <w:r>
              <w:rPr>
                <w:rFonts w:hint="eastAsia" w:ascii="Times New Roman" w:hAnsi="Times New Roman" w:eastAsia="宋体"/>
                <w:color w:val="auto"/>
                <w:sz w:val="24"/>
                <w:szCs w:val="24"/>
              </w:rPr>
              <w:t>充</w:t>
            </w:r>
            <w:r>
              <w:rPr>
                <w:rFonts w:hint="eastAsia" w:ascii="Times New Roman" w:hAnsi="Times New Roman" w:eastAsia="宋体"/>
                <w:color w:val="auto"/>
                <w:sz w:val="24"/>
                <w:szCs w:val="24"/>
                <w:lang w:val="en-US" w:eastAsia="zh-CN"/>
              </w:rPr>
              <w:t>厂区内无组织VOCs排放限值；</w:t>
            </w:r>
            <w:r>
              <w:rPr>
                <w:rFonts w:hint="eastAsia" w:ascii="Times New Roman" w:hAnsi="Times New Roman"/>
                <w:color w:val="auto"/>
                <w:sz w:val="24"/>
                <w:szCs w:val="24"/>
                <w:lang w:val="en-US" w:eastAsia="zh-CN"/>
              </w:rPr>
              <w:t>已核实</w:t>
            </w:r>
            <w:r>
              <w:rPr>
                <w:rFonts w:hint="eastAsia" w:ascii="Times New Roman" w:hAnsi="Times New Roman" w:eastAsia="宋体"/>
                <w:color w:val="auto"/>
                <w:sz w:val="24"/>
                <w:szCs w:val="24"/>
                <w:lang w:val="en-US" w:eastAsia="zh-CN"/>
              </w:rPr>
              <w:t>VOCs</w:t>
            </w:r>
            <w:r>
              <w:rPr>
                <w:rFonts w:hint="eastAsia" w:ascii="Times New Roman" w:hAnsi="Times New Roman"/>
                <w:color w:val="auto"/>
                <w:sz w:val="24"/>
                <w:szCs w:val="24"/>
                <w:lang w:val="en-US" w:eastAsia="zh-CN"/>
              </w:rPr>
              <w:t>执行标准</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P17-18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lang w:val="en-US" w:eastAsia="zh-CN"/>
              </w:rPr>
              <w:t>（5）根据厂区内无组织废气估算模式的预测结果以及项目判定高能耗的依据及核对后的废气源强等，核实大气评价等级判定。</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eastAsia="宋体"/>
                <w:color w:val="auto"/>
                <w:sz w:val="24"/>
                <w:szCs w:val="24"/>
                <w:vertAlign w:val="baseline"/>
                <w:lang w:val="en-US" w:eastAsia="zh-CN"/>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根据厂区内无组织废气估算模式的预测结果以及项目判定高能耗的依据及核对后的废气源强等，核实大气评价等级判定。</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P21-P22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6</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结合评价范围的学校和医院等的调查情况，完善大气环境环保目</w:t>
            </w:r>
            <w:r>
              <w:rPr>
                <w:rFonts w:hint="eastAsia" w:ascii="Times New Roman" w:hAnsi="Times New Roman" w:eastAsia="宋体"/>
                <w:color w:val="auto"/>
                <w:sz w:val="24"/>
                <w:szCs w:val="24"/>
              </w:rPr>
              <w:t>标</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核实地表水环保目标；补充地下水环境保护目标。核实环境功能区划。</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eastAsia="宋体"/>
                <w:color w:val="auto"/>
                <w:sz w:val="24"/>
                <w:szCs w:val="24"/>
                <w:vertAlign w:val="baseline"/>
                <w:lang w:val="en-US" w:eastAsia="zh-CN"/>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结合评价范围的学校和医院等的调查情况，完善大气环境环保目</w:t>
            </w:r>
            <w:r>
              <w:rPr>
                <w:rFonts w:hint="eastAsia" w:ascii="Times New Roman" w:hAnsi="Times New Roman" w:eastAsia="宋体"/>
                <w:color w:val="auto"/>
                <w:sz w:val="24"/>
                <w:szCs w:val="24"/>
              </w:rPr>
              <w:t>标</w:t>
            </w:r>
            <w:r>
              <w:rPr>
                <w:rFonts w:hint="eastAsia" w:ascii="Times New Roman" w:hAnsi="Times New Roman" w:eastAsia="宋体"/>
                <w:color w:val="auto"/>
                <w:sz w:val="24"/>
                <w:szCs w:val="24"/>
                <w:lang w:eastAsia="zh-CN"/>
              </w:rPr>
              <w:t>；</w:t>
            </w:r>
            <w:r>
              <w:rPr>
                <w:rFonts w:hint="eastAsia" w:ascii="Times New Roman" w:hAnsi="Times New Roman"/>
                <w:color w:val="auto"/>
                <w:sz w:val="24"/>
                <w:szCs w:val="24"/>
                <w:lang w:val="en-US" w:eastAsia="zh-CN"/>
              </w:rPr>
              <w:t>已</w:t>
            </w:r>
            <w:r>
              <w:rPr>
                <w:rFonts w:hint="eastAsia" w:ascii="Times New Roman" w:hAnsi="Times New Roman" w:eastAsia="宋体"/>
                <w:color w:val="auto"/>
                <w:sz w:val="24"/>
                <w:szCs w:val="24"/>
                <w:lang w:val="en-US" w:eastAsia="zh-CN"/>
              </w:rPr>
              <w:t>核实地表水环保目标；</w:t>
            </w:r>
            <w:r>
              <w:rPr>
                <w:rFonts w:hint="eastAsia" w:ascii="Times New Roman" w:hAnsi="Times New Roman"/>
                <w:color w:val="auto"/>
                <w:sz w:val="24"/>
                <w:szCs w:val="24"/>
                <w:lang w:val="en-US" w:eastAsia="zh-CN"/>
              </w:rPr>
              <w:t>已</w:t>
            </w:r>
            <w:r>
              <w:rPr>
                <w:rFonts w:hint="eastAsia" w:ascii="Times New Roman" w:hAnsi="Times New Roman" w:eastAsia="宋体"/>
                <w:color w:val="auto"/>
                <w:sz w:val="24"/>
                <w:szCs w:val="24"/>
                <w:lang w:val="en-US" w:eastAsia="zh-CN"/>
              </w:rPr>
              <w:t>补充地下水环境保护目标。</w:t>
            </w:r>
            <w:r>
              <w:rPr>
                <w:rFonts w:hint="eastAsia" w:ascii="Times New Roman" w:hAnsi="Times New Roman"/>
                <w:color w:val="auto"/>
                <w:sz w:val="24"/>
                <w:szCs w:val="24"/>
                <w:lang w:val="en-US" w:eastAsia="zh-CN"/>
              </w:rPr>
              <w:t>已</w:t>
            </w:r>
            <w:r>
              <w:rPr>
                <w:rFonts w:hint="eastAsia" w:ascii="Times New Roman" w:hAnsi="Times New Roman" w:eastAsia="宋体"/>
                <w:color w:val="auto"/>
                <w:sz w:val="24"/>
                <w:szCs w:val="24"/>
                <w:lang w:val="en-US" w:eastAsia="zh-CN"/>
              </w:rPr>
              <w:t>核实环境功能区划。</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P26-P27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 w:hRule="atLeast"/>
          <w:jc w:val="center"/>
        </w:trPr>
        <w:tc>
          <w:tcPr>
            <w:tcW w:w="667" w:type="pct"/>
            <w:vMerge w:val="restar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color w:val="auto"/>
                <w:sz w:val="24"/>
                <w:szCs w:val="24"/>
                <w:lang w:val="en-US" w:eastAsia="zh-CN"/>
              </w:rPr>
              <w:t>3</w:t>
            </w:r>
            <w:r>
              <w:rPr>
                <w:rFonts w:hint="eastAsia" w:ascii="Times New Roman" w:hAnsi="Times New Roman" w:eastAsia="宋体"/>
                <w:color w:val="auto"/>
                <w:sz w:val="24"/>
                <w:szCs w:val="24"/>
              </w:rPr>
              <w:t>工程基本情况介绍及工程分析</w:t>
            </w: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（1）根据现有工程实际生产</w:t>
            </w:r>
            <w:r>
              <w:rPr>
                <w:rFonts w:hint="eastAsia" w:ascii="Times New Roman" w:hAnsi="Times New Roman" w:eastAsia="宋体"/>
                <w:color w:val="auto"/>
                <w:sz w:val="24"/>
                <w:szCs w:val="24"/>
                <w:lang w:val="en-US" w:eastAsia="zh-CN"/>
              </w:rPr>
              <w:t>和建设</w:t>
            </w:r>
            <w:r>
              <w:rPr>
                <w:rFonts w:hint="eastAsia" w:ascii="Times New Roman" w:hAnsi="Times New Roman" w:eastAsia="宋体"/>
                <w:color w:val="auto"/>
                <w:sz w:val="24"/>
                <w:szCs w:val="24"/>
              </w:rPr>
              <w:t>情况、排污许可、竣工验收监测资料等，核实现有工程</w:t>
            </w:r>
            <w:r>
              <w:rPr>
                <w:rFonts w:hint="eastAsia" w:ascii="Times New Roman" w:hAnsi="Times New Roman" w:eastAsia="宋体"/>
                <w:color w:val="auto"/>
                <w:sz w:val="24"/>
                <w:szCs w:val="24"/>
                <w:lang w:val="en-US" w:eastAsia="zh-CN"/>
              </w:rPr>
              <w:t>内容、</w:t>
            </w:r>
            <w:r>
              <w:rPr>
                <w:rFonts w:hint="eastAsia" w:ascii="Times New Roman" w:hAnsi="Times New Roman" w:eastAsia="宋体"/>
                <w:color w:val="auto"/>
                <w:sz w:val="24"/>
                <w:szCs w:val="24"/>
              </w:rPr>
              <w:t>产排污情况及达标排放情况</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现有工程存在的环境问题等。</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vertAlign w:val="baseline"/>
                <w:lang w:val="en-US" w:eastAsia="zh-CN"/>
              </w:rPr>
              <w:t>已根据现有</w:t>
            </w:r>
            <w:r>
              <w:rPr>
                <w:rFonts w:hint="eastAsia" w:ascii="Times New Roman" w:hAnsi="Times New Roman" w:eastAsia="宋体"/>
                <w:color w:val="auto"/>
                <w:sz w:val="24"/>
                <w:szCs w:val="24"/>
              </w:rPr>
              <w:t>工程实际生产</w:t>
            </w:r>
            <w:r>
              <w:rPr>
                <w:rFonts w:hint="eastAsia" w:ascii="Times New Roman" w:hAnsi="Times New Roman" w:eastAsia="宋体"/>
                <w:color w:val="auto"/>
                <w:sz w:val="24"/>
                <w:szCs w:val="24"/>
                <w:lang w:val="en-US" w:eastAsia="zh-CN"/>
              </w:rPr>
              <w:t>和建设</w:t>
            </w:r>
            <w:r>
              <w:rPr>
                <w:rFonts w:hint="eastAsia" w:ascii="Times New Roman" w:hAnsi="Times New Roman" w:eastAsia="宋体"/>
                <w:color w:val="auto"/>
                <w:sz w:val="24"/>
                <w:szCs w:val="24"/>
              </w:rPr>
              <w:t>情况、排污许可、竣工验收监测资料等，核实现有工程</w:t>
            </w:r>
            <w:r>
              <w:rPr>
                <w:rFonts w:hint="eastAsia" w:ascii="Times New Roman" w:hAnsi="Times New Roman" w:eastAsia="宋体"/>
                <w:color w:val="auto"/>
                <w:sz w:val="24"/>
                <w:szCs w:val="24"/>
                <w:lang w:val="en-US" w:eastAsia="zh-CN"/>
              </w:rPr>
              <w:t>内容、</w:t>
            </w:r>
            <w:r>
              <w:rPr>
                <w:rFonts w:hint="eastAsia" w:ascii="Times New Roman" w:hAnsi="Times New Roman" w:eastAsia="宋体"/>
                <w:color w:val="auto"/>
                <w:sz w:val="24"/>
                <w:szCs w:val="24"/>
              </w:rPr>
              <w:t>产排污情况及达标排放情况</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现有工程存在的环境问题等。</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P60，P63-64，P66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（2）</w:t>
            </w:r>
            <w:r>
              <w:rPr>
                <w:rFonts w:hint="eastAsia" w:ascii="Times New Roman" w:hAnsi="Times New Roman" w:eastAsia="宋体"/>
                <w:color w:val="auto"/>
                <w:sz w:val="24"/>
                <w:szCs w:val="24"/>
                <w:lang w:val="en-US" w:eastAsia="zh-CN"/>
              </w:rPr>
              <w:t>补充厂区内的储罐变化情况一览表</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明确各储罐的用途变化情况和依托可行性</w:t>
            </w:r>
            <w:r>
              <w:rPr>
                <w:rFonts w:hint="eastAsia" w:ascii="Times New Roman" w:hAnsi="Times New Roman" w:eastAsia="宋体"/>
                <w:color w:val="auto"/>
                <w:sz w:val="24"/>
                <w:szCs w:val="24"/>
              </w:rPr>
              <w:t>。</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vertAlign w:val="baseline"/>
                <w:lang w:val="en-US" w:eastAsia="zh-CN"/>
              </w:rPr>
              <w:t>已补充</w:t>
            </w:r>
            <w:r>
              <w:rPr>
                <w:rFonts w:hint="eastAsia" w:ascii="Times New Roman" w:hAnsi="Times New Roman" w:eastAsia="宋体"/>
                <w:color w:val="auto"/>
                <w:sz w:val="24"/>
                <w:szCs w:val="24"/>
                <w:lang w:val="en-US" w:eastAsia="zh-CN"/>
              </w:rPr>
              <w:t>厂区内的储罐变化情况一览表</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明确各储罐的用途变化情况和依托可行性</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P78-79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szCs w:val="24"/>
                <w:vertAlign w:val="baseline"/>
              </w:rPr>
            </w:pPr>
            <w:r>
              <w:rPr>
                <w:rFonts w:hint="eastAsia" w:ascii="Times New Roman" w:hAnsi="Times New Roman" w:eastAsia="宋体"/>
                <w:color w:val="auto"/>
                <w:sz w:val="24"/>
                <w:szCs w:val="24"/>
                <w:lang w:val="en-US" w:eastAsia="zh-CN"/>
              </w:rPr>
              <w:t>（3）根据草酸二甲酯的产生量、环己酮的产能变化、工业原料油的产量变化情况等完善产品类型和数量；补充各产品质量标准。根据离子交换树脂的用量完善原辅材料消耗表。</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根据草酸二甲酯的产生量、环己酮的产能变化、工业原料油的产量变化情况完善产品类型和数量；</w:t>
            </w:r>
            <w:r>
              <w:rPr>
                <w:rFonts w:hint="eastAsia"/>
                <w:color w:val="auto"/>
                <w:sz w:val="24"/>
                <w:szCs w:val="24"/>
                <w:lang w:val="en-US" w:eastAsia="zh-CN"/>
              </w:rPr>
              <w:t>已</w:t>
            </w:r>
            <w:r>
              <w:rPr>
                <w:rFonts w:hint="eastAsia" w:ascii="Times New Roman" w:hAnsi="Times New Roman" w:eastAsia="宋体"/>
                <w:color w:val="auto"/>
                <w:sz w:val="24"/>
                <w:szCs w:val="24"/>
                <w:lang w:val="en-US" w:eastAsia="zh-CN"/>
              </w:rPr>
              <w:t>补充各产品质量标准。</w:t>
            </w:r>
            <w:r>
              <w:rPr>
                <w:rFonts w:hint="eastAsia"/>
                <w:color w:val="auto"/>
                <w:sz w:val="24"/>
                <w:szCs w:val="24"/>
                <w:lang w:val="en-US" w:eastAsia="zh-CN"/>
              </w:rPr>
              <w:t>已</w:t>
            </w:r>
            <w:r>
              <w:rPr>
                <w:rFonts w:hint="eastAsia" w:ascii="Times New Roman" w:hAnsi="Times New Roman" w:eastAsia="宋体"/>
                <w:color w:val="auto"/>
                <w:sz w:val="24"/>
                <w:szCs w:val="24"/>
                <w:lang w:val="en-US" w:eastAsia="zh-CN"/>
              </w:rPr>
              <w:t>根据离子交换树脂的用量完善原辅材料消耗表。</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P69-70，P71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（4）</w:t>
            </w:r>
            <w:r>
              <w:rPr>
                <w:rFonts w:hint="eastAsia" w:ascii="Times New Roman" w:hAnsi="Times New Roman" w:eastAsia="宋体"/>
                <w:color w:val="auto"/>
                <w:sz w:val="24"/>
                <w:szCs w:val="24"/>
                <w:lang w:val="en-US" w:eastAsia="zh-CN"/>
              </w:rPr>
              <w:t>根据现有工程外购原料油的成分、环己酮的生产能力、各生产线改造前后的精馏时间、反应釜的规格和连续生产情况等完善生产设施生产能力可行性分析。</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lang w:val="en-US" w:eastAsia="zh-CN"/>
              </w:rPr>
              <w:t>已</w:t>
            </w:r>
            <w:r>
              <w:rPr>
                <w:rFonts w:hint="eastAsia" w:ascii="Times New Roman" w:hAnsi="Times New Roman" w:eastAsia="宋体"/>
                <w:color w:val="auto"/>
                <w:sz w:val="24"/>
                <w:szCs w:val="24"/>
                <w:lang w:val="en-US" w:eastAsia="zh-CN"/>
              </w:rPr>
              <w:t>完善生产设施生产能力可行性分析。</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（5）</w:t>
            </w:r>
            <w:r>
              <w:rPr>
                <w:rFonts w:hint="eastAsia" w:ascii="Times New Roman" w:hAnsi="Times New Roman" w:eastAsia="宋体"/>
                <w:color w:val="auto"/>
                <w:sz w:val="24"/>
                <w:szCs w:val="24"/>
                <w:lang w:val="en-US" w:eastAsia="zh-CN"/>
              </w:rPr>
              <w:t>补充</w:t>
            </w:r>
            <w:r>
              <w:rPr>
                <w:rFonts w:hint="eastAsia" w:ascii="Times New Roman" w:hAnsi="Times New Roman" w:eastAsia="宋体"/>
                <w:color w:val="auto"/>
                <w:sz w:val="24"/>
                <w:szCs w:val="24"/>
              </w:rPr>
              <w:t>物料的运入与运出</w:t>
            </w:r>
            <w:r>
              <w:rPr>
                <w:rFonts w:hint="eastAsia" w:ascii="Times New Roman" w:hAnsi="Times New Roman" w:eastAsia="宋体"/>
                <w:color w:val="auto"/>
                <w:sz w:val="24"/>
                <w:szCs w:val="24"/>
                <w:lang w:val="en-US" w:eastAsia="zh-CN"/>
              </w:rPr>
              <w:t>变化</w:t>
            </w:r>
            <w:r>
              <w:rPr>
                <w:rFonts w:hint="eastAsia" w:ascii="Times New Roman" w:hAnsi="Times New Roman" w:eastAsia="宋体"/>
                <w:color w:val="auto"/>
                <w:sz w:val="24"/>
                <w:szCs w:val="24"/>
              </w:rPr>
              <w:t>量</w:t>
            </w:r>
            <w:r>
              <w:rPr>
                <w:rFonts w:hint="eastAsia" w:ascii="Times New Roman" w:hAnsi="Times New Roman" w:eastAsia="宋体"/>
                <w:color w:val="auto"/>
                <w:sz w:val="24"/>
                <w:szCs w:val="24"/>
                <w:lang w:val="en-US" w:eastAsia="zh-CN"/>
              </w:rPr>
              <w:t>等，分析调查受本项目物料及产品运输影响新增的交通运输移动源，包括运输方式、新增交通量、排放污染物及排放量</w:t>
            </w:r>
            <w:r>
              <w:rPr>
                <w:rFonts w:hint="eastAsia" w:ascii="Times New Roman" w:hAnsi="Times New Roman" w:eastAsia="宋体"/>
                <w:color w:val="auto"/>
                <w:sz w:val="24"/>
                <w:szCs w:val="24"/>
              </w:rPr>
              <w:t>。</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ascii="Times New Roman" w:hAnsi="Times New Roman" w:eastAsia="宋体"/>
                <w:color w:val="auto"/>
                <w:sz w:val="24"/>
                <w:szCs w:val="24"/>
                <w:lang w:val="en-US" w:eastAsia="zh-CN"/>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补充</w:t>
            </w:r>
            <w:r>
              <w:rPr>
                <w:rFonts w:hint="eastAsia" w:ascii="Times New Roman" w:hAnsi="Times New Roman" w:eastAsia="宋体"/>
                <w:color w:val="auto"/>
                <w:sz w:val="24"/>
                <w:szCs w:val="24"/>
              </w:rPr>
              <w:t>物料的运入与运出</w:t>
            </w:r>
            <w:r>
              <w:rPr>
                <w:rFonts w:hint="eastAsia" w:ascii="Times New Roman" w:hAnsi="Times New Roman" w:eastAsia="宋体"/>
                <w:color w:val="auto"/>
                <w:sz w:val="24"/>
                <w:szCs w:val="24"/>
                <w:lang w:val="en-US" w:eastAsia="zh-CN"/>
              </w:rPr>
              <w:t>变化</w:t>
            </w:r>
            <w:r>
              <w:rPr>
                <w:rFonts w:hint="eastAsia" w:ascii="Times New Roman" w:hAnsi="Times New Roman" w:eastAsia="宋体"/>
                <w:color w:val="auto"/>
                <w:sz w:val="24"/>
                <w:szCs w:val="24"/>
              </w:rPr>
              <w:t>量</w:t>
            </w:r>
            <w:r>
              <w:rPr>
                <w:rFonts w:hint="eastAsia" w:ascii="Times New Roman" w:hAnsi="Times New Roman"/>
                <w:color w:val="auto"/>
                <w:sz w:val="24"/>
                <w:szCs w:val="24"/>
                <w:lang w:eastAsia="zh-CN"/>
              </w:rPr>
              <w:t>；</w:t>
            </w:r>
          </w:p>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lang w:val="en-US" w:eastAsia="zh-CN"/>
              </w:rPr>
              <w:t>已</w:t>
            </w:r>
            <w:r>
              <w:rPr>
                <w:rFonts w:hint="eastAsia" w:ascii="Times New Roman" w:hAnsi="Times New Roman" w:eastAsia="宋体"/>
                <w:color w:val="auto"/>
                <w:sz w:val="24"/>
                <w:szCs w:val="24"/>
                <w:lang w:val="en-US" w:eastAsia="zh-CN"/>
              </w:rPr>
              <w:t>分析调查受本项目物料及产品运输影响新增的交通运输移动源，包括运输方式、新增交通量、排放污染物及排放量</w:t>
            </w:r>
            <w:r>
              <w:rPr>
                <w:rFonts w:hint="eastAsia" w:ascii="Times New Roman" w:hAnsi="Times New Roman" w:eastAsia="宋体"/>
                <w:color w:val="auto"/>
                <w:sz w:val="24"/>
                <w:szCs w:val="24"/>
              </w:rPr>
              <w:t>。</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P77，P158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szCs w:val="24"/>
                <w:vertAlign w:val="baseline"/>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6</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根据环己酮生产线产能的变化完善本次改扩建工程内容，据此完善相关的工艺流程和产排污分析。</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根据环己酮生产线产能的变化完善本次改扩建工程内容，</w:t>
            </w:r>
            <w:r>
              <w:rPr>
                <w:rFonts w:hint="eastAsia"/>
                <w:color w:val="auto"/>
                <w:sz w:val="24"/>
                <w:szCs w:val="24"/>
                <w:lang w:val="en-US" w:eastAsia="zh-CN"/>
              </w:rPr>
              <w:t>并</w:t>
            </w:r>
            <w:r>
              <w:rPr>
                <w:rFonts w:hint="eastAsia" w:ascii="Times New Roman" w:hAnsi="Times New Roman" w:eastAsia="宋体"/>
                <w:color w:val="auto"/>
                <w:sz w:val="24"/>
                <w:szCs w:val="24"/>
                <w:lang w:val="en-US" w:eastAsia="zh-CN"/>
              </w:rPr>
              <w:t>据此完善相关的工艺流程和产排污分析。</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P98-100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7</w:t>
            </w:r>
            <w:r>
              <w:rPr>
                <w:rFonts w:hint="eastAsia" w:ascii="Times New Roman" w:hAnsi="Times New Roman" w:eastAsia="宋体"/>
                <w:color w:val="auto"/>
                <w:sz w:val="24"/>
                <w:szCs w:val="24"/>
              </w:rPr>
              <w:t>）根据</w:t>
            </w:r>
            <w:r>
              <w:rPr>
                <w:rFonts w:hint="eastAsia" w:ascii="Times New Roman" w:hAnsi="Times New Roman" w:eastAsia="宋体"/>
                <w:color w:val="auto"/>
                <w:sz w:val="24"/>
                <w:szCs w:val="24"/>
                <w:lang w:val="en-US" w:eastAsia="zh-CN"/>
              </w:rPr>
              <w:t>物料消耗情况核实物料平衡。</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rPr>
              <w:t>根据</w:t>
            </w:r>
            <w:r>
              <w:rPr>
                <w:rFonts w:hint="eastAsia" w:ascii="Times New Roman" w:hAnsi="Times New Roman" w:eastAsia="宋体"/>
                <w:color w:val="auto"/>
                <w:sz w:val="24"/>
                <w:szCs w:val="24"/>
                <w:lang w:val="en-US" w:eastAsia="zh-CN"/>
              </w:rPr>
              <w:t>物料消耗情况核实物料平衡</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P85-87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8</w:t>
            </w:r>
            <w:r>
              <w:rPr>
                <w:rFonts w:hint="eastAsia" w:ascii="Times New Roman" w:hAnsi="Times New Roman" w:eastAsia="宋体"/>
                <w:color w:val="auto"/>
                <w:sz w:val="24"/>
                <w:szCs w:val="24"/>
              </w:rPr>
              <w:t>）细化工艺流程描述，详细说明</w:t>
            </w:r>
            <w:r>
              <w:rPr>
                <w:rFonts w:hint="eastAsia" w:ascii="Times New Roman" w:hAnsi="Times New Roman" w:eastAsia="宋体"/>
                <w:color w:val="auto"/>
                <w:sz w:val="24"/>
                <w:szCs w:val="24"/>
                <w:lang w:val="en-US" w:eastAsia="zh-CN"/>
              </w:rPr>
              <w:t>目</w:t>
            </w:r>
            <w:r>
              <w:rPr>
                <w:rFonts w:hint="eastAsia" w:ascii="Times New Roman" w:hAnsi="Times New Roman" w:eastAsia="宋体"/>
                <w:color w:val="auto"/>
                <w:sz w:val="24"/>
                <w:szCs w:val="24"/>
              </w:rPr>
              <w:t>标产物的收率、转化率、生产连续性、等参数；并同步根据</w:t>
            </w:r>
            <w:r>
              <w:rPr>
                <w:rFonts w:hint="eastAsia" w:ascii="Times New Roman" w:hAnsi="Times New Roman" w:eastAsia="宋体"/>
                <w:color w:val="auto"/>
                <w:sz w:val="24"/>
                <w:szCs w:val="24"/>
                <w:lang w:val="en-US" w:eastAsia="zh-CN"/>
              </w:rPr>
              <w:t>物料的挥发性和反应温度、收率、废气处理设施变化情况和同类工程源强等校核废气源强</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根据装卸等过程物料损失情况完善无组织废气源强。</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rPr>
              <w:t>细化工艺流程描述，详细说明</w:t>
            </w:r>
            <w:r>
              <w:rPr>
                <w:rFonts w:hint="eastAsia" w:ascii="Times New Roman" w:hAnsi="Times New Roman" w:eastAsia="宋体"/>
                <w:color w:val="auto"/>
                <w:sz w:val="24"/>
                <w:szCs w:val="24"/>
                <w:lang w:val="en-US" w:eastAsia="zh-CN"/>
              </w:rPr>
              <w:t>目</w:t>
            </w:r>
            <w:r>
              <w:rPr>
                <w:rFonts w:hint="eastAsia" w:ascii="Times New Roman" w:hAnsi="Times New Roman" w:eastAsia="宋体"/>
                <w:color w:val="auto"/>
                <w:sz w:val="24"/>
                <w:szCs w:val="24"/>
              </w:rPr>
              <w:t>标产物的收率、转化率、生产连续性、等参数；并同步根据</w:t>
            </w:r>
            <w:r>
              <w:rPr>
                <w:rFonts w:hint="eastAsia" w:ascii="Times New Roman" w:hAnsi="Times New Roman" w:eastAsia="宋体"/>
                <w:color w:val="auto"/>
                <w:sz w:val="24"/>
                <w:szCs w:val="24"/>
                <w:lang w:val="en-US" w:eastAsia="zh-CN"/>
              </w:rPr>
              <w:t>物料的挥发性和反应温度、收率、废气处理设施变化情况和同类工程源强等校核废气源强</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根据装卸等过程物料损失情况完善无组织废气源强</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P80；P88-89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9</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根据设备清洗频次、喷淋废水产生量等校核废水产生量和污染源强，补充技改工程水平衡图</w:t>
            </w:r>
            <w:r>
              <w:rPr>
                <w:rFonts w:hint="eastAsia" w:ascii="Times New Roman" w:hAnsi="Times New Roman" w:eastAsia="宋体"/>
                <w:color w:val="auto"/>
                <w:sz w:val="24"/>
                <w:szCs w:val="24"/>
              </w:rPr>
              <w:t>。</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根据设备清洗频次、喷淋废水产生量等校核废水产生量和污染源强，补充技改工程水平衡图</w:t>
            </w:r>
            <w:r>
              <w:rPr>
                <w:rFonts w:hint="eastAsia" w:ascii="Times New Roman" w:hAnsi="Times New Roman" w:eastAsia="宋体"/>
                <w:color w:val="auto"/>
                <w:sz w:val="24"/>
                <w:szCs w:val="24"/>
              </w:rPr>
              <w:t>。</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P92-94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0</w:t>
            </w:r>
            <w:r>
              <w:rPr>
                <w:rFonts w:hint="eastAsia" w:ascii="Times New Roman" w:hAnsi="Times New Roman" w:eastAsia="宋体"/>
                <w:color w:val="auto"/>
                <w:sz w:val="24"/>
                <w:szCs w:val="24"/>
              </w:rPr>
              <w:t>）根据</w:t>
            </w:r>
            <w:r>
              <w:rPr>
                <w:rFonts w:hint="eastAsia" w:ascii="Times New Roman" w:hAnsi="Times New Roman" w:eastAsia="宋体"/>
                <w:color w:val="auto"/>
                <w:sz w:val="24"/>
                <w:szCs w:val="24"/>
                <w:lang w:val="en-US" w:eastAsia="zh-CN"/>
              </w:rPr>
              <w:t>校核后的产排污</w:t>
            </w:r>
            <w:r>
              <w:rPr>
                <w:rFonts w:hint="eastAsia" w:ascii="Times New Roman" w:hAnsi="Times New Roman" w:eastAsia="宋体"/>
                <w:color w:val="auto"/>
                <w:sz w:val="24"/>
                <w:szCs w:val="24"/>
              </w:rPr>
              <w:t>情况核实“三本账”。</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rPr>
              <w:t>根据</w:t>
            </w:r>
            <w:r>
              <w:rPr>
                <w:rFonts w:hint="eastAsia" w:ascii="Times New Roman" w:hAnsi="Times New Roman" w:eastAsia="宋体"/>
                <w:color w:val="auto"/>
                <w:sz w:val="24"/>
                <w:szCs w:val="24"/>
                <w:lang w:val="en-US" w:eastAsia="zh-CN"/>
              </w:rPr>
              <w:t>校核后的产排污</w:t>
            </w:r>
            <w:r>
              <w:rPr>
                <w:rFonts w:hint="eastAsia" w:ascii="Times New Roman" w:hAnsi="Times New Roman" w:eastAsia="宋体"/>
                <w:color w:val="auto"/>
                <w:sz w:val="24"/>
                <w:szCs w:val="24"/>
              </w:rPr>
              <w:t>情况核实“三本账”</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P98-100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3" w:hRule="atLeast"/>
          <w:jc w:val="center"/>
        </w:trPr>
        <w:tc>
          <w:tcPr>
            <w:tcW w:w="667" w:type="pct"/>
            <w:vMerge w:val="restar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color w:val="auto"/>
                <w:sz w:val="24"/>
                <w:szCs w:val="24"/>
                <w:lang w:val="en-US" w:eastAsia="zh-CN"/>
              </w:rPr>
              <w:t>4</w:t>
            </w:r>
            <w:r>
              <w:rPr>
                <w:rFonts w:hint="eastAsia" w:ascii="Times New Roman" w:hAnsi="Times New Roman" w:eastAsia="宋体"/>
                <w:color w:val="auto"/>
                <w:sz w:val="24"/>
                <w:szCs w:val="24"/>
              </w:rPr>
              <w:t>环境现状调查</w:t>
            </w: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按相关要素导则要求完善地下水</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大气、声环境质量等监测资料；补充松杨湖的历史常期监测资料。</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ascii="Times New Roman" w:hAnsi="Times New Roman"/>
                <w:color w:val="auto"/>
                <w:sz w:val="24"/>
                <w:szCs w:val="24"/>
                <w:lang w:val="en-US" w:eastAsia="zh-CN"/>
              </w:rPr>
              <w:t>已</w:t>
            </w:r>
            <w:r>
              <w:rPr>
                <w:rFonts w:hint="eastAsia" w:ascii="Times New Roman" w:hAnsi="Times New Roman" w:eastAsia="宋体"/>
                <w:color w:val="auto"/>
                <w:sz w:val="24"/>
                <w:szCs w:val="24"/>
                <w:lang w:val="en-US" w:eastAsia="zh-CN"/>
              </w:rPr>
              <w:t>按相关要素导则要求完善地下水</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大气、声环境质量等监测资料；</w:t>
            </w:r>
            <w:r>
              <w:rPr>
                <w:rFonts w:hint="eastAsia" w:ascii="Times New Roman" w:hAnsi="Times New Roman"/>
                <w:color w:val="auto"/>
                <w:sz w:val="24"/>
                <w:szCs w:val="24"/>
                <w:lang w:val="en-US" w:eastAsia="zh-CN"/>
              </w:rPr>
              <w:t>已</w:t>
            </w:r>
            <w:r>
              <w:rPr>
                <w:rFonts w:hint="eastAsia" w:ascii="Times New Roman" w:hAnsi="Times New Roman" w:eastAsia="宋体"/>
                <w:color w:val="auto"/>
                <w:sz w:val="24"/>
                <w:szCs w:val="24"/>
                <w:lang w:val="en-US" w:eastAsia="zh-CN"/>
              </w:rPr>
              <w:t>补充松杨湖的历史常期监测资料。</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P106-123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3"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rPr>
              <w:t>）补充区域污染源调查。</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ascii="Times New Roman" w:hAnsi="Times New Roman"/>
                <w:color w:val="auto"/>
                <w:sz w:val="24"/>
                <w:szCs w:val="24"/>
                <w:lang w:val="en-US" w:eastAsia="zh-CN"/>
              </w:rPr>
              <w:t>已</w:t>
            </w:r>
            <w:r>
              <w:rPr>
                <w:rFonts w:hint="eastAsia" w:ascii="Times New Roman" w:hAnsi="Times New Roman" w:eastAsia="宋体"/>
                <w:color w:val="auto"/>
                <w:sz w:val="24"/>
                <w:szCs w:val="24"/>
              </w:rPr>
              <w:t>补充区域污染源调查</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P131-136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3" w:hRule="atLeast"/>
          <w:jc w:val="center"/>
        </w:trPr>
        <w:tc>
          <w:tcPr>
            <w:tcW w:w="667" w:type="pct"/>
            <w:vMerge w:val="restar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环境影响预测及污染防治措施可行性分析</w:t>
            </w:r>
          </w:p>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color w:val="auto"/>
                <w:sz w:val="24"/>
                <w:szCs w:val="24"/>
                <w:lang w:val="en-US" w:eastAsia="zh-CN"/>
              </w:rPr>
            </w:pPr>
          </w:p>
        </w:tc>
        <w:tc>
          <w:tcPr>
            <w:tcW w:w="1831"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结合排气筒共用情况，采用叠加现有工程后的风量及源强核实</w:t>
            </w:r>
            <w:r>
              <w:rPr>
                <w:rFonts w:hint="eastAsia" w:ascii="Times New Roman" w:hAnsi="Times New Roman" w:eastAsia="宋体"/>
                <w:color w:val="auto"/>
                <w:sz w:val="24"/>
                <w:szCs w:val="24"/>
              </w:rPr>
              <w:t>大气</w:t>
            </w:r>
            <w:r>
              <w:rPr>
                <w:rFonts w:hint="eastAsia" w:ascii="Times New Roman" w:hAnsi="Times New Roman" w:eastAsia="宋体"/>
                <w:color w:val="auto"/>
                <w:sz w:val="24"/>
                <w:szCs w:val="24"/>
                <w:lang w:val="en-US" w:eastAsia="zh-CN"/>
              </w:rPr>
              <w:t>环境影响</w:t>
            </w:r>
            <w:r>
              <w:rPr>
                <w:rFonts w:hint="eastAsia" w:ascii="Times New Roman" w:hAnsi="Times New Roman" w:eastAsia="宋体"/>
                <w:color w:val="auto"/>
                <w:sz w:val="24"/>
                <w:szCs w:val="24"/>
              </w:rPr>
              <w:t>预测</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同步根据核实后的大气评价等级、排气筒高度和废气设施完善预测内容</w:t>
            </w:r>
            <w:r>
              <w:rPr>
                <w:rFonts w:hint="eastAsia" w:ascii="Times New Roman" w:hAnsi="Times New Roman" w:eastAsia="宋体"/>
                <w:color w:val="auto"/>
                <w:sz w:val="24"/>
                <w:szCs w:val="24"/>
              </w:rPr>
              <w:t>。</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结合排气筒共用情况，采用叠加现有工程后的风量及源强核实</w:t>
            </w:r>
            <w:r>
              <w:rPr>
                <w:rFonts w:hint="eastAsia" w:ascii="Times New Roman" w:hAnsi="Times New Roman" w:eastAsia="宋体"/>
                <w:color w:val="auto"/>
                <w:sz w:val="24"/>
                <w:szCs w:val="24"/>
              </w:rPr>
              <w:t>大气</w:t>
            </w:r>
            <w:r>
              <w:rPr>
                <w:rFonts w:hint="eastAsia" w:ascii="Times New Roman" w:hAnsi="Times New Roman" w:eastAsia="宋体"/>
                <w:color w:val="auto"/>
                <w:sz w:val="24"/>
                <w:szCs w:val="24"/>
                <w:lang w:val="en-US" w:eastAsia="zh-CN"/>
              </w:rPr>
              <w:t>环境影响</w:t>
            </w:r>
            <w:r>
              <w:rPr>
                <w:rFonts w:hint="eastAsia" w:ascii="Times New Roman" w:hAnsi="Times New Roman" w:eastAsia="宋体"/>
                <w:color w:val="auto"/>
                <w:sz w:val="24"/>
                <w:szCs w:val="24"/>
              </w:rPr>
              <w:t>预测</w:t>
            </w:r>
            <w:r>
              <w:rPr>
                <w:rFonts w:hint="eastAsia" w:ascii="Times New Roman" w:hAnsi="Times New Roman" w:eastAsia="宋体"/>
                <w:color w:val="auto"/>
                <w:sz w:val="24"/>
                <w:szCs w:val="24"/>
                <w:lang w:eastAsia="zh-CN"/>
              </w:rPr>
              <w:t>；</w:t>
            </w:r>
            <w:r>
              <w:rPr>
                <w:rFonts w:hint="eastAsia"/>
                <w:color w:val="auto"/>
                <w:sz w:val="24"/>
                <w:szCs w:val="24"/>
                <w:lang w:val="en-US" w:eastAsia="zh-CN"/>
              </w:rPr>
              <w:t>已</w:t>
            </w:r>
            <w:r>
              <w:rPr>
                <w:rFonts w:hint="eastAsia" w:ascii="Times New Roman" w:hAnsi="Times New Roman" w:eastAsia="宋体"/>
                <w:color w:val="auto"/>
                <w:sz w:val="24"/>
                <w:szCs w:val="24"/>
                <w:lang w:val="en-US" w:eastAsia="zh-CN"/>
              </w:rPr>
              <w:t>根据核实后的大气评价等级、排气筒高度和废气设施完善预测内容</w:t>
            </w:r>
            <w:r>
              <w:rPr>
                <w:rFonts w:hint="eastAsia" w:ascii="Times New Roman" w:hAnsi="Times New Roman" w:eastAsia="宋体"/>
                <w:color w:val="auto"/>
                <w:sz w:val="24"/>
                <w:szCs w:val="24"/>
              </w:rPr>
              <w:t>。</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P141;P147-158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3"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（2）</w:t>
            </w:r>
            <w:r>
              <w:rPr>
                <w:rFonts w:hint="eastAsia" w:ascii="Times New Roman" w:hAnsi="Times New Roman" w:eastAsia="宋体"/>
                <w:color w:val="auto"/>
                <w:sz w:val="24"/>
                <w:szCs w:val="24"/>
                <w:lang w:val="en-US" w:eastAsia="zh-CN"/>
              </w:rPr>
              <w:t>补充本次评价的废气收集情况和废气处理设施变化情况；根据校核后的废气处理工艺、物质水溶性、排气筒高度，结合同类工程或同类设施的工程实践数据等完善废气收集和处理设施可行分析</w:t>
            </w:r>
            <w:r>
              <w:rPr>
                <w:rFonts w:hint="eastAsia" w:ascii="Times New Roman" w:hAnsi="Times New Roman" w:eastAsia="宋体"/>
                <w:color w:val="auto"/>
                <w:sz w:val="24"/>
                <w:szCs w:val="24"/>
              </w:rPr>
              <w:t>。</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lang w:val="en-US" w:eastAsia="zh-CN"/>
              </w:rPr>
              <w:t>已</w:t>
            </w:r>
            <w:r>
              <w:rPr>
                <w:rFonts w:hint="eastAsia" w:ascii="Times New Roman" w:hAnsi="Times New Roman" w:eastAsia="宋体"/>
                <w:color w:val="auto"/>
                <w:sz w:val="24"/>
                <w:szCs w:val="24"/>
                <w:lang w:val="en-US" w:eastAsia="zh-CN"/>
              </w:rPr>
              <w:t>补充本次评价的废气收集情况和废气处理设施变化情况；</w:t>
            </w:r>
            <w:r>
              <w:rPr>
                <w:rFonts w:hint="eastAsia"/>
                <w:color w:val="auto"/>
                <w:sz w:val="24"/>
                <w:szCs w:val="24"/>
                <w:lang w:val="en-US" w:eastAsia="zh-CN"/>
              </w:rPr>
              <w:t>已</w:t>
            </w:r>
            <w:r>
              <w:rPr>
                <w:rFonts w:hint="eastAsia" w:ascii="Times New Roman" w:hAnsi="Times New Roman" w:eastAsia="宋体"/>
                <w:color w:val="auto"/>
                <w:sz w:val="24"/>
                <w:szCs w:val="24"/>
                <w:lang w:val="en-US" w:eastAsia="zh-CN"/>
              </w:rPr>
              <w:t>根据校核后的废气处理工艺、物质水溶性、排气筒高度，结合同类工程或同类设施的工程实践数据等完善废气收集和处理设施可行分析</w:t>
            </w:r>
            <w:r>
              <w:rPr>
                <w:rFonts w:hint="eastAsia" w:ascii="Times New Roman" w:hAnsi="Times New Roman" w:eastAsia="宋体"/>
                <w:color w:val="auto"/>
                <w:sz w:val="24"/>
                <w:szCs w:val="24"/>
              </w:rPr>
              <w:t>。</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P174-175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3"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（3）</w:t>
            </w:r>
            <w:r>
              <w:rPr>
                <w:rFonts w:hint="eastAsia" w:ascii="Times New Roman" w:hAnsi="Times New Roman" w:eastAsia="宋体"/>
                <w:color w:val="auto"/>
                <w:sz w:val="24"/>
                <w:szCs w:val="24"/>
                <w:lang w:val="en-US" w:eastAsia="zh-CN"/>
              </w:rPr>
              <w:t>根据校核后的废水水量和水质、实际废水处理工艺、各废水工序的处理效率等完善废水处理设施可行性分析</w:t>
            </w:r>
            <w:r>
              <w:rPr>
                <w:rFonts w:hint="eastAsia" w:ascii="Times New Roman" w:hAnsi="Times New Roman" w:eastAsia="宋体"/>
                <w:color w:val="auto"/>
                <w:sz w:val="24"/>
                <w:szCs w:val="24"/>
              </w:rPr>
              <w:t>。</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根据校核后的废水水量和水质、实际废水处理工艺、各废水工序的处理效率等完善废水处理设施可行性分析</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P179-180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3"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（4）</w:t>
            </w:r>
            <w:r>
              <w:rPr>
                <w:rFonts w:hint="eastAsia" w:ascii="Times New Roman" w:hAnsi="Times New Roman" w:eastAsia="宋体"/>
                <w:color w:val="auto"/>
                <w:sz w:val="24"/>
                <w:szCs w:val="24"/>
                <w:lang w:val="en-US" w:eastAsia="zh-CN"/>
              </w:rPr>
              <w:t>结合新增产噪设备的数量、位置等，完善噪声预测分析</w:t>
            </w:r>
            <w:r>
              <w:rPr>
                <w:rFonts w:hint="eastAsia" w:ascii="Times New Roman" w:hAnsi="Times New Roman" w:eastAsia="宋体"/>
                <w:color w:val="auto"/>
                <w:sz w:val="24"/>
                <w:szCs w:val="24"/>
              </w:rPr>
              <w:t>。</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结合新增产噪设备的数量、位置等，完善噪声预测分析</w:t>
            </w:r>
            <w:r>
              <w:rPr>
                <w:rFonts w:hint="eastAsia" w:ascii="Times New Roman" w:hAnsi="Times New Roman" w:eastAsia="宋体"/>
                <w:color w:val="auto"/>
                <w:sz w:val="24"/>
                <w:szCs w:val="24"/>
              </w:rPr>
              <w:t>。</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P167-168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3"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（5）</w:t>
            </w:r>
            <w:r>
              <w:rPr>
                <w:rFonts w:hint="eastAsia" w:ascii="Times New Roman" w:hAnsi="Times New Roman" w:eastAsia="宋体"/>
                <w:color w:val="auto"/>
                <w:sz w:val="24"/>
                <w:szCs w:val="24"/>
                <w:lang w:val="en-US" w:eastAsia="zh-CN"/>
              </w:rPr>
              <w:t>根据厂区连续生产的现实情况及厂区内风险物质的最大存在量，核实风险评价等级，并结合核对后的评价等级完善风险评价内容</w:t>
            </w:r>
            <w:r>
              <w:rPr>
                <w:rFonts w:hint="eastAsia" w:ascii="Times New Roman" w:hAnsi="Times New Roman" w:eastAsia="宋体"/>
                <w:color w:val="auto"/>
                <w:sz w:val="24"/>
                <w:szCs w:val="24"/>
              </w:rPr>
              <w:t>。</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color w:val="auto"/>
                <w:sz w:val="24"/>
                <w:szCs w:val="24"/>
                <w:vertAlign w:val="baseline"/>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根据厂区连续生产的现实情况及厂区内风险物质的最大存在量，核实风险评价等级，并结合核对后的评价等级完善风险评价内容</w:t>
            </w:r>
            <w:r>
              <w:rPr>
                <w:rFonts w:hint="eastAsia" w:ascii="Times New Roman" w:hAnsi="Times New Roman" w:eastAsia="宋体"/>
                <w:color w:val="auto"/>
                <w:sz w:val="24"/>
                <w:szCs w:val="24"/>
              </w:rPr>
              <w:t>。</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jc w:val="center"/>
        </w:trPr>
        <w:tc>
          <w:tcPr>
            <w:tcW w:w="667" w:type="pct"/>
            <w:vMerge w:val="restar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6监测</w:t>
            </w:r>
            <w:r>
              <w:rPr>
                <w:rFonts w:hint="eastAsia" w:ascii="Times New Roman" w:hAnsi="Times New Roman" w:eastAsia="宋体"/>
                <w:color w:val="auto"/>
                <w:sz w:val="24"/>
                <w:szCs w:val="24"/>
              </w:rPr>
              <w:t>计划、环保投资及可行性分析</w:t>
            </w:r>
          </w:p>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color w:val="auto"/>
                <w:sz w:val="24"/>
                <w:szCs w:val="24"/>
                <w:lang w:val="en-US" w:eastAsia="zh-CN"/>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补充项目建设与湖南岳阳绿色化工产业园云溪片区的准入清单的符合性分析、与湖南省VOCs污染防治三年行动实施方案（2018-2020）》的相符性分析。</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eastAsia="宋体"/>
                <w:color w:val="auto"/>
                <w:sz w:val="24"/>
                <w:szCs w:val="24"/>
                <w:vertAlign w:val="baseline"/>
                <w:lang w:val="en-US" w:eastAsia="zh-CN"/>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补充项目建设与湖南岳阳绿色化工产业园云溪片区的准入清单的符合性分析、与湖南省VOCs污染防治三年行动实施方案（2018-2020）》的相符性分析。</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rPr>
            </w:pPr>
          </w:p>
        </w:tc>
        <w:tc>
          <w:tcPr>
            <w:tcW w:w="1831"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lang w:val="en-US" w:eastAsia="zh-CN"/>
              </w:rPr>
              <w:t>（2）根据废气、废水处理设施变化情况等核实环保投资。</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eastAsia="宋体"/>
                <w:color w:val="auto"/>
                <w:sz w:val="24"/>
                <w:szCs w:val="24"/>
                <w:vertAlign w:val="baseline"/>
                <w:lang w:eastAsia="zh-CN"/>
              </w:rPr>
            </w:pPr>
            <w:r>
              <w:rPr>
                <w:rFonts w:hint="eastAsia"/>
                <w:color w:val="auto"/>
                <w:sz w:val="24"/>
                <w:szCs w:val="24"/>
                <w:vertAlign w:val="baseline"/>
                <w:lang w:eastAsia="zh-CN"/>
              </w:rPr>
              <w:t>根据废气、废水处理设施变化情况等已核实环保投资</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P210-211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环境管理与监测计划中补充污染源排放清单；结合现有工程的监测计划和本次改扩建新增的监测因子和点位、相关规范中监测频次的要求等完善监测计划。</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eastAsia="宋体"/>
                <w:color w:val="auto"/>
                <w:sz w:val="24"/>
                <w:szCs w:val="24"/>
                <w:vertAlign w:val="baseline"/>
                <w:lang w:eastAsia="zh-CN"/>
              </w:rPr>
            </w:pPr>
            <w:r>
              <w:rPr>
                <w:rFonts w:hint="eastAsia" w:eastAsia="宋体"/>
                <w:color w:val="auto"/>
                <w:sz w:val="24"/>
                <w:szCs w:val="24"/>
                <w:lang w:val="en-US" w:eastAsia="zh-CN"/>
              </w:rPr>
              <w:t>已补充</w:t>
            </w:r>
            <w:r>
              <w:rPr>
                <w:rFonts w:hint="eastAsia" w:ascii="Times New Roman" w:hAnsi="Times New Roman" w:eastAsia="宋体"/>
                <w:color w:val="auto"/>
                <w:sz w:val="24"/>
                <w:szCs w:val="24"/>
                <w:lang w:val="en-US" w:eastAsia="zh-CN"/>
              </w:rPr>
              <w:t>环境管理与监测计划中污染源排放清单；</w:t>
            </w:r>
            <w:r>
              <w:rPr>
                <w:rFonts w:hint="eastAsia" w:eastAsia="宋体"/>
                <w:color w:val="auto"/>
                <w:sz w:val="24"/>
                <w:szCs w:val="24"/>
                <w:lang w:val="en-US" w:eastAsia="zh-CN"/>
              </w:rPr>
              <w:t>已</w:t>
            </w:r>
            <w:r>
              <w:rPr>
                <w:rFonts w:hint="eastAsia" w:ascii="Times New Roman" w:hAnsi="Times New Roman" w:eastAsia="宋体"/>
                <w:color w:val="auto"/>
                <w:sz w:val="24"/>
                <w:szCs w:val="24"/>
                <w:lang w:val="en-US" w:eastAsia="zh-CN"/>
              </w:rPr>
              <w:t>结合现有工程的监测计划和本次改扩建新增的监测因子和点位、相关规范中监测频次的要求等完善</w:t>
            </w:r>
            <w:r>
              <w:rPr>
                <w:rFonts w:hint="eastAsia" w:eastAsia="宋体"/>
                <w:color w:val="auto"/>
                <w:sz w:val="24"/>
                <w:szCs w:val="24"/>
                <w:lang w:val="en-US" w:eastAsia="zh-CN"/>
              </w:rPr>
              <w:t>了</w:t>
            </w:r>
            <w:r>
              <w:rPr>
                <w:rFonts w:hint="eastAsia" w:ascii="Times New Roman" w:hAnsi="Times New Roman" w:eastAsia="宋体"/>
                <w:color w:val="auto"/>
                <w:sz w:val="24"/>
                <w:szCs w:val="24"/>
                <w:lang w:val="en-US" w:eastAsia="zh-CN"/>
              </w:rPr>
              <w:t>监测计划。</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P216-217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校核总量指标，补充总量指标变化表。</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eastAsia="宋体"/>
                <w:color w:val="auto"/>
                <w:sz w:val="24"/>
                <w:szCs w:val="24"/>
                <w:vertAlign w:val="baseline"/>
                <w:lang w:val="en-US" w:eastAsia="zh-CN"/>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校核总量指标，补充总量指标变化表。</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P218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p>
        </w:tc>
        <w:tc>
          <w:tcPr>
            <w:tcW w:w="1831"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核实</w:t>
            </w:r>
            <w:r>
              <w:rPr>
                <w:rFonts w:hint="eastAsia" w:ascii="Times New Roman" w:hAnsi="Times New Roman" w:eastAsia="宋体"/>
                <w:color w:val="auto"/>
                <w:sz w:val="24"/>
                <w:szCs w:val="24"/>
              </w:rPr>
              <w:t>环保设施“三同时”竣工验收一览表。</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ascii="Times New Roman" w:hAnsi="Times New Roman"/>
                <w:color w:val="auto"/>
                <w:sz w:val="24"/>
                <w:szCs w:val="24"/>
                <w:lang w:val="en-US" w:eastAsia="zh-CN"/>
              </w:rPr>
              <w:t>已</w:t>
            </w:r>
            <w:r>
              <w:rPr>
                <w:rFonts w:hint="eastAsia" w:ascii="Times New Roman" w:hAnsi="Times New Roman" w:eastAsia="宋体"/>
                <w:color w:val="auto"/>
                <w:sz w:val="24"/>
                <w:szCs w:val="24"/>
                <w:lang w:val="en-US" w:eastAsia="zh-CN"/>
              </w:rPr>
              <w:t>核实</w:t>
            </w:r>
            <w:r>
              <w:rPr>
                <w:rFonts w:hint="eastAsia" w:ascii="Times New Roman" w:hAnsi="Times New Roman" w:eastAsia="宋体"/>
                <w:color w:val="auto"/>
                <w:sz w:val="24"/>
                <w:szCs w:val="24"/>
              </w:rPr>
              <w:t>环保设施“三同时”竣工验收一览表。</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color w:val="auto"/>
                <w:sz w:val="24"/>
                <w:szCs w:val="24"/>
                <w:vertAlign w:val="baseline"/>
                <w:lang w:val="en-US"/>
              </w:rPr>
            </w:pPr>
            <w:r>
              <w:rPr>
                <w:rFonts w:hint="eastAsia"/>
                <w:color w:val="auto"/>
                <w:sz w:val="24"/>
                <w:szCs w:val="24"/>
                <w:vertAlign w:val="baseline"/>
                <w:lang w:val="en-US" w:eastAsia="zh-CN"/>
              </w:rPr>
              <w:t>P218-219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0" w:hRule="atLeast"/>
          <w:jc w:val="center"/>
        </w:trPr>
        <w:tc>
          <w:tcPr>
            <w:tcW w:w="667" w:type="pct"/>
            <w:vMerge w:val="restar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7</w:t>
            </w:r>
            <w:r>
              <w:rPr>
                <w:rFonts w:hint="eastAsia" w:ascii="Times New Roman" w:hAnsi="Times New Roman" w:eastAsia="宋体"/>
                <w:color w:val="auto"/>
                <w:sz w:val="24"/>
                <w:szCs w:val="24"/>
              </w:rPr>
              <w:t>、完善附图、附</w:t>
            </w:r>
            <w:r>
              <w:rPr>
                <w:rFonts w:hint="eastAsia" w:ascii="Times New Roman" w:hAnsi="Times New Roman" w:eastAsia="宋体"/>
                <w:color w:val="auto"/>
                <w:sz w:val="24"/>
                <w:szCs w:val="24"/>
                <w:lang w:val="en-US" w:eastAsia="zh-CN"/>
              </w:rPr>
              <w:t>表</w:t>
            </w:r>
          </w:p>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color w:val="auto"/>
                <w:sz w:val="24"/>
                <w:szCs w:val="24"/>
                <w:lang w:val="en-US" w:eastAsia="zh-CN"/>
              </w:rPr>
            </w:pPr>
          </w:p>
        </w:tc>
        <w:tc>
          <w:tcPr>
            <w:tcW w:w="1831"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vertAlign w:val="baseline"/>
              </w:rPr>
            </w:pPr>
            <w:r>
              <w:rPr>
                <w:rFonts w:hint="eastAsia" w:ascii="Times New Roman" w:hAnsi="Times New Roman" w:eastAsia="宋体"/>
                <w:color w:val="auto"/>
                <w:sz w:val="24"/>
                <w:szCs w:val="24"/>
              </w:rPr>
              <w:t>（1）补充</w:t>
            </w:r>
            <w:r>
              <w:rPr>
                <w:rFonts w:hint="eastAsia" w:ascii="Times New Roman" w:hAnsi="Times New Roman" w:eastAsia="宋体"/>
                <w:color w:val="auto"/>
                <w:sz w:val="24"/>
                <w:szCs w:val="24"/>
                <w:lang w:val="en-US" w:eastAsia="zh-CN"/>
              </w:rPr>
              <w:t>土壤和地下水自查表</w:t>
            </w:r>
            <w:r>
              <w:rPr>
                <w:rFonts w:hint="eastAsia" w:ascii="Times New Roman" w:hAnsi="Times New Roman" w:eastAsia="宋体"/>
                <w:color w:val="auto"/>
                <w:sz w:val="24"/>
                <w:szCs w:val="24"/>
              </w:rPr>
              <w:t>。</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eastAsia="宋体"/>
                <w:color w:val="auto"/>
                <w:sz w:val="24"/>
                <w:szCs w:val="24"/>
                <w:vertAlign w:val="baseline"/>
                <w:lang w:val="en-US" w:eastAsia="zh-CN"/>
              </w:rPr>
            </w:pPr>
            <w:r>
              <w:rPr>
                <w:rFonts w:hint="eastAsia"/>
                <w:color w:val="auto"/>
                <w:sz w:val="24"/>
                <w:szCs w:val="24"/>
                <w:vertAlign w:val="baseline"/>
                <w:lang w:val="en-US" w:eastAsia="zh-CN"/>
              </w:rPr>
              <w:t>已补充</w:t>
            </w:r>
            <w:r>
              <w:rPr>
                <w:rFonts w:hint="eastAsia" w:ascii="Times New Roman" w:hAnsi="Times New Roman" w:eastAsia="宋体"/>
                <w:color w:val="auto"/>
                <w:sz w:val="24"/>
                <w:szCs w:val="24"/>
                <w:lang w:val="en-US" w:eastAsia="zh-CN"/>
              </w:rPr>
              <w:t>土壤自查表</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见附表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0" w:hRule="atLeast"/>
          <w:jc w:val="center"/>
        </w:trPr>
        <w:tc>
          <w:tcPr>
            <w:tcW w:w="667" w:type="pct"/>
            <w:vMerge w:val="continue"/>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color w:val="auto"/>
                <w:sz w:val="24"/>
                <w:szCs w:val="24"/>
              </w:rPr>
            </w:pPr>
          </w:p>
        </w:tc>
        <w:tc>
          <w:tcPr>
            <w:tcW w:w="1831" w:type="pct"/>
            <w:noWrap w:val="0"/>
            <w:vAlign w:val="center"/>
          </w:tcPr>
          <w:p>
            <w:pPr>
              <w:pStyle w:val="6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color w:val="auto"/>
                <w:sz w:val="24"/>
                <w:szCs w:val="24"/>
                <w:vertAlign w:val="baseline"/>
              </w:rPr>
            </w:pPr>
            <w:r>
              <w:rPr>
                <w:rFonts w:hint="eastAsia" w:ascii="Times New Roman" w:hAnsi="Times New Roman" w:eastAsia="宋体"/>
                <w:color w:val="auto"/>
                <w:sz w:val="24"/>
                <w:szCs w:val="24"/>
              </w:rPr>
              <w:t>（2）</w:t>
            </w:r>
            <w:r>
              <w:rPr>
                <w:rFonts w:hint="eastAsia" w:ascii="Times New Roman" w:hAnsi="Times New Roman" w:eastAsia="宋体"/>
                <w:color w:val="auto"/>
                <w:sz w:val="24"/>
                <w:szCs w:val="24"/>
                <w:lang w:val="en-US" w:eastAsia="zh-CN"/>
              </w:rPr>
              <w:t>补充土壤、噪声和地下水</w:t>
            </w:r>
            <w:r>
              <w:rPr>
                <w:rFonts w:hint="eastAsia" w:ascii="Times New Roman" w:hAnsi="Times New Roman" w:eastAsia="宋体"/>
                <w:color w:val="auto"/>
                <w:sz w:val="24"/>
                <w:szCs w:val="24"/>
              </w:rPr>
              <w:t>评价范围图；</w:t>
            </w:r>
            <w:r>
              <w:rPr>
                <w:rFonts w:hint="eastAsia" w:ascii="Times New Roman" w:hAnsi="Times New Roman" w:eastAsia="宋体"/>
                <w:color w:val="auto"/>
                <w:sz w:val="24"/>
                <w:szCs w:val="24"/>
                <w:lang w:val="en-US" w:eastAsia="zh-CN"/>
              </w:rPr>
              <w:t>完善平面布置图，补充依托的储罐区的位置</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补充现状处理设施照片。</w:t>
            </w:r>
          </w:p>
        </w:tc>
        <w:tc>
          <w:tcPr>
            <w:tcW w:w="1597"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eastAsia="宋体"/>
                <w:color w:val="auto"/>
                <w:sz w:val="24"/>
                <w:szCs w:val="24"/>
                <w:vertAlign w:val="baseline"/>
                <w:lang w:val="en-US" w:eastAsia="zh-CN"/>
              </w:rPr>
            </w:pPr>
            <w:r>
              <w:rPr>
                <w:rFonts w:hint="eastAsia"/>
                <w:color w:val="auto"/>
                <w:sz w:val="24"/>
                <w:szCs w:val="24"/>
                <w:vertAlign w:val="baseline"/>
                <w:lang w:val="en-US" w:eastAsia="zh-CN"/>
              </w:rPr>
              <w:t>已</w:t>
            </w:r>
            <w:r>
              <w:rPr>
                <w:rFonts w:hint="eastAsia" w:ascii="Times New Roman" w:hAnsi="Times New Roman" w:eastAsia="宋体"/>
                <w:color w:val="auto"/>
                <w:sz w:val="24"/>
                <w:szCs w:val="24"/>
                <w:lang w:val="en-US" w:eastAsia="zh-CN"/>
              </w:rPr>
              <w:t>补充土壤、噪声和地下水</w:t>
            </w:r>
            <w:r>
              <w:rPr>
                <w:rFonts w:hint="eastAsia" w:ascii="Times New Roman" w:hAnsi="Times New Roman" w:eastAsia="宋体"/>
                <w:color w:val="auto"/>
                <w:sz w:val="24"/>
                <w:szCs w:val="24"/>
              </w:rPr>
              <w:t>评价范围图；</w:t>
            </w:r>
            <w:r>
              <w:rPr>
                <w:rFonts w:hint="eastAsia" w:ascii="Times New Roman" w:hAnsi="Times New Roman"/>
                <w:color w:val="auto"/>
                <w:sz w:val="24"/>
                <w:szCs w:val="24"/>
                <w:lang w:val="en-US" w:eastAsia="zh-CN"/>
              </w:rPr>
              <w:t>已</w:t>
            </w:r>
            <w:r>
              <w:rPr>
                <w:rFonts w:hint="eastAsia" w:ascii="Times New Roman" w:hAnsi="Times New Roman" w:eastAsia="宋体"/>
                <w:color w:val="auto"/>
                <w:sz w:val="24"/>
                <w:szCs w:val="24"/>
                <w:lang w:val="en-US" w:eastAsia="zh-CN"/>
              </w:rPr>
              <w:t>完善平面布置图，补充依托的储罐区的位置</w:t>
            </w:r>
            <w:r>
              <w:rPr>
                <w:rFonts w:hint="eastAsia" w:ascii="Times New Roman" w:hAnsi="Times New Roman" w:eastAsia="宋体"/>
                <w:color w:val="auto"/>
                <w:sz w:val="24"/>
                <w:szCs w:val="24"/>
                <w:lang w:eastAsia="zh-CN"/>
              </w:rPr>
              <w:t>；</w:t>
            </w:r>
            <w:r>
              <w:rPr>
                <w:rFonts w:hint="eastAsia" w:ascii="Times New Roman" w:hAnsi="Times New Roman"/>
                <w:color w:val="auto"/>
                <w:sz w:val="24"/>
                <w:szCs w:val="24"/>
                <w:lang w:val="en-US" w:eastAsia="zh-CN"/>
              </w:rPr>
              <w:t>已</w:t>
            </w:r>
            <w:r>
              <w:rPr>
                <w:rFonts w:hint="eastAsia" w:ascii="Times New Roman" w:hAnsi="Times New Roman" w:eastAsia="宋体"/>
                <w:color w:val="auto"/>
                <w:sz w:val="24"/>
                <w:szCs w:val="24"/>
                <w:lang w:val="en-US" w:eastAsia="zh-CN"/>
              </w:rPr>
              <w:t>补充现状处理设施照片</w:t>
            </w:r>
          </w:p>
        </w:tc>
        <w:tc>
          <w:tcPr>
            <w:tcW w:w="902" w:type="pct"/>
            <w:noWrap w:val="0"/>
            <w:vAlign w:val="center"/>
          </w:tcPr>
          <w:p>
            <w:pPr>
              <w:pStyle w:val="3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eastAsia="宋体"/>
                <w:color w:val="auto"/>
                <w:sz w:val="24"/>
                <w:szCs w:val="24"/>
                <w:vertAlign w:val="baseline"/>
                <w:lang w:val="en-US" w:eastAsia="zh-CN"/>
              </w:rPr>
            </w:pPr>
            <w:r>
              <w:rPr>
                <w:rFonts w:hint="eastAsia"/>
                <w:color w:val="auto"/>
                <w:sz w:val="24"/>
                <w:szCs w:val="24"/>
                <w:vertAlign w:val="baseline"/>
                <w:lang w:val="en-US" w:eastAsia="zh-CN"/>
              </w:rPr>
              <w:t>见附图</w:t>
            </w:r>
          </w:p>
        </w:tc>
      </w:tr>
    </w:tbl>
    <w:p>
      <w:pPr>
        <w:pStyle w:val="33"/>
        <w:rPr>
          <w:color w:val="auto"/>
        </w:rPr>
      </w:pPr>
    </w:p>
    <w:p>
      <w:pPr>
        <w:rPr>
          <w:color w:val="auto"/>
        </w:rPr>
      </w:pPr>
    </w:p>
    <w:p>
      <w:pPr>
        <w:pStyle w:val="12"/>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ind w:left="0" w:leftChars="0" w:firstLine="0" w:firstLineChars="0"/>
        <w:rPr>
          <w:rFonts w:hint="eastAsia" w:eastAsia="宋体"/>
          <w:color w:val="auto"/>
          <w:lang w:eastAsia="zh-CN"/>
        </w:rPr>
        <w:sectPr>
          <w:pgSz w:w="11906" w:h="16838"/>
          <w:pgMar w:top="1417" w:right="1304" w:bottom="1417" w:left="1304"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eastAsia="宋体"/>
          <w:color w:val="auto"/>
          <w:lang w:eastAsia="zh-CN"/>
        </w:rPr>
        <w:drawing>
          <wp:inline distT="0" distB="0" distL="114300" distR="114300">
            <wp:extent cx="5752465" cy="8463280"/>
            <wp:effectExtent l="0" t="0" r="635" b="13970"/>
            <wp:docPr id="4" name="图片 4" descr="e03a6ce0ce5d3cd5f19fb8b88cb6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03a6ce0ce5d3cd5f19fb8b88cb6ce7"/>
                    <pic:cNvPicPr>
                      <a:picLocks noChangeAspect="1"/>
                    </pic:cNvPicPr>
                  </pic:nvPicPr>
                  <pic:blipFill>
                    <a:blip r:embed="rId12"/>
                    <a:stretch>
                      <a:fillRect/>
                    </a:stretch>
                  </pic:blipFill>
                  <pic:spPr>
                    <a:xfrm>
                      <a:off x="0" y="0"/>
                      <a:ext cx="5752465" cy="8463280"/>
                    </a:xfrm>
                    <a:prstGeom prst="rect">
                      <a:avLst/>
                    </a:prstGeom>
                  </pic:spPr>
                </pic:pic>
              </a:graphicData>
            </a:graphic>
          </wp:inline>
        </w:drawing>
      </w:r>
      <w:r>
        <w:rPr>
          <w:rFonts w:hint="eastAsia" w:eastAsia="宋体"/>
          <w:color w:val="auto"/>
          <w:lang w:eastAsia="zh-CN"/>
        </w:rPr>
        <w:drawing>
          <wp:inline distT="0" distB="0" distL="114300" distR="114300">
            <wp:extent cx="5828665" cy="8354060"/>
            <wp:effectExtent l="0" t="0" r="635" b="8890"/>
            <wp:docPr id="52" name="图片 52" descr="578db511887dd19c25282e978386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78db511887dd19c25282e978386b3b"/>
                    <pic:cNvPicPr>
                      <a:picLocks noChangeAspect="1"/>
                    </pic:cNvPicPr>
                  </pic:nvPicPr>
                  <pic:blipFill>
                    <a:blip r:embed="rId13"/>
                    <a:stretch>
                      <a:fillRect/>
                    </a:stretch>
                  </pic:blipFill>
                  <pic:spPr>
                    <a:xfrm>
                      <a:off x="0" y="0"/>
                      <a:ext cx="5828665" cy="8354060"/>
                    </a:xfrm>
                    <a:prstGeom prst="rect">
                      <a:avLst/>
                    </a:prstGeom>
                  </pic:spPr>
                </pic:pic>
              </a:graphicData>
            </a:graphic>
          </wp:inline>
        </w:drawing>
      </w:r>
    </w:p>
    <w:p>
      <w:pPr>
        <w:pStyle w:val="36"/>
        <w:bidi w:val="0"/>
        <w:rPr>
          <w:color w:val="auto"/>
          <w:sz w:val="36"/>
          <w:szCs w:val="36"/>
        </w:rPr>
      </w:pPr>
      <w:r>
        <w:rPr>
          <w:color w:val="auto"/>
          <w:sz w:val="36"/>
          <w:szCs w:val="36"/>
        </w:rPr>
        <w:t>目录</w:t>
      </w:r>
    </w:p>
    <w:p>
      <w:pPr>
        <w:pStyle w:val="18"/>
        <w:tabs>
          <w:tab w:val="right" w:leader="dot" w:pos="9298"/>
        </w:tabs>
        <w:rPr>
          <w:color w:val="auto"/>
        </w:rPr>
      </w:pPr>
      <w:r>
        <w:rPr>
          <w:b/>
          <w:color w:val="auto"/>
          <w:sz w:val="28"/>
          <w:szCs w:val="28"/>
        </w:rPr>
        <w:fldChar w:fldCharType="begin"/>
      </w:r>
      <w:r>
        <w:rPr>
          <w:b/>
          <w:color w:val="auto"/>
          <w:sz w:val="28"/>
          <w:szCs w:val="28"/>
        </w:rPr>
        <w:instrText xml:space="preserve">TOC \o "1-2" \h \u </w:instrText>
      </w:r>
      <w:r>
        <w:rPr>
          <w:b/>
          <w:color w:val="auto"/>
          <w:sz w:val="28"/>
          <w:szCs w:val="28"/>
        </w:rPr>
        <w:fldChar w:fldCharType="separate"/>
      </w:r>
      <w:r>
        <w:rPr>
          <w:color w:val="auto"/>
          <w:szCs w:val="28"/>
        </w:rPr>
        <w:fldChar w:fldCharType="begin"/>
      </w:r>
      <w:r>
        <w:rPr>
          <w:color w:val="auto"/>
          <w:szCs w:val="28"/>
        </w:rPr>
        <w:instrText xml:space="preserve"> HYPERLINK \l _Toc1343 </w:instrText>
      </w:r>
      <w:r>
        <w:rPr>
          <w:color w:val="auto"/>
          <w:szCs w:val="28"/>
        </w:rPr>
        <w:fldChar w:fldCharType="separate"/>
      </w:r>
      <w:r>
        <w:rPr>
          <w:rFonts w:hint="eastAsia" w:ascii="Times New Roman" w:hAnsi="Times New Roman" w:eastAsia="宋体" w:cs="Times New Roman"/>
          <w:color w:val="auto"/>
          <w:kern w:val="44"/>
          <w:szCs w:val="32"/>
          <w:lang w:val="en-US" w:eastAsia="zh-CN" w:bidi="ar-SA"/>
        </w:rPr>
        <w:t>1、</w:t>
      </w:r>
      <w:r>
        <w:rPr>
          <w:rFonts w:ascii="Times New Roman" w:hAnsi="Times New Roman" w:eastAsia="宋体" w:cs="Times New Roman"/>
          <w:color w:val="auto"/>
          <w:kern w:val="44"/>
          <w:szCs w:val="32"/>
          <w:lang w:val="en-US" w:eastAsia="zh-CN" w:bidi="ar-SA"/>
        </w:rPr>
        <w:t>概述</w:t>
      </w:r>
      <w:r>
        <w:rPr>
          <w:color w:val="auto"/>
        </w:rPr>
        <w:tab/>
      </w:r>
      <w:r>
        <w:rPr>
          <w:color w:val="auto"/>
        </w:rPr>
        <w:fldChar w:fldCharType="begin"/>
      </w:r>
      <w:r>
        <w:rPr>
          <w:color w:val="auto"/>
        </w:rPr>
        <w:instrText xml:space="preserve"> PAGEREF _Toc1343 \h </w:instrText>
      </w:r>
      <w:r>
        <w:rPr>
          <w:color w:val="auto"/>
        </w:rPr>
        <w:fldChar w:fldCharType="separate"/>
      </w:r>
      <w:r>
        <w:rPr>
          <w:color w:val="auto"/>
        </w:rPr>
        <w:t>- 1 -</w:t>
      </w:r>
      <w:r>
        <w:rPr>
          <w:color w:val="auto"/>
        </w:rPr>
        <w:fldChar w:fldCharType="end"/>
      </w:r>
      <w:r>
        <w:rPr>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_Toc1869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1.1项目由来</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_Toc1869 \h </w:instrText>
      </w:r>
      <w:r>
        <w:rPr>
          <w:rFonts w:hint="eastAsia" w:ascii="仿宋" w:hAnsi="仿宋" w:eastAsia="仿宋" w:cs="仿宋"/>
          <w:color w:val="auto"/>
        </w:rPr>
        <w:fldChar w:fldCharType="separate"/>
      </w:r>
      <w:r>
        <w:rPr>
          <w:rFonts w:hint="eastAsia" w:ascii="仿宋" w:hAnsi="仿宋" w:eastAsia="仿宋" w:cs="仿宋"/>
          <w:color w:val="auto"/>
        </w:rPr>
        <w:t>- 1 -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_Toc27553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1.2项目特点</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_Toc27553 \h </w:instrText>
      </w:r>
      <w:r>
        <w:rPr>
          <w:rFonts w:hint="eastAsia" w:ascii="仿宋" w:hAnsi="仿宋" w:eastAsia="仿宋" w:cs="仿宋"/>
          <w:color w:val="auto"/>
        </w:rPr>
        <w:fldChar w:fldCharType="separate"/>
      </w:r>
      <w:r>
        <w:rPr>
          <w:rFonts w:hint="eastAsia" w:ascii="仿宋" w:hAnsi="仿宋" w:eastAsia="仿宋" w:cs="仿宋"/>
          <w:color w:val="auto"/>
        </w:rPr>
        <w:t>- 2 -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_Toc19160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1.3主要关注的环境问题</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_Toc19160 \h </w:instrText>
      </w:r>
      <w:r>
        <w:rPr>
          <w:rFonts w:hint="eastAsia" w:ascii="仿宋" w:hAnsi="仿宋" w:eastAsia="仿宋" w:cs="仿宋"/>
          <w:color w:val="auto"/>
        </w:rPr>
        <w:fldChar w:fldCharType="separate"/>
      </w:r>
      <w:r>
        <w:rPr>
          <w:rFonts w:hint="eastAsia" w:ascii="仿宋" w:hAnsi="仿宋" w:eastAsia="仿宋" w:cs="仿宋"/>
          <w:color w:val="auto"/>
        </w:rPr>
        <w:t>- 2 -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_Toc25997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1.4环境影响评价工作程序</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_Toc25997 \h </w:instrText>
      </w:r>
      <w:r>
        <w:rPr>
          <w:rFonts w:hint="eastAsia" w:ascii="仿宋" w:hAnsi="仿宋" w:eastAsia="仿宋" w:cs="仿宋"/>
          <w:color w:val="auto"/>
        </w:rPr>
        <w:fldChar w:fldCharType="separate"/>
      </w:r>
      <w:r>
        <w:rPr>
          <w:rFonts w:hint="eastAsia" w:ascii="仿宋" w:hAnsi="仿宋" w:eastAsia="仿宋" w:cs="仿宋"/>
          <w:color w:val="auto"/>
        </w:rPr>
        <w:t>- 3 -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_Toc5522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1.5分析判定相关情况</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_Toc5522 \h </w:instrText>
      </w:r>
      <w:r>
        <w:rPr>
          <w:rFonts w:hint="eastAsia" w:ascii="仿宋" w:hAnsi="仿宋" w:eastAsia="仿宋" w:cs="仿宋"/>
          <w:color w:val="auto"/>
        </w:rPr>
        <w:fldChar w:fldCharType="separate"/>
      </w:r>
      <w:r>
        <w:rPr>
          <w:rFonts w:hint="eastAsia" w:ascii="仿宋" w:hAnsi="仿宋" w:eastAsia="仿宋" w:cs="仿宋"/>
          <w:color w:val="auto"/>
        </w:rPr>
        <w:t>- 3 -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_Toc18816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1.6主要评价结论</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_Toc18816 \h </w:instrText>
      </w:r>
      <w:r>
        <w:rPr>
          <w:rFonts w:hint="eastAsia" w:ascii="仿宋" w:hAnsi="仿宋" w:eastAsia="仿宋" w:cs="仿宋"/>
          <w:color w:val="auto"/>
        </w:rPr>
        <w:fldChar w:fldCharType="separate"/>
      </w:r>
      <w:r>
        <w:rPr>
          <w:rFonts w:hint="eastAsia" w:ascii="仿宋" w:hAnsi="仿宋" w:eastAsia="仿宋" w:cs="仿宋"/>
          <w:color w:val="auto"/>
        </w:rPr>
        <w:t>- 9 -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8"/>
        <w:tabs>
          <w:tab w:val="right" w:leader="dot" w:pos="9298"/>
        </w:tabs>
        <w:rPr>
          <w:color w:val="auto"/>
        </w:rPr>
      </w:pPr>
      <w:r>
        <w:rPr>
          <w:color w:val="auto"/>
          <w:szCs w:val="28"/>
        </w:rPr>
        <w:fldChar w:fldCharType="begin"/>
      </w:r>
      <w:r>
        <w:rPr>
          <w:color w:val="auto"/>
          <w:szCs w:val="28"/>
        </w:rPr>
        <w:instrText xml:space="preserve"> HYPERLINK \l _Toc21617 </w:instrText>
      </w:r>
      <w:r>
        <w:rPr>
          <w:color w:val="auto"/>
          <w:szCs w:val="28"/>
        </w:rPr>
        <w:fldChar w:fldCharType="separate"/>
      </w:r>
      <w:r>
        <w:rPr>
          <w:rFonts w:hint="eastAsia" w:ascii="Times New Roman" w:hAnsi="Times New Roman" w:eastAsia="宋体" w:cs="Times New Roman"/>
          <w:color w:val="auto"/>
          <w:kern w:val="44"/>
          <w:szCs w:val="32"/>
          <w:lang w:val="en-US" w:eastAsia="zh-CN" w:bidi="ar-SA"/>
        </w:rPr>
        <w:t>2、总则</w:t>
      </w:r>
      <w:r>
        <w:rPr>
          <w:color w:val="auto"/>
        </w:rPr>
        <w:tab/>
      </w:r>
      <w:r>
        <w:rPr>
          <w:color w:val="auto"/>
        </w:rPr>
        <w:fldChar w:fldCharType="begin"/>
      </w:r>
      <w:r>
        <w:rPr>
          <w:color w:val="auto"/>
        </w:rPr>
        <w:instrText xml:space="preserve"> PAGEREF _Toc21617 \h </w:instrText>
      </w:r>
      <w:r>
        <w:rPr>
          <w:color w:val="auto"/>
        </w:rPr>
        <w:fldChar w:fldCharType="separate"/>
      </w:r>
      <w:r>
        <w:rPr>
          <w:color w:val="auto"/>
        </w:rPr>
        <w:t>- 10 -</w:t>
      </w:r>
      <w:r>
        <w:rPr>
          <w:color w:val="auto"/>
        </w:rPr>
        <w:fldChar w:fldCharType="end"/>
      </w:r>
      <w:r>
        <w:rPr>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_Toc10083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2.1评价目的与原则</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_Toc10083 \h </w:instrText>
      </w:r>
      <w:r>
        <w:rPr>
          <w:rFonts w:hint="eastAsia" w:ascii="仿宋" w:hAnsi="仿宋" w:eastAsia="仿宋" w:cs="仿宋"/>
          <w:color w:val="auto"/>
        </w:rPr>
        <w:fldChar w:fldCharType="separate"/>
      </w:r>
      <w:r>
        <w:rPr>
          <w:rFonts w:hint="eastAsia" w:ascii="仿宋" w:hAnsi="仿宋" w:eastAsia="仿宋" w:cs="仿宋"/>
          <w:color w:val="auto"/>
        </w:rPr>
        <w:t>- 10 -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_Toc23407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8"/>
          <w:lang w:val="en-US" w:eastAsia="zh-CN" w:bidi="ar-SA"/>
        </w:rPr>
        <w:t>2.2编制依据</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_Toc23407 \h </w:instrText>
      </w:r>
      <w:r>
        <w:rPr>
          <w:rFonts w:hint="eastAsia" w:ascii="仿宋" w:hAnsi="仿宋" w:eastAsia="仿宋" w:cs="仿宋"/>
          <w:color w:val="auto"/>
        </w:rPr>
        <w:fldChar w:fldCharType="separate"/>
      </w:r>
      <w:r>
        <w:rPr>
          <w:rFonts w:hint="eastAsia" w:ascii="仿宋" w:hAnsi="仿宋" w:eastAsia="仿宋" w:cs="仿宋"/>
          <w:color w:val="auto"/>
        </w:rPr>
        <w:t>- 11 -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_Toc24593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8"/>
          <w:lang w:val="en-US" w:eastAsia="zh-CN" w:bidi="ar-SA"/>
        </w:rPr>
        <w:t>2.3评价重点与评价因子</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_Toc24593 \h </w:instrText>
      </w:r>
      <w:r>
        <w:rPr>
          <w:rFonts w:hint="eastAsia" w:ascii="仿宋" w:hAnsi="仿宋" w:eastAsia="仿宋" w:cs="仿宋"/>
          <w:color w:val="auto"/>
        </w:rPr>
        <w:fldChar w:fldCharType="separate"/>
      </w:r>
      <w:r>
        <w:rPr>
          <w:rFonts w:hint="eastAsia" w:ascii="仿宋" w:hAnsi="仿宋" w:eastAsia="仿宋" w:cs="仿宋"/>
          <w:color w:val="auto"/>
        </w:rPr>
        <w:t>- 13 -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_Toc14728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2.4评价标准</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_Toc14728 \h </w:instrText>
      </w:r>
      <w:r>
        <w:rPr>
          <w:rFonts w:hint="eastAsia" w:ascii="仿宋" w:hAnsi="仿宋" w:eastAsia="仿宋" w:cs="仿宋"/>
          <w:color w:val="auto"/>
        </w:rPr>
        <w:fldChar w:fldCharType="separate"/>
      </w:r>
      <w:r>
        <w:rPr>
          <w:rFonts w:hint="eastAsia" w:ascii="仿宋" w:hAnsi="仿宋" w:eastAsia="仿宋" w:cs="仿宋"/>
          <w:color w:val="auto"/>
        </w:rPr>
        <w:t>- 14 -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_Toc23040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2.5评价工作等级</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_Toc23040 \h </w:instrText>
      </w:r>
      <w:r>
        <w:rPr>
          <w:rFonts w:hint="eastAsia" w:ascii="仿宋" w:hAnsi="仿宋" w:eastAsia="仿宋" w:cs="仿宋"/>
          <w:color w:val="auto"/>
        </w:rPr>
        <w:fldChar w:fldCharType="separate"/>
      </w:r>
      <w:r>
        <w:rPr>
          <w:rFonts w:hint="eastAsia" w:ascii="仿宋" w:hAnsi="仿宋" w:eastAsia="仿宋" w:cs="仿宋"/>
          <w:color w:val="auto"/>
        </w:rPr>
        <w:t>- 19 -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_Toc2355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2.6环境保护目标</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_Toc2355 \h </w:instrText>
      </w:r>
      <w:r>
        <w:rPr>
          <w:rFonts w:hint="eastAsia" w:ascii="仿宋" w:hAnsi="仿宋" w:eastAsia="仿宋" w:cs="仿宋"/>
          <w:color w:val="auto"/>
        </w:rPr>
        <w:fldChar w:fldCharType="separate"/>
      </w:r>
      <w:r>
        <w:rPr>
          <w:rFonts w:hint="eastAsia" w:ascii="仿宋" w:hAnsi="仿宋" w:eastAsia="仿宋" w:cs="仿宋"/>
          <w:color w:val="auto"/>
        </w:rPr>
        <w:t>- 26 -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8"/>
        <w:tabs>
          <w:tab w:val="right" w:leader="dot" w:pos="9298"/>
        </w:tabs>
        <w:rPr>
          <w:color w:val="auto"/>
        </w:rPr>
      </w:pPr>
      <w:r>
        <w:rPr>
          <w:color w:val="auto"/>
          <w:szCs w:val="28"/>
        </w:rPr>
        <w:fldChar w:fldCharType="begin"/>
      </w:r>
      <w:r>
        <w:rPr>
          <w:color w:val="auto"/>
          <w:szCs w:val="28"/>
        </w:rPr>
        <w:instrText xml:space="preserve"> HYPERLINK \l _Toc17463 </w:instrText>
      </w:r>
      <w:r>
        <w:rPr>
          <w:color w:val="auto"/>
          <w:szCs w:val="28"/>
        </w:rPr>
        <w:fldChar w:fldCharType="separate"/>
      </w:r>
      <w:r>
        <w:rPr>
          <w:rFonts w:hint="eastAsia"/>
          <w:color w:val="auto"/>
          <w:lang w:val="en-US" w:eastAsia="zh-CN"/>
        </w:rPr>
        <w:t>3、现有工程回顾性评价</w:t>
      </w:r>
      <w:r>
        <w:rPr>
          <w:color w:val="auto"/>
        </w:rPr>
        <w:tab/>
      </w:r>
      <w:r>
        <w:rPr>
          <w:color w:val="auto"/>
        </w:rPr>
        <w:fldChar w:fldCharType="begin"/>
      </w:r>
      <w:r>
        <w:rPr>
          <w:color w:val="auto"/>
        </w:rPr>
        <w:instrText xml:space="preserve"> PAGEREF _Toc17463 \h </w:instrText>
      </w:r>
      <w:r>
        <w:rPr>
          <w:color w:val="auto"/>
        </w:rPr>
        <w:fldChar w:fldCharType="separate"/>
      </w:r>
      <w:r>
        <w:rPr>
          <w:color w:val="auto"/>
        </w:rPr>
        <w:t>- 28 -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_Toc2565 </w:instrText>
      </w:r>
      <w:r>
        <w:rPr>
          <w:color w:val="auto"/>
          <w:szCs w:val="28"/>
        </w:rPr>
        <w:fldChar w:fldCharType="separate"/>
      </w:r>
      <w:r>
        <w:rPr>
          <w:rFonts w:hint="eastAsia"/>
          <w:color w:val="auto"/>
          <w:lang w:val="en-US" w:eastAsia="zh-CN"/>
        </w:rPr>
        <w:t>3</w:t>
      </w:r>
      <w:r>
        <w:rPr>
          <w:rFonts w:hint="eastAsia"/>
          <w:color w:val="auto"/>
        </w:rPr>
        <w:t>.1现有工程概况</w:t>
      </w:r>
      <w:r>
        <w:rPr>
          <w:color w:val="auto"/>
        </w:rPr>
        <w:tab/>
      </w:r>
      <w:r>
        <w:rPr>
          <w:color w:val="auto"/>
        </w:rPr>
        <w:fldChar w:fldCharType="begin"/>
      </w:r>
      <w:r>
        <w:rPr>
          <w:color w:val="auto"/>
        </w:rPr>
        <w:instrText xml:space="preserve"> PAGEREF _Toc2565 \h </w:instrText>
      </w:r>
      <w:r>
        <w:rPr>
          <w:color w:val="auto"/>
        </w:rPr>
        <w:fldChar w:fldCharType="separate"/>
      </w:r>
      <w:r>
        <w:rPr>
          <w:color w:val="auto"/>
        </w:rPr>
        <w:t>- 28 -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_Toc8698 </w:instrText>
      </w:r>
      <w:r>
        <w:rPr>
          <w:color w:val="auto"/>
          <w:szCs w:val="28"/>
        </w:rPr>
        <w:fldChar w:fldCharType="separate"/>
      </w:r>
      <w:r>
        <w:rPr>
          <w:rFonts w:hint="eastAsia"/>
          <w:color w:val="auto"/>
          <w:lang w:val="en-US" w:eastAsia="zh-CN"/>
        </w:rPr>
        <w:t>3</w:t>
      </w:r>
      <w:r>
        <w:rPr>
          <w:color w:val="auto"/>
        </w:rPr>
        <w:t>.</w:t>
      </w:r>
      <w:r>
        <w:rPr>
          <w:rFonts w:hint="eastAsia"/>
          <w:color w:val="auto"/>
        </w:rPr>
        <w:t>2</w:t>
      </w:r>
      <w:r>
        <w:rPr>
          <w:color w:val="auto"/>
        </w:rPr>
        <w:t>现有工程</w:t>
      </w:r>
      <w:r>
        <w:rPr>
          <w:rFonts w:hint="eastAsia"/>
          <w:color w:val="auto"/>
        </w:rPr>
        <w:t>生产工艺及产污环节</w:t>
      </w:r>
      <w:r>
        <w:rPr>
          <w:color w:val="auto"/>
        </w:rPr>
        <w:tab/>
      </w:r>
      <w:r>
        <w:rPr>
          <w:color w:val="auto"/>
        </w:rPr>
        <w:fldChar w:fldCharType="begin"/>
      </w:r>
      <w:r>
        <w:rPr>
          <w:color w:val="auto"/>
        </w:rPr>
        <w:instrText xml:space="preserve"> PAGEREF _Toc8698 \h </w:instrText>
      </w:r>
      <w:r>
        <w:rPr>
          <w:color w:val="auto"/>
        </w:rPr>
        <w:fldChar w:fldCharType="separate"/>
      </w:r>
      <w:r>
        <w:rPr>
          <w:color w:val="auto"/>
        </w:rPr>
        <w:t>- 37 -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_Toc29740 </w:instrText>
      </w:r>
      <w:r>
        <w:rPr>
          <w:color w:val="auto"/>
          <w:szCs w:val="28"/>
        </w:rPr>
        <w:fldChar w:fldCharType="separate"/>
      </w:r>
      <w:r>
        <w:rPr>
          <w:rFonts w:hint="eastAsia"/>
          <w:color w:val="auto"/>
          <w:lang w:val="en-US" w:eastAsia="zh-CN"/>
        </w:rPr>
        <w:t>3.3现有工程主要污染源及防治措施</w:t>
      </w:r>
      <w:r>
        <w:rPr>
          <w:color w:val="auto"/>
        </w:rPr>
        <w:tab/>
      </w:r>
      <w:r>
        <w:rPr>
          <w:color w:val="auto"/>
        </w:rPr>
        <w:fldChar w:fldCharType="begin"/>
      </w:r>
      <w:r>
        <w:rPr>
          <w:color w:val="auto"/>
        </w:rPr>
        <w:instrText xml:space="preserve"> PAGEREF _Toc29740 \h </w:instrText>
      </w:r>
      <w:r>
        <w:rPr>
          <w:color w:val="auto"/>
        </w:rPr>
        <w:fldChar w:fldCharType="separate"/>
      </w:r>
      <w:r>
        <w:rPr>
          <w:color w:val="auto"/>
        </w:rPr>
        <w:t>- 55 -</w:t>
      </w:r>
      <w:r>
        <w:rPr>
          <w:color w:val="auto"/>
        </w:rPr>
        <w:fldChar w:fldCharType="end"/>
      </w:r>
      <w:r>
        <w:rPr>
          <w:color w:val="auto"/>
          <w:szCs w:val="28"/>
        </w:rPr>
        <w:fldChar w:fldCharType="end"/>
      </w:r>
    </w:p>
    <w:p>
      <w:pPr>
        <w:pStyle w:val="18"/>
        <w:tabs>
          <w:tab w:val="right" w:leader="dot" w:pos="9298"/>
        </w:tabs>
        <w:rPr>
          <w:color w:val="auto"/>
        </w:rPr>
      </w:pPr>
      <w:r>
        <w:rPr>
          <w:color w:val="auto"/>
          <w:szCs w:val="28"/>
        </w:rPr>
        <w:fldChar w:fldCharType="begin"/>
      </w:r>
      <w:r>
        <w:rPr>
          <w:color w:val="auto"/>
          <w:szCs w:val="28"/>
        </w:rPr>
        <w:instrText xml:space="preserve"> HYPERLINK \l _Toc27859 </w:instrText>
      </w:r>
      <w:r>
        <w:rPr>
          <w:color w:val="auto"/>
          <w:szCs w:val="28"/>
        </w:rPr>
        <w:fldChar w:fldCharType="separate"/>
      </w:r>
      <w:r>
        <w:rPr>
          <w:rFonts w:hint="eastAsia"/>
          <w:color w:val="auto"/>
          <w:lang w:val="en-US" w:eastAsia="zh-CN"/>
        </w:rPr>
        <w:t>4、</w:t>
      </w:r>
      <w:r>
        <w:rPr>
          <w:rFonts w:hint="eastAsia"/>
          <w:color w:val="auto"/>
        </w:rPr>
        <w:t>拟建</w:t>
      </w:r>
      <w:r>
        <w:rPr>
          <w:rFonts w:hint="eastAsia"/>
          <w:color w:val="auto"/>
          <w:lang w:val="en-US" w:eastAsia="zh-CN"/>
        </w:rPr>
        <w:t>项目</w:t>
      </w:r>
      <w:r>
        <w:rPr>
          <w:rFonts w:hint="eastAsia"/>
          <w:color w:val="auto"/>
        </w:rPr>
        <w:t>概况</w:t>
      </w:r>
      <w:r>
        <w:rPr>
          <w:color w:val="auto"/>
        </w:rPr>
        <w:tab/>
      </w:r>
      <w:r>
        <w:rPr>
          <w:color w:val="auto"/>
        </w:rPr>
        <w:fldChar w:fldCharType="begin"/>
      </w:r>
      <w:r>
        <w:rPr>
          <w:color w:val="auto"/>
        </w:rPr>
        <w:instrText xml:space="preserve"> PAGEREF _Toc27859 \h </w:instrText>
      </w:r>
      <w:r>
        <w:rPr>
          <w:color w:val="auto"/>
        </w:rPr>
        <w:fldChar w:fldCharType="separate"/>
      </w:r>
      <w:r>
        <w:rPr>
          <w:color w:val="auto"/>
        </w:rPr>
        <w:t>- 67 -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_Toc15573 </w:instrText>
      </w:r>
      <w:r>
        <w:rPr>
          <w:color w:val="auto"/>
          <w:szCs w:val="28"/>
        </w:rPr>
        <w:fldChar w:fldCharType="separate"/>
      </w:r>
      <w:r>
        <w:rPr>
          <w:rFonts w:hint="eastAsia"/>
          <w:color w:val="auto"/>
          <w:lang w:val="en-US" w:eastAsia="zh-CN"/>
        </w:rPr>
        <w:t>4.1项目基本情况</w:t>
      </w:r>
      <w:r>
        <w:rPr>
          <w:color w:val="auto"/>
        </w:rPr>
        <w:tab/>
      </w:r>
      <w:r>
        <w:rPr>
          <w:color w:val="auto"/>
        </w:rPr>
        <w:fldChar w:fldCharType="begin"/>
      </w:r>
      <w:r>
        <w:rPr>
          <w:color w:val="auto"/>
        </w:rPr>
        <w:instrText xml:space="preserve"> PAGEREF _Toc15573 \h </w:instrText>
      </w:r>
      <w:r>
        <w:rPr>
          <w:color w:val="auto"/>
        </w:rPr>
        <w:fldChar w:fldCharType="separate"/>
      </w:r>
      <w:r>
        <w:rPr>
          <w:color w:val="auto"/>
        </w:rPr>
        <w:t>- 67 -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_Toc18400 </w:instrText>
      </w:r>
      <w:r>
        <w:rPr>
          <w:color w:val="auto"/>
          <w:szCs w:val="28"/>
        </w:rPr>
        <w:fldChar w:fldCharType="separate"/>
      </w:r>
      <w:r>
        <w:rPr>
          <w:rFonts w:hint="eastAsia"/>
          <w:color w:val="auto"/>
          <w:lang w:val="en-US" w:eastAsia="zh-CN"/>
        </w:rPr>
        <w:t>4.2 建设内容与产品方案</w:t>
      </w:r>
      <w:r>
        <w:rPr>
          <w:color w:val="auto"/>
        </w:rPr>
        <w:tab/>
      </w:r>
      <w:r>
        <w:rPr>
          <w:color w:val="auto"/>
        </w:rPr>
        <w:fldChar w:fldCharType="begin"/>
      </w:r>
      <w:r>
        <w:rPr>
          <w:color w:val="auto"/>
        </w:rPr>
        <w:instrText xml:space="preserve"> PAGEREF _Toc18400 \h </w:instrText>
      </w:r>
      <w:r>
        <w:rPr>
          <w:color w:val="auto"/>
        </w:rPr>
        <w:fldChar w:fldCharType="separate"/>
      </w:r>
      <w:r>
        <w:rPr>
          <w:color w:val="auto"/>
        </w:rPr>
        <w:t>- 67 -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_Toc31424 </w:instrText>
      </w:r>
      <w:r>
        <w:rPr>
          <w:color w:val="auto"/>
          <w:szCs w:val="28"/>
        </w:rPr>
        <w:fldChar w:fldCharType="separate"/>
      </w:r>
      <w:r>
        <w:rPr>
          <w:rFonts w:hint="eastAsia"/>
          <w:color w:val="auto"/>
          <w:lang w:val="en-US" w:eastAsia="zh-CN"/>
        </w:rPr>
        <w:t>4.3原辅材料消耗</w:t>
      </w:r>
      <w:r>
        <w:rPr>
          <w:color w:val="auto"/>
        </w:rPr>
        <w:tab/>
      </w:r>
      <w:r>
        <w:rPr>
          <w:color w:val="auto"/>
        </w:rPr>
        <w:fldChar w:fldCharType="begin"/>
      </w:r>
      <w:r>
        <w:rPr>
          <w:color w:val="auto"/>
        </w:rPr>
        <w:instrText xml:space="preserve"> PAGEREF _Toc31424 \h </w:instrText>
      </w:r>
      <w:r>
        <w:rPr>
          <w:color w:val="auto"/>
        </w:rPr>
        <w:fldChar w:fldCharType="separate"/>
      </w:r>
      <w:r>
        <w:rPr>
          <w:color w:val="auto"/>
        </w:rPr>
        <w:t>- 71 -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_Toc22155 </w:instrText>
      </w:r>
      <w:r>
        <w:rPr>
          <w:color w:val="auto"/>
          <w:szCs w:val="28"/>
        </w:rPr>
        <w:fldChar w:fldCharType="separate"/>
      </w:r>
      <w:r>
        <w:rPr>
          <w:rFonts w:hint="eastAsia"/>
          <w:color w:val="auto"/>
          <w:lang w:val="en-US" w:eastAsia="zh-CN"/>
        </w:rPr>
        <w:t>4.4主要生产设备</w:t>
      </w:r>
      <w:r>
        <w:rPr>
          <w:color w:val="auto"/>
        </w:rPr>
        <w:tab/>
      </w:r>
      <w:r>
        <w:rPr>
          <w:color w:val="auto"/>
        </w:rPr>
        <w:fldChar w:fldCharType="begin"/>
      </w:r>
      <w:r>
        <w:rPr>
          <w:color w:val="auto"/>
        </w:rPr>
        <w:instrText xml:space="preserve"> PAGEREF _Toc22155 \h </w:instrText>
      </w:r>
      <w:r>
        <w:rPr>
          <w:color w:val="auto"/>
        </w:rPr>
        <w:fldChar w:fldCharType="separate"/>
      </w:r>
      <w:r>
        <w:rPr>
          <w:color w:val="auto"/>
        </w:rPr>
        <w:t>- 73 -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_Toc21655 </w:instrText>
      </w:r>
      <w:r>
        <w:rPr>
          <w:color w:val="auto"/>
          <w:szCs w:val="28"/>
        </w:rPr>
        <w:fldChar w:fldCharType="separate"/>
      </w:r>
      <w:r>
        <w:rPr>
          <w:rFonts w:hint="eastAsia"/>
          <w:color w:val="auto"/>
          <w:lang w:val="en-US" w:eastAsia="zh-CN"/>
        </w:rPr>
        <w:t>4.5公用及辅助工程</w:t>
      </w:r>
      <w:r>
        <w:rPr>
          <w:color w:val="auto"/>
        </w:rPr>
        <w:tab/>
      </w:r>
      <w:r>
        <w:rPr>
          <w:color w:val="auto"/>
        </w:rPr>
        <w:fldChar w:fldCharType="begin"/>
      </w:r>
      <w:r>
        <w:rPr>
          <w:color w:val="auto"/>
        </w:rPr>
        <w:instrText xml:space="preserve"> PAGEREF _Toc21655 \h </w:instrText>
      </w:r>
      <w:r>
        <w:rPr>
          <w:color w:val="auto"/>
        </w:rPr>
        <w:fldChar w:fldCharType="separate"/>
      </w:r>
      <w:r>
        <w:rPr>
          <w:color w:val="auto"/>
        </w:rPr>
        <w:t>- 75 -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_Toc6685 </w:instrText>
      </w:r>
      <w:r>
        <w:rPr>
          <w:color w:val="auto"/>
          <w:szCs w:val="28"/>
        </w:rPr>
        <w:fldChar w:fldCharType="separate"/>
      </w:r>
      <w:r>
        <w:rPr>
          <w:rFonts w:hint="eastAsia"/>
          <w:color w:val="auto"/>
          <w:lang w:val="en-US" w:eastAsia="zh-CN"/>
        </w:rPr>
        <w:t>4.6总平面布置</w:t>
      </w:r>
      <w:r>
        <w:rPr>
          <w:color w:val="auto"/>
        </w:rPr>
        <w:tab/>
      </w:r>
      <w:r>
        <w:rPr>
          <w:color w:val="auto"/>
        </w:rPr>
        <w:fldChar w:fldCharType="begin"/>
      </w:r>
      <w:r>
        <w:rPr>
          <w:color w:val="auto"/>
        </w:rPr>
        <w:instrText xml:space="preserve"> PAGEREF _Toc6685 \h </w:instrText>
      </w:r>
      <w:r>
        <w:rPr>
          <w:color w:val="auto"/>
        </w:rPr>
        <w:fldChar w:fldCharType="separate"/>
      </w:r>
      <w:r>
        <w:rPr>
          <w:color w:val="auto"/>
        </w:rPr>
        <w:t>- 77 -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_Toc28345 </w:instrText>
      </w:r>
      <w:r>
        <w:rPr>
          <w:color w:val="auto"/>
          <w:szCs w:val="28"/>
        </w:rPr>
        <w:fldChar w:fldCharType="separate"/>
      </w:r>
      <w:r>
        <w:rPr>
          <w:rFonts w:hint="eastAsia"/>
          <w:color w:val="auto"/>
          <w:lang w:val="en-US" w:eastAsia="zh-CN"/>
        </w:rPr>
        <w:t>4.7工程进度</w:t>
      </w:r>
      <w:r>
        <w:rPr>
          <w:color w:val="auto"/>
        </w:rPr>
        <w:tab/>
      </w:r>
      <w:r>
        <w:rPr>
          <w:color w:val="auto"/>
        </w:rPr>
        <w:fldChar w:fldCharType="begin"/>
      </w:r>
      <w:r>
        <w:rPr>
          <w:color w:val="auto"/>
        </w:rPr>
        <w:instrText xml:space="preserve"> PAGEREF _Toc28345 \h </w:instrText>
      </w:r>
      <w:r>
        <w:rPr>
          <w:color w:val="auto"/>
        </w:rPr>
        <w:fldChar w:fldCharType="separate"/>
      </w:r>
      <w:r>
        <w:rPr>
          <w:color w:val="auto"/>
        </w:rPr>
        <w:t>- 77 -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_Toc5322 </w:instrText>
      </w:r>
      <w:r>
        <w:rPr>
          <w:color w:val="auto"/>
          <w:szCs w:val="28"/>
        </w:rPr>
        <w:fldChar w:fldCharType="separate"/>
      </w:r>
      <w:r>
        <w:rPr>
          <w:rFonts w:hint="eastAsia"/>
          <w:color w:val="auto"/>
          <w:lang w:val="en-US" w:eastAsia="zh-CN"/>
        </w:rPr>
        <w:t>4.8依托可行性分析</w:t>
      </w:r>
      <w:r>
        <w:rPr>
          <w:color w:val="auto"/>
        </w:rPr>
        <w:tab/>
      </w:r>
      <w:r>
        <w:rPr>
          <w:color w:val="auto"/>
        </w:rPr>
        <w:fldChar w:fldCharType="begin"/>
      </w:r>
      <w:r>
        <w:rPr>
          <w:color w:val="auto"/>
        </w:rPr>
        <w:instrText xml:space="preserve"> PAGEREF _Toc5322 \h </w:instrText>
      </w:r>
      <w:r>
        <w:rPr>
          <w:color w:val="auto"/>
        </w:rPr>
        <w:fldChar w:fldCharType="separate"/>
      </w:r>
      <w:r>
        <w:rPr>
          <w:color w:val="auto"/>
        </w:rPr>
        <w:t>- 77 -</w:t>
      </w:r>
      <w:r>
        <w:rPr>
          <w:color w:val="auto"/>
        </w:rPr>
        <w:fldChar w:fldCharType="end"/>
      </w:r>
      <w:r>
        <w:rPr>
          <w:color w:val="auto"/>
          <w:szCs w:val="28"/>
        </w:rPr>
        <w:fldChar w:fldCharType="end"/>
      </w:r>
    </w:p>
    <w:p>
      <w:pPr>
        <w:pStyle w:val="18"/>
        <w:tabs>
          <w:tab w:val="right" w:leader="dot" w:pos="9298"/>
        </w:tabs>
        <w:rPr>
          <w:color w:val="auto"/>
        </w:rPr>
      </w:pPr>
      <w:r>
        <w:rPr>
          <w:color w:val="auto"/>
          <w:szCs w:val="28"/>
        </w:rPr>
        <w:fldChar w:fldCharType="begin"/>
      </w:r>
      <w:r>
        <w:rPr>
          <w:color w:val="auto"/>
          <w:szCs w:val="28"/>
        </w:rPr>
        <w:instrText xml:space="preserve"> HYPERLINK \l _Toc15512 </w:instrText>
      </w:r>
      <w:r>
        <w:rPr>
          <w:color w:val="auto"/>
          <w:szCs w:val="28"/>
        </w:rPr>
        <w:fldChar w:fldCharType="separate"/>
      </w:r>
      <w:r>
        <w:rPr>
          <w:rFonts w:hint="eastAsia"/>
          <w:color w:val="auto"/>
          <w:lang w:val="en-US" w:eastAsia="zh-CN"/>
        </w:rPr>
        <w:t>5、工程分析</w:t>
      </w:r>
      <w:r>
        <w:rPr>
          <w:color w:val="auto"/>
        </w:rPr>
        <w:tab/>
      </w:r>
      <w:r>
        <w:rPr>
          <w:color w:val="auto"/>
        </w:rPr>
        <w:fldChar w:fldCharType="begin"/>
      </w:r>
      <w:r>
        <w:rPr>
          <w:color w:val="auto"/>
        </w:rPr>
        <w:instrText xml:space="preserve"> PAGEREF _Toc15512 \h </w:instrText>
      </w:r>
      <w:r>
        <w:rPr>
          <w:color w:val="auto"/>
        </w:rPr>
        <w:fldChar w:fldCharType="separate"/>
      </w:r>
      <w:r>
        <w:rPr>
          <w:color w:val="auto"/>
        </w:rPr>
        <w:t>- 80 -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_Toc9759 </w:instrText>
      </w:r>
      <w:r>
        <w:rPr>
          <w:color w:val="auto"/>
          <w:szCs w:val="28"/>
        </w:rPr>
        <w:fldChar w:fldCharType="separate"/>
      </w:r>
      <w:r>
        <w:rPr>
          <w:rFonts w:hint="eastAsia"/>
          <w:color w:val="auto"/>
          <w:lang w:val="en-US" w:eastAsia="zh-CN"/>
        </w:rPr>
        <w:t>5.1施工期污染工序及产污环节分析</w:t>
      </w:r>
      <w:r>
        <w:rPr>
          <w:color w:val="auto"/>
        </w:rPr>
        <w:tab/>
      </w:r>
      <w:r>
        <w:rPr>
          <w:color w:val="auto"/>
        </w:rPr>
        <w:fldChar w:fldCharType="begin"/>
      </w:r>
      <w:r>
        <w:rPr>
          <w:color w:val="auto"/>
        </w:rPr>
        <w:instrText xml:space="preserve"> PAGEREF _Toc9759 \h </w:instrText>
      </w:r>
      <w:r>
        <w:rPr>
          <w:color w:val="auto"/>
        </w:rPr>
        <w:fldChar w:fldCharType="separate"/>
      </w:r>
      <w:r>
        <w:rPr>
          <w:color w:val="auto"/>
        </w:rPr>
        <w:t>- 80 -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_Toc31201 </w:instrText>
      </w:r>
      <w:r>
        <w:rPr>
          <w:color w:val="auto"/>
          <w:szCs w:val="28"/>
        </w:rPr>
        <w:fldChar w:fldCharType="separate"/>
      </w:r>
      <w:r>
        <w:rPr>
          <w:rFonts w:hint="eastAsia"/>
          <w:color w:val="auto"/>
          <w:lang w:val="en-US" w:eastAsia="zh-CN"/>
        </w:rPr>
        <w:t>5.2运营期污染工序及产污环节分析</w:t>
      </w:r>
      <w:r>
        <w:rPr>
          <w:color w:val="auto"/>
        </w:rPr>
        <w:tab/>
      </w:r>
      <w:r>
        <w:rPr>
          <w:color w:val="auto"/>
        </w:rPr>
        <w:fldChar w:fldCharType="begin"/>
      </w:r>
      <w:r>
        <w:rPr>
          <w:color w:val="auto"/>
        </w:rPr>
        <w:instrText xml:space="preserve"> PAGEREF _Toc31201 \h </w:instrText>
      </w:r>
      <w:r>
        <w:rPr>
          <w:color w:val="auto"/>
        </w:rPr>
        <w:fldChar w:fldCharType="separate"/>
      </w:r>
      <w:r>
        <w:rPr>
          <w:color w:val="auto"/>
        </w:rPr>
        <w:t>- 80 -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_Toc29703 </w:instrText>
      </w:r>
      <w:r>
        <w:rPr>
          <w:color w:val="auto"/>
          <w:szCs w:val="28"/>
        </w:rPr>
        <w:fldChar w:fldCharType="separate"/>
      </w:r>
      <w:r>
        <w:rPr>
          <w:rFonts w:hint="eastAsia"/>
          <w:color w:val="auto"/>
          <w:lang w:val="en-US" w:eastAsia="zh-CN"/>
        </w:rPr>
        <w:t>5.3工程物料平衡</w:t>
      </w:r>
      <w:r>
        <w:rPr>
          <w:color w:val="auto"/>
        </w:rPr>
        <w:tab/>
      </w:r>
      <w:r>
        <w:rPr>
          <w:color w:val="auto"/>
        </w:rPr>
        <w:fldChar w:fldCharType="begin"/>
      </w:r>
      <w:r>
        <w:rPr>
          <w:color w:val="auto"/>
        </w:rPr>
        <w:instrText xml:space="preserve"> PAGEREF _Toc29703 \h </w:instrText>
      </w:r>
      <w:r>
        <w:rPr>
          <w:color w:val="auto"/>
        </w:rPr>
        <w:fldChar w:fldCharType="separate"/>
      </w:r>
      <w:r>
        <w:rPr>
          <w:color w:val="auto"/>
        </w:rPr>
        <w:t>- 85 -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_Toc29186 </w:instrText>
      </w:r>
      <w:r>
        <w:rPr>
          <w:color w:val="auto"/>
          <w:szCs w:val="28"/>
        </w:rPr>
        <w:fldChar w:fldCharType="separate"/>
      </w:r>
      <w:r>
        <w:rPr>
          <w:rFonts w:hint="eastAsia"/>
          <w:color w:val="auto"/>
          <w:lang w:val="en-US" w:eastAsia="zh-CN"/>
        </w:rPr>
        <w:t>5.4污染源分析</w:t>
      </w:r>
      <w:r>
        <w:rPr>
          <w:color w:val="auto"/>
        </w:rPr>
        <w:tab/>
      </w:r>
      <w:r>
        <w:rPr>
          <w:color w:val="auto"/>
        </w:rPr>
        <w:fldChar w:fldCharType="begin"/>
      </w:r>
      <w:r>
        <w:rPr>
          <w:color w:val="auto"/>
        </w:rPr>
        <w:instrText xml:space="preserve"> PAGEREF _Toc29186 \h </w:instrText>
      </w:r>
      <w:r>
        <w:rPr>
          <w:color w:val="auto"/>
        </w:rPr>
        <w:fldChar w:fldCharType="separate"/>
      </w:r>
      <w:r>
        <w:rPr>
          <w:color w:val="auto"/>
        </w:rPr>
        <w:t>- 88 -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_Toc3257 </w:instrText>
      </w:r>
      <w:r>
        <w:rPr>
          <w:color w:val="auto"/>
          <w:szCs w:val="28"/>
        </w:rPr>
        <w:fldChar w:fldCharType="separate"/>
      </w:r>
      <w:r>
        <w:rPr>
          <w:rFonts w:hint="eastAsia"/>
          <w:color w:val="auto"/>
          <w:lang w:val="en-US" w:eastAsia="zh-CN"/>
        </w:rPr>
        <w:t>5.5项目建设前后“三本账”分析</w:t>
      </w:r>
      <w:r>
        <w:rPr>
          <w:color w:val="auto"/>
        </w:rPr>
        <w:tab/>
      </w:r>
      <w:r>
        <w:rPr>
          <w:color w:val="auto"/>
        </w:rPr>
        <w:fldChar w:fldCharType="begin"/>
      </w:r>
      <w:r>
        <w:rPr>
          <w:color w:val="auto"/>
        </w:rPr>
        <w:instrText xml:space="preserve"> PAGEREF _Toc3257 \h </w:instrText>
      </w:r>
      <w:r>
        <w:rPr>
          <w:color w:val="auto"/>
        </w:rPr>
        <w:fldChar w:fldCharType="separate"/>
      </w:r>
      <w:r>
        <w:rPr>
          <w:color w:val="auto"/>
        </w:rPr>
        <w:t>- 98 -</w:t>
      </w:r>
      <w:r>
        <w:rPr>
          <w:color w:val="auto"/>
        </w:rPr>
        <w:fldChar w:fldCharType="end"/>
      </w:r>
      <w:r>
        <w:rPr>
          <w:color w:val="auto"/>
          <w:szCs w:val="28"/>
        </w:rPr>
        <w:fldChar w:fldCharType="end"/>
      </w:r>
    </w:p>
    <w:p>
      <w:pPr>
        <w:pStyle w:val="18"/>
        <w:tabs>
          <w:tab w:val="right" w:leader="dot" w:pos="9298"/>
        </w:tabs>
        <w:rPr>
          <w:color w:val="auto"/>
        </w:rPr>
      </w:pPr>
      <w:r>
        <w:rPr>
          <w:color w:val="auto"/>
          <w:szCs w:val="28"/>
        </w:rPr>
        <w:fldChar w:fldCharType="begin"/>
      </w:r>
      <w:r>
        <w:rPr>
          <w:color w:val="auto"/>
          <w:szCs w:val="28"/>
        </w:rPr>
        <w:instrText xml:space="preserve"> HYPERLINK \l _Toc12495 </w:instrText>
      </w:r>
      <w:r>
        <w:rPr>
          <w:color w:val="auto"/>
          <w:szCs w:val="28"/>
        </w:rPr>
        <w:fldChar w:fldCharType="separate"/>
      </w:r>
      <w:r>
        <w:rPr>
          <w:rFonts w:hint="eastAsia"/>
          <w:color w:val="auto"/>
          <w:lang w:val="en-US" w:eastAsia="zh-CN"/>
        </w:rPr>
        <w:t>6、环境质量现状</w:t>
      </w:r>
      <w:r>
        <w:rPr>
          <w:color w:val="auto"/>
        </w:rPr>
        <w:tab/>
      </w:r>
      <w:r>
        <w:rPr>
          <w:color w:val="auto"/>
        </w:rPr>
        <w:fldChar w:fldCharType="begin"/>
      </w:r>
      <w:r>
        <w:rPr>
          <w:color w:val="auto"/>
        </w:rPr>
        <w:instrText xml:space="preserve"> PAGEREF _Toc12495 \h </w:instrText>
      </w:r>
      <w:r>
        <w:rPr>
          <w:color w:val="auto"/>
        </w:rPr>
        <w:fldChar w:fldCharType="separate"/>
      </w:r>
      <w:r>
        <w:rPr>
          <w:color w:val="auto"/>
        </w:rPr>
        <w:t>- 101 -</w:t>
      </w:r>
      <w:r>
        <w:rPr>
          <w:color w:val="auto"/>
        </w:rPr>
        <w:fldChar w:fldCharType="end"/>
      </w:r>
      <w:r>
        <w:rPr>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_Toc4427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8"/>
          <w:lang w:val="en-US" w:eastAsia="zh-CN" w:bidi="ar-SA"/>
        </w:rPr>
        <w:t>6.1项目区域自然环境概况</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_Toc4427 \h </w:instrText>
      </w:r>
      <w:r>
        <w:rPr>
          <w:rFonts w:hint="eastAsia" w:ascii="仿宋" w:hAnsi="仿宋" w:eastAsia="仿宋" w:cs="仿宋"/>
          <w:color w:val="auto"/>
        </w:rPr>
        <w:fldChar w:fldCharType="separate"/>
      </w:r>
      <w:r>
        <w:rPr>
          <w:rFonts w:hint="eastAsia" w:ascii="仿宋" w:hAnsi="仿宋" w:eastAsia="仿宋" w:cs="仿宋"/>
          <w:color w:val="auto"/>
        </w:rPr>
        <w:t>- 101 -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_Toc19792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8"/>
          <w:lang w:val="en-US" w:eastAsia="zh-CN" w:bidi="ar-SA"/>
        </w:rPr>
        <w:t>6.2湖南岳阳绿色化工产业园概况</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_Toc19792 \h </w:instrText>
      </w:r>
      <w:r>
        <w:rPr>
          <w:rFonts w:hint="eastAsia" w:ascii="仿宋" w:hAnsi="仿宋" w:eastAsia="仿宋" w:cs="仿宋"/>
          <w:color w:val="auto"/>
        </w:rPr>
        <w:fldChar w:fldCharType="separate"/>
      </w:r>
      <w:r>
        <w:rPr>
          <w:rFonts w:hint="eastAsia" w:ascii="仿宋" w:hAnsi="仿宋" w:eastAsia="仿宋" w:cs="仿宋"/>
          <w:color w:val="auto"/>
        </w:rPr>
        <w:t>- 103 -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_Toc30150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8"/>
          <w:lang w:val="en-US" w:eastAsia="zh-CN" w:bidi="ar-SA"/>
        </w:rPr>
        <w:t>6.3地表水环境质量现状与评价</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_Toc30150 \h </w:instrText>
      </w:r>
      <w:r>
        <w:rPr>
          <w:rFonts w:hint="eastAsia" w:ascii="仿宋" w:hAnsi="仿宋" w:eastAsia="仿宋" w:cs="仿宋"/>
          <w:color w:val="auto"/>
        </w:rPr>
        <w:fldChar w:fldCharType="separate"/>
      </w:r>
      <w:r>
        <w:rPr>
          <w:rFonts w:hint="eastAsia" w:ascii="仿宋" w:hAnsi="仿宋" w:eastAsia="仿宋" w:cs="仿宋"/>
          <w:color w:val="auto"/>
        </w:rPr>
        <w:t>- 104 -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_Toc18432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6.4地下水环境质量现状与评价</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_Toc18432 \h </w:instrText>
      </w:r>
      <w:r>
        <w:rPr>
          <w:rFonts w:hint="eastAsia" w:ascii="仿宋" w:hAnsi="仿宋" w:eastAsia="仿宋" w:cs="仿宋"/>
          <w:color w:val="auto"/>
        </w:rPr>
        <w:fldChar w:fldCharType="separate"/>
      </w:r>
      <w:r>
        <w:rPr>
          <w:rFonts w:hint="eastAsia" w:ascii="仿宋" w:hAnsi="仿宋" w:eastAsia="仿宋" w:cs="仿宋"/>
          <w:color w:val="auto"/>
        </w:rPr>
        <w:t>- 106 -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_Toc2797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6.5环境空气质量现状与评价</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_Toc2797 \h </w:instrText>
      </w:r>
      <w:r>
        <w:rPr>
          <w:rFonts w:hint="eastAsia" w:ascii="仿宋" w:hAnsi="仿宋" w:eastAsia="仿宋" w:cs="仿宋"/>
          <w:color w:val="auto"/>
        </w:rPr>
        <w:fldChar w:fldCharType="separate"/>
      </w:r>
      <w:r>
        <w:rPr>
          <w:rFonts w:hint="eastAsia" w:ascii="仿宋" w:hAnsi="仿宋" w:eastAsia="仿宋" w:cs="仿宋"/>
          <w:color w:val="auto"/>
        </w:rPr>
        <w:t>- 119 -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_Toc5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6.6声环境质量现状与评价</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_Toc5 \h </w:instrText>
      </w:r>
      <w:r>
        <w:rPr>
          <w:rFonts w:hint="eastAsia" w:ascii="仿宋" w:hAnsi="仿宋" w:eastAsia="仿宋" w:cs="仿宋"/>
          <w:color w:val="auto"/>
        </w:rPr>
        <w:fldChar w:fldCharType="separate"/>
      </w:r>
      <w:r>
        <w:rPr>
          <w:rFonts w:hint="eastAsia" w:ascii="仿宋" w:hAnsi="仿宋" w:eastAsia="仿宋" w:cs="仿宋"/>
          <w:color w:val="auto"/>
        </w:rPr>
        <w:t>- 122 -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_Toc26384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6.7土壤质量现状与评价</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_Toc26384 \h </w:instrText>
      </w:r>
      <w:r>
        <w:rPr>
          <w:rFonts w:hint="eastAsia" w:ascii="仿宋" w:hAnsi="仿宋" w:eastAsia="仿宋" w:cs="仿宋"/>
          <w:color w:val="auto"/>
        </w:rPr>
        <w:fldChar w:fldCharType="separate"/>
      </w:r>
      <w:r>
        <w:rPr>
          <w:rFonts w:hint="eastAsia" w:ascii="仿宋" w:hAnsi="仿宋" w:eastAsia="仿宋" w:cs="仿宋"/>
          <w:color w:val="auto"/>
        </w:rPr>
        <w:t>- 123 -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_Toc7978 </w:instrText>
      </w:r>
      <w:r>
        <w:rPr>
          <w:rFonts w:hint="eastAsia" w:ascii="仿宋" w:hAnsi="仿宋" w:eastAsia="仿宋" w:cs="仿宋"/>
          <w:color w:val="auto"/>
          <w:szCs w:val="28"/>
        </w:rPr>
        <w:fldChar w:fldCharType="separate"/>
      </w:r>
      <w:r>
        <w:rPr>
          <w:rFonts w:hint="eastAsia" w:ascii="仿宋" w:hAnsi="仿宋" w:eastAsia="仿宋" w:cs="仿宋"/>
          <w:color w:val="auto"/>
        </w:rPr>
        <w:t>6.</w:t>
      </w:r>
      <w:r>
        <w:rPr>
          <w:rFonts w:hint="eastAsia" w:ascii="仿宋" w:hAnsi="仿宋" w:eastAsia="仿宋" w:cs="仿宋"/>
          <w:color w:val="auto"/>
          <w:lang w:val="en-US" w:eastAsia="zh-CN"/>
        </w:rPr>
        <w:t>8</w:t>
      </w:r>
      <w:r>
        <w:rPr>
          <w:rFonts w:hint="eastAsia" w:ascii="仿宋" w:hAnsi="仿宋" w:eastAsia="仿宋" w:cs="仿宋"/>
          <w:color w:val="auto"/>
          <w:lang w:eastAsia="zh-CN"/>
        </w:rPr>
        <w:t>区域污染源调查</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_Toc7978 \h </w:instrText>
      </w:r>
      <w:r>
        <w:rPr>
          <w:rFonts w:hint="eastAsia" w:ascii="仿宋" w:hAnsi="仿宋" w:eastAsia="仿宋" w:cs="仿宋"/>
          <w:color w:val="auto"/>
        </w:rPr>
        <w:fldChar w:fldCharType="separate"/>
      </w:r>
      <w:r>
        <w:rPr>
          <w:rFonts w:hint="eastAsia" w:ascii="仿宋" w:hAnsi="仿宋" w:eastAsia="仿宋" w:cs="仿宋"/>
          <w:color w:val="auto"/>
        </w:rPr>
        <w:t>- 131 -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8"/>
        <w:tabs>
          <w:tab w:val="right" w:leader="dot" w:pos="9298"/>
        </w:tabs>
        <w:rPr>
          <w:color w:val="auto"/>
        </w:rPr>
      </w:pPr>
      <w:r>
        <w:rPr>
          <w:color w:val="auto"/>
          <w:szCs w:val="28"/>
        </w:rPr>
        <w:fldChar w:fldCharType="begin"/>
      </w:r>
      <w:r>
        <w:rPr>
          <w:color w:val="auto"/>
          <w:szCs w:val="28"/>
        </w:rPr>
        <w:instrText xml:space="preserve"> HYPERLINK \l _Toc11936 </w:instrText>
      </w:r>
      <w:r>
        <w:rPr>
          <w:color w:val="auto"/>
          <w:szCs w:val="28"/>
        </w:rPr>
        <w:fldChar w:fldCharType="separate"/>
      </w:r>
      <w:r>
        <w:rPr>
          <w:rFonts w:hint="eastAsia"/>
          <w:bCs/>
          <w:color w:val="auto"/>
          <w:lang w:val="en-US" w:eastAsia="zh-CN"/>
        </w:rPr>
        <w:t>7、环境影响评价与预测</w:t>
      </w:r>
      <w:r>
        <w:rPr>
          <w:color w:val="auto"/>
        </w:rPr>
        <w:tab/>
      </w:r>
      <w:r>
        <w:rPr>
          <w:color w:val="auto"/>
        </w:rPr>
        <w:fldChar w:fldCharType="begin"/>
      </w:r>
      <w:r>
        <w:rPr>
          <w:color w:val="auto"/>
        </w:rPr>
        <w:instrText xml:space="preserve"> PAGEREF _Toc11936 \h </w:instrText>
      </w:r>
      <w:r>
        <w:rPr>
          <w:color w:val="auto"/>
        </w:rPr>
        <w:fldChar w:fldCharType="separate"/>
      </w:r>
      <w:r>
        <w:rPr>
          <w:color w:val="auto"/>
        </w:rPr>
        <w:t>- 137 -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_Toc6814 </w:instrText>
      </w:r>
      <w:r>
        <w:rPr>
          <w:color w:val="auto"/>
          <w:szCs w:val="28"/>
        </w:rPr>
        <w:fldChar w:fldCharType="separate"/>
      </w:r>
      <w:r>
        <w:rPr>
          <w:rFonts w:hint="eastAsia"/>
          <w:color w:val="auto"/>
          <w:lang w:val="en-US" w:eastAsia="zh-CN"/>
        </w:rPr>
        <w:t>7.1</w:t>
      </w:r>
      <w:r>
        <w:rPr>
          <w:color w:val="auto"/>
          <w:lang w:val="en-US" w:eastAsia="zh-CN"/>
        </w:rPr>
        <w:t>大气环境影响</w:t>
      </w:r>
      <w:r>
        <w:rPr>
          <w:rFonts w:hint="eastAsia"/>
          <w:color w:val="auto"/>
          <w:lang w:val="en-US" w:eastAsia="zh-CN"/>
        </w:rPr>
        <w:t>分析</w:t>
      </w:r>
      <w:r>
        <w:rPr>
          <w:color w:val="auto"/>
        </w:rPr>
        <w:tab/>
      </w:r>
      <w:r>
        <w:rPr>
          <w:color w:val="auto"/>
        </w:rPr>
        <w:fldChar w:fldCharType="begin"/>
      </w:r>
      <w:r>
        <w:rPr>
          <w:color w:val="auto"/>
        </w:rPr>
        <w:instrText xml:space="preserve"> PAGEREF _Toc6814 \h </w:instrText>
      </w:r>
      <w:r>
        <w:rPr>
          <w:color w:val="auto"/>
        </w:rPr>
        <w:fldChar w:fldCharType="separate"/>
      </w:r>
      <w:r>
        <w:rPr>
          <w:color w:val="auto"/>
        </w:rPr>
        <w:t>- 137 -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_Toc624 </w:instrText>
      </w:r>
      <w:r>
        <w:rPr>
          <w:color w:val="auto"/>
          <w:szCs w:val="28"/>
        </w:rPr>
        <w:fldChar w:fldCharType="separate"/>
      </w:r>
      <w:r>
        <w:rPr>
          <w:rFonts w:hint="eastAsia"/>
          <w:color w:val="auto"/>
          <w:lang w:val="en-US" w:eastAsia="zh-CN"/>
        </w:rPr>
        <w:t>7.2地表水环境影响预测与评价</w:t>
      </w:r>
      <w:r>
        <w:rPr>
          <w:color w:val="auto"/>
        </w:rPr>
        <w:tab/>
      </w:r>
      <w:r>
        <w:rPr>
          <w:color w:val="auto"/>
        </w:rPr>
        <w:fldChar w:fldCharType="begin"/>
      </w:r>
      <w:r>
        <w:rPr>
          <w:color w:val="auto"/>
        </w:rPr>
        <w:instrText xml:space="preserve"> PAGEREF _Toc624 \h </w:instrText>
      </w:r>
      <w:r>
        <w:rPr>
          <w:color w:val="auto"/>
        </w:rPr>
        <w:fldChar w:fldCharType="separate"/>
      </w:r>
      <w:r>
        <w:rPr>
          <w:color w:val="auto"/>
        </w:rPr>
        <w:t>- 159 -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_Toc5836 </w:instrText>
      </w:r>
      <w:r>
        <w:rPr>
          <w:color w:val="auto"/>
          <w:szCs w:val="28"/>
        </w:rPr>
        <w:fldChar w:fldCharType="separate"/>
      </w:r>
      <w:r>
        <w:rPr>
          <w:rFonts w:hint="eastAsia"/>
          <w:color w:val="auto"/>
          <w:lang w:val="en-US" w:eastAsia="zh-CN"/>
        </w:rPr>
        <w:t>7.3地下水环境影响分析</w:t>
      </w:r>
      <w:r>
        <w:rPr>
          <w:color w:val="auto"/>
        </w:rPr>
        <w:tab/>
      </w:r>
      <w:r>
        <w:rPr>
          <w:color w:val="auto"/>
        </w:rPr>
        <w:fldChar w:fldCharType="begin"/>
      </w:r>
      <w:r>
        <w:rPr>
          <w:color w:val="auto"/>
        </w:rPr>
        <w:instrText xml:space="preserve"> PAGEREF _Toc5836 \h </w:instrText>
      </w:r>
      <w:r>
        <w:rPr>
          <w:color w:val="auto"/>
        </w:rPr>
        <w:fldChar w:fldCharType="separate"/>
      </w:r>
      <w:r>
        <w:rPr>
          <w:color w:val="auto"/>
        </w:rPr>
        <w:t>- 161 -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_Toc18609 </w:instrText>
      </w:r>
      <w:r>
        <w:rPr>
          <w:color w:val="auto"/>
          <w:szCs w:val="28"/>
        </w:rPr>
        <w:fldChar w:fldCharType="separate"/>
      </w:r>
      <w:r>
        <w:rPr>
          <w:rFonts w:hint="eastAsia"/>
          <w:color w:val="auto"/>
          <w:lang w:val="en-US" w:eastAsia="zh-CN"/>
        </w:rPr>
        <w:t>7.4运营期声环境影响分析</w:t>
      </w:r>
      <w:r>
        <w:rPr>
          <w:color w:val="auto"/>
        </w:rPr>
        <w:tab/>
      </w:r>
      <w:r>
        <w:rPr>
          <w:color w:val="auto"/>
        </w:rPr>
        <w:fldChar w:fldCharType="begin"/>
      </w:r>
      <w:r>
        <w:rPr>
          <w:color w:val="auto"/>
        </w:rPr>
        <w:instrText xml:space="preserve"> PAGEREF _Toc18609 \h </w:instrText>
      </w:r>
      <w:r>
        <w:rPr>
          <w:color w:val="auto"/>
        </w:rPr>
        <w:fldChar w:fldCharType="separate"/>
      </w:r>
      <w:r>
        <w:rPr>
          <w:color w:val="auto"/>
        </w:rPr>
        <w:t>- 166 -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_Toc11973 </w:instrText>
      </w:r>
      <w:r>
        <w:rPr>
          <w:color w:val="auto"/>
          <w:szCs w:val="28"/>
        </w:rPr>
        <w:fldChar w:fldCharType="separate"/>
      </w:r>
      <w:r>
        <w:rPr>
          <w:rFonts w:hint="eastAsia"/>
          <w:color w:val="auto"/>
          <w:lang w:val="en-US" w:eastAsia="zh-CN"/>
        </w:rPr>
        <w:t>7.5运营期固体废物环境影响分析</w:t>
      </w:r>
      <w:r>
        <w:rPr>
          <w:color w:val="auto"/>
        </w:rPr>
        <w:tab/>
      </w:r>
      <w:r>
        <w:rPr>
          <w:color w:val="auto"/>
        </w:rPr>
        <w:fldChar w:fldCharType="begin"/>
      </w:r>
      <w:r>
        <w:rPr>
          <w:color w:val="auto"/>
        </w:rPr>
        <w:instrText xml:space="preserve"> PAGEREF _Toc11973 \h </w:instrText>
      </w:r>
      <w:r>
        <w:rPr>
          <w:color w:val="auto"/>
        </w:rPr>
        <w:fldChar w:fldCharType="separate"/>
      </w:r>
      <w:r>
        <w:rPr>
          <w:color w:val="auto"/>
        </w:rPr>
        <w:t>- 168 -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_Toc28470 </w:instrText>
      </w:r>
      <w:r>
        <w:rPr>
          <w:color w:val="auto"/>
          <w:szCs w:val="28"/>
        </w:rPr>
        <w:fldChar w:fldCharType="separate"/>
      </w:r>
      <w:r>
        <w:rPr>
          <w:rFonts w:hint="eastAsia"/>
          <w:color w:val="auto"/>
          <w:lang w:val="en-US" w:eastAsia="zh-CN"/>
        </w:rPr>
        <w:t>7.6运营期土壤环境影响分析</w:t>
      </w:r>
      <w:r>
        <w:rPr>
          <w:color w:val="auto"/>
        </w:rPr>
        <w:tab/>
      </w:r>
      <w:r>
        <w:rPr>
          <w:color w:val="auto"/>
        </w:rPr>
        <w:fldChar w:fldCharType="begin"/>
      </w:r>
      <w:r>
        <w:rPr>
          <w:color w:val="auto"/>
        </w:rPr>
        <w:instrText xml:space="preserve"> PAGEREF _Toc28470 \h </w:instrText>
      </w:r>
      <w:r>
        <w:rPr>
          <w:color w:val="auto"/>
        </w:rPr>
        <w:fldChar w:fldCharType="separate"/>
      </w:r>
      <w:r>
        <w:rPr>
          <w:color w:val="auto"/>
        </w:rPr>
        <w:t>- 169 -</w:t>
      </w:r>
      <w:r>
        <w:rPr>
          <w:color w:val="auto"/>
        </w:rPr>
        <w:fldChar w:fldCharType="end"/>
      </w:r>
      <w:r>
        <w:rPr>
          <w:color w:val="auto"/>
          <w:szCs w:val="28"/>
        </w:rPr>
        <w:fldChar w:fldCharType="end"/>
      </w:r>
    </w:p>
    <w:p>
      <w:pPr>
        <w:pStyle w:val="18"/>
        <w:tabs>
          <w:tab w:val="right" w:leader="dot" w:pos="9298"/>
        </w:tabs>
        <w:rPr>
          <w:color w:val="auto"/>
        </w:rPr>
      </w:pPr>
      <w:r>
        <w:rPr>
          <w:color w:val="auto"/>
          <w:szCs w:val="28"/>
        </w:rPr>
        <w:fldChar w:fldCharType="begin"/>
      </w:r>
      <w:r>
        <w:rPr>
          <w:color w:val="auto"/>
          <w:szCs w:val="28"/>
        </w:rPr>
        <w:instrText xml:space="preserve"> HYPERLINK \l _Toc25610 </w:instrText>
      </w:r>
      <w:r>
        <w:rPr>
          <w:color w:val="auto"/>
          <w:szCs w:val="28"/>
        </w:rPr>
        <w:fldChar w:fldCharType="separate"/>
      </w:r>
      <w:r>
        <w:rPr>
          <w:rFonts w:hint="eastAsia"/>
          <w:color w:val="auto"/>
          <w:lang w:val="en-US" w:eastAsia="zh-CN"/>
        </w:rPr>
        <w:t>8、环境保护措施及其可行性论证</w:t>
      </w:r>
      <w:r>
        <w:rPr>
          <w:color w:val="auto"/>
        </w:rPr>
        <w:tab/>
      </w:r>
      <w:r>
        <w:rPr>
          <w:color w:val="auto"/>
        </w:rPr>
        <w:fldChar w:fldCharType="begin"/>
      </w:r>
      <w:r>
        <w:rPr>
          <w:color w:val="auto"/>
        </w:rPr>
        <w:instrText xml:space="preserve"> PAGEREF _Toc25610 \h </w:instrText>
      </w:r>
      <w:r>
        <w:rPr>
          <w:color w:val="auto"/>
        </w:rPr>
        <w:fldChar w:fldCharType="separate"/>
      </w:r>
      <w:r>
        <w:rPr>
          <w:color w:val="auto"/>
        </w:rPr>
        <w:t>- 174 -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_Toc30857 </w:instrText>
      </w:r>
      <w:r>
        <w:rPr>
          <w:color w:val="auto"/>
          <w:szCs w:val="28"/>
        </w:rPr>
        <w:fldChar w:fldCharType="separate"/>
      </w:r>
      <w:r>
        <w:rPr>
          <w:rFonts w:hint="eastAsia"/>
          <w:color w:val="auto"/>
          <w:lang w:val="en-US" w:eastAsia="zh-CN"/>
        </w:rPr>
        <w:t>8.1运营期废气污染防治措施</w:t>
      </w:r>
      <w:r>
        <w:rPr>
          <w:color w:val="auto"/>
        </w:rPr>
        <w:tab/>
      </w:r>
      <w:r>
        <w:rPr>
          <w:color w:val="auto"/>
        </w:rPr>
        <w:fldChar w:fldCharType="begin"/>
      </w:r>
      <w:r>
        <w:rPr>
          <w:color w:val="auto"/>
        </w:rPr>
        <w:instrText xml:space="preserve"> PAGEREF _Toc30857 \h </w:instrText>
      </w:r>
      <w:r>
        <w:rPr>
          <w:color w:val="auto"/>
        </w:rPr>
        <w:fldChar w:fldCharType="separate"/>
      </w:r>
      <w:r>
        <w:rPr>
          <w:color w:val="auto"/>
        </w:rPr>
        <w:t>- 174 -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_Toc25031 </w:instrText>
      </w:r>
      <w:r>
        <w:rPr>
          <w:color w:val="auto"/>
          <w:szCs w:val="28"/>
        </w:rPr>
        <w:fldChar w:fldCharType="separate"/>
      </w:r>
      <w:r>
        <w:rPr>
          <w:rFonts w:hint="eastAsia"/>
          <w:color w:val="auto"/>
          <w:lang w:val="en-US" w:eastAsia="zh-CN"/>
        </w:rPr>
        <w:t>8.2运营期废水污染防治措施</w:t>
      </w:r>
      <w:r>
        <w:rPr>
          <w:color w:val="auto"/>
        </w:rPr>
        <w:tab/>
      </w:r>
      <w:r>
        <w:rPr>
          <w:color w:val="auto"/>
        </w:rPr>
        <w:fldChar w:fldCharType="begin"/>
      </w:r>
      <w:r>
        <w:rPr>
          <w:color w:val="auto"/>
        </w:rPr>
        <w:instrText xml:space="preserve"> PAGEREF _Toc25031 \h </w:instrText>
      </w:r>
      <w:r>
        <w:rPr>
          <w:color w:val="auto"/>
        </w:rPr>
        <w:fldChar w:fldCharType="separate"/>
      </w:r>
      <w:r>
        <w:rPr>
          <w:color w:val="auto"/>
        </w:rPr>
        <w:t>- 179 -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_Toc29386 </w:instrText>
      </w:r>
      <w:r>
        <w:rPr>
          <w:color w:val="auto"/>
          <w:szCs w:val="28"/>
        </w:rPr>
        <w:fldChar w:fldCharType="separate"/>
      </w:r>
      <w:r>
        <w:rPr>
          <w:rFonts w:hint="eastAsia"/>
          <w:color w:val="auto"/>
          <w:lang w:val="en-US" w:eastAsia="zh-CN"/>
        </w:rPr>
        <w:t>8.3地下水防治措施</w:t>
      </w:r>
      <w:r>
        <w:rPr>
          <w:color w:val="auto"/>
        </w:rPr>
        <w:tab/>
      </w:r>
      <w:r>
        <w:rPr>
          <w:color w:val="auto"/>
        </w:rPr>
        <w:fldChar w:fldCharType="begin"/>
      </w:r>
      <w:r>
        <w:rPr>
          <w:color w:val="auto"/>
        </w:rPr>
        <w:instrText xml:space="preserve"> PAGEREF _Toc29386 \h </w:instrText>
      </w:r>
      <w:r>
        <w:rPr>
          <w:color w:val="auto"/>
        </w:rPr>
        <w:fldChar w:fldCharType="separate"/>
      </w:r>
      <w:r>
        <w:rPr>
          <w:color w:val="auto"/>
        </w:rPr>
        <w:t>- 180 -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_Toc22200 </w:instrText>
      </w:r>
      <w:r>
        <w:rPr>
          <w:color w:val="auto"/>
          <w:szCs w:val="28"/>
        </w:rPr>
        <w:fldChar w:fldCharType="separate"/>
      </w:r>
      <w:r>
        <w:rPr>
          <w:rFonts w:hint="eastAsia"/>
          <w:color w:val="auto"/>
          <w:lang w:val="en-US" w:eastAsia="zh-CN"/>
        </w:rPr>
        <w:t>8.4运营期噪声污染防治措施</w:t>
      </w:r>
      <w:r>
        <w:rPr>
          <w:color w:val="auto"/>
        </w:rPr>
        <w:tab/>
      </w:r>
      <w:r>
        <w:rPr>
          <w:color w:val="auto"/>
        </w:rPr>
        <w:fldChar w:fldCharType="begin"/>
      </w:r>
      <w:r>
        <w:rPr>
          <w:color w:val="auto"/>
        </w:rPr>
        <w:instrText xml:space="preserve"> PAGEREF _Toc22200 \h </w:instrText>
      </w:r>
      <w:r>
        <w:rPr>
          <w:color w:val="auto"/>
        </w:rPr>
        <w:fldChar w:fldCharType="separate"/>
      </w:r>
      <w:r>
        <w:rPr>
          <w:color w:val="auto"/>
        </w:rPr>
        <w:t>- 182 -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_Toc11897 </w:instrText>
      </w:r>
      <w:r>
        <w:rPr>
          <w:color w:val="auto"/>
          <w:szCs w:val="28"/>
        </w:rPr>
        <w:fldChar w:fldCharType="separate"/>
      </w:r>
      <w:r>
        <w:rPr>
          <w:rFonts w:hint="eastAsia"/>
          <w:color w:val="auto"/>
          <w:lang w:val="en-US" w:eastAsia="zh-CN"/>
        </w:rPr>
        <w:t>8.5运营期固体废物处置措施</w:t>
      </w:r>
      <w:r>
        <w:rPr>
          <w:color w:val="auto"/>
        </w:rPr>
        <w:tab/>
      </w:r>
      <w:r>
        <w:rPr>
          <w:color w:val="auto"/>
        </w:rPr>
        <w:fldChar w:fldCharType="begin"/>
      </w:r>
      <w:r>
        <w:rPr>
          <w:color w:val="auto"/>
        </w:rPr>
        <w:instrText xml:space="preserve"> PAGEREF _Toc11897 \h </w:instrText>
      </w:r>
      <w:r>
        <w:rPr>
          <w:color w:val="auto"/>
        </w:rPr>
        <w:fldChar w:fldCharType="separate"/>
      </w:r>
      <w:r>
        <w:rPr>
          <w:color w:val="auto"/>
        </w:rPr>
        <w:t>- 183 -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_Toc840 </w:instrText>
      </w:r>
      <w:r>
        <w:rPr>
          <w:color w:val="auto"/>
          <w:szCs w:val="28"/>
        </w:rPr>
        <w:fldChar w:fldCharType="separate"/>
      </w:r>
      <w:r>
        <w:rPr>
          <w:rFonts w:hint="eastAsia"/>
          <w:color w:val="auto"/>
          <w:lang w:val="en-US" w:eastAsia="zh-CN"/>
        </w:rPr>
        <w:t>8.6运营期土壤污染防治措施</w:t>
      </w:r>
      <w:r>
        <w:rPr>
          <w:color w:val="auto"/>
        </w:rPr>
        <w:tab/>
      </w:r>
      <w:r>
        <w:rPr>
          <w:color w:val="auto"/>
        </w:rPr>
        <w:fldChar w:fldCharType="begin"/>
      </w:r>
      <w:r>
        <w:rPr>
          <w:color w:val="auto"/>
        </w:rPr>
        <w:instrText xml:space="preserve"> PAGEREF _Toc840 \h </w:instrText>
      </w:r>
      <w:r>
        <w:rPr>
          <w:color w:val="auto"/>
        </w:rPr>
        <w:fldChar w:fldCharType="separate"/>
      </w:r>
      <w:r>
        <w:rPr>
          <w:color w:val="auto"/>
        </w:rPr>
        <w:t>- 185 -</w:t>
      </w:r>
      <w:r>
        <w:rPr>
          <w:color w:val="auto"/>
        </w:rPr>
        <w:fldChar w:fldCharType="end"/>
      </w:r>
      <w:r>
        <w:rPr>
          <w:color w:val="auto"/>
          <w:szCs w:val="28"/>
        </w:rPr>
        <w:fldChar w:fldCharType="end"/>
      </w:r>
    </w:p>
    <w:p>
      <w:pPr>
        <w:pStyle w:val="18"/>
        <w:tabs>
          <w:tab w:val="right" w:leader="dot" w:pos="9298"/>
        </w:tabs>
        <w:rPr>
          <w:color w:val="auto"/>
        </w:rPr>
      </w:pPr>
      <w:r>
        <w:rPr>
          <w:color w:val="auto"/>
          <w:szCs w:val="28"/>
        </w:rPr>
        <w:fldChar w:fldCharType="begin"/>
      </w:r>
      <w:r>
        <w:rPr>
          <w:color w:val="auto"/>
          <w:szCs w:val="28"/>
        </w:rPr>
        <w:instrText xml:space="preserve"> HYPERLINK \l _Toc31892 </w:instrText>
      </w:r>
      <w:r>
        <w:rPr>
          <w:color w:val="auto"/>
          <w:szCs w:val="28"/>
        </w:rPr>
        <w:fldChar w:fldCharType="separate"/>
      </w:r>
      <w:r>
        <w:rPr>
          <w:rFonts w:hint="eastAsia"/>
          <w:color w:val="auto"/>
          <w:lang w:val="en-US" w:eastAsia="zh-CN"/>
        </w:rPr>
        <w:t>9、</w:t>
      </w:r>
      <w:r>
        <w:rPr>
          <w:rFonts w:hint="default"/>
          <w:color w:val="auto"/>
          <w:lang w:val="en-US" w:eastAsia="zh-CN"/>
        </w:rPr>
        <w:t>环境风险评价</w:t>
      </w:r>
      <w:r>
        <w:rPr>
          <w:color w:val="auto"/>
        </w:rPr>
        <w:tab/>
      </w:r>
      <w:r>
        <w:rPr>
          <w:color w:val="auto"/>
        </w:rPr>
        <w:fldChar w:fldCharType="begin"/>
      </w:r>
      <w:r>
        <w:rPr>
          <w:color w:val="auto"/>
        </w:rPr>
        <w:instrText xml:space="preserve"> PAGEREF _Toc31892 \h </w:instrText>
      </w:r>
      <w:r>
        <w:rPr>
          <w:color w:val="auto"/>
        </w:rPr>
        <w:fldChar w:fldCharType="separate"/>
      </w:r>
      <w:r>
        <w:rPr>
          <w:color w:val="auto"/>
        </w:rPr>
        <w:t>- 186 -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_Toc17845 </w:instrText>
      </w:r>
      <w:r>
        <w:rPr>
          <w:color w:val="auto"/>
          <w:szCs w:val="28"/>
        </w:rPr>
        <w:fldChar w:fldCharType="separate"/>
      </w:r>
      <w:r>
        <w:rPr>
          <w:rFonts w:hint="eastAsia"/>
          <w:color w:val="auto"/>
          <w:lang w:val="en-US" w:eastAsia="zh-CN"/>
        </w:rPr>
        <w:t>9.1</w:t>
      </w:r>
      <w:r>
        <w:rPr>
          <w:color w:val="auto"/>
          <w:lang w:val="en-US" w:eastAsia="zh-CN"/>
        </w:rPr>
        <w:t>环境风险评价目的</w:t>
      </w:r>
      <w:r>
        <w:rPr>
          <w:color w:val="auto"/>
        </w:rPr>
        <w:tab/>
      </w:r>
      <w:r>
        <w:rPr>
          <w:color w:val="auto"/>
        </w:rPr>
        <w:fldChar w:fldCharType="begin"/>
      </w:r>
      <w:r>
        <w:rPr>
          <w:color w:val="auto"/>
        </w:rPr>
        <w:instrText xml:space="preserve"> PAGEREF _Toc17845 \h </w:instrText>
      </w:r>
      <w:r>
        <w:rPr>
          <w:color w:val="auto"/>
        </w:rPr>
        <w:fldChar w:fldCharType="separate"/>
      </w:r>
      <w:r>
        <w:rPr>
          <w:color w:val="auto"/>
        </w:rPr>
        <w:t>- 186 -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_Toc14007 </w:instrText>
      </w:r>
      <w:r>
        <w:rPr>
          <w:color w:val="auto"/>
          <w:szCs w:val="28"/>
        </w:rPr>
        <w:fldChar w:fldCharType="separate"/>
      </w:r>
      <w:r>
        <w:rPr>
          <w:rFonts w:hint="eastAsia"/>
          <w:color w:val="auto"/>
          <w:lang w:val="en-US" w:eastAsia="zh-CN"/>
        </w:rPr>
        <w:t>9.2</w:t>
      </w:r>
      <w:r>
        <w:rPr>
          <w:color w:val="auto"/>
          <w:lang w:val="en-US" w:eastAsia="zh-CN"/>
        </w:rPr>
        <w:t>评价等级确定</w:t>
      </w:r>
      <w:r>
        <w:rPr>
          <w:color w:val="auto"/>
        </w:rPr>
        <w:tab/>
      </w:r>
      <w:r>
        <w:rPr>
          <w:color w:val="auto"/>
        </w:rPr>
        <w:fldChar w:fldCharType="begin"/>
      </w:r>
      <w:r>
        <w:rPr>
          <w:color w:val="auto"/>
        </w:rPr>
        <w:instrText xml:space="preserve"> PAGEREF _Toc14007 \h </w:instrText>
      </w:r>
      <w:r>
        <w:rPr>
          <w:color w:val="auto"/>
        </w:rPr>
        <w:fldChar w:fldCharType="separate"/>
      </w:r>
      <w:r>
        <w:rPr>
          <w:color w:val="auto"/>
        </w:rPr>
        <w:t>- 186 -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_Toc31798 </w:instrText>
      </w:r>
      <w:r>
        <w:rPr>
          <w:color w:val="auto"/>
          <w:szCs w:val="28"/>
        </w:rPr>
        <w:fldChar w:fldCharType="separate"/>
      </w:r>
      <w:r>
        <w:rPr>
          <w:rFonts w:hint="eastAsia"/>
          <w:color w:val="auto"/>
          <w:lang w:val="en-US" w:eastAsia="zh-CN"/>
        </w:rPr>
        <w:t>9.3</w:t>
      </w:r>
      <w:r>
        <w:rPr>
          <w:color w:val="auto"/>
        </w:rPr>
        <w:t>环境风险评价等级及评价范围</w:t>
      </w:r>
      <w:r>
        <w:rPr>
          <w:color w:val="auto"/>
        </w:rPr>
        <w:tab/>
      </w:r>
      <w:r>
        <w:rPr>
          <w:color w:val="auto"/>
        </w:rPr>
        <w:fldChar w:fldCharType="begin"/>
      </w:r>
      <w:r>
        <w:rPr>
          <w:color w:val="auto"/>
        </w:rPr>
        <w:instrText xml:space="preserve"> PAGEREF _Toc31798 \h </w:instrText>
      </w:r>
      <w:r>
        <w:rPr>
          <w:color w:val="auto"/>
        </w:rPr>
        <w:fldChar w:fldCharType="separate"/>
      </w:r>
      <w:r>
        <w:rPr>
          <w:color w:val="auto"/>
        </w:rPr>
        <w:t>- 191 -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_Toc10522 </w:instrText>
      </w:r>
      <w:r>
        <w:rPr>
          <w:color w:val="auto"/>
          <w:szCs w:val="28"/>
        </w:rPr>
        <w:fldChar w:fldCharType="separate"/>
      </w:r>
      <w:r>
        <w:rPr>
          <w:rFonts w:hint="eastAsia"/>
          <w:color w:val="auto"/>
          <w:lang w:val="en-US" w:eastAsia="zh-CN"/>
        </w:rPr>
        <w:t>9.4风险识别</w:t>
      </w:r>
      <w:r>
        <w:rPr>
          <w:color w:val="auto"/>
        </w:rPr>
        <w:tab/>
      </w:r>
      <w:r>
        <w:rPr>
          <w:color w:val="auto"/>
        </w:rPr>
        <w:fldChar w:fldCharType="begin"/>
      </w:r>
      <w:r>
        <w:rPr>
          <w:color w:val="auto"/>
        </w:rPr>
        <w:instrText xml:space="preserve"> PAGEREF _Toc10522 \h </w:instrText>
      </w:r>
      <w:r>
        <w:rPr>
          <w:color w:val="auto"/>
        </w:rPr>
        <w:fldChar w:fldCharType="separate"/>
      </w:r>
      <w:r>
        <w:rPr>
          <w:color w:val="auto"/>
        </w:rPr>
        <w:t>- 191 -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_Toc5498 </w:instrText>
      </w:r>
      <w:r>
        <w:rPr>
          <w:color w:val="auto"/>
          <w:szCs w:val="28"/>
        </w:rPr>
        <w:fldChar w:fldCharType="separate"/>
      </w:r>
      <w:r>
        <w:rPr>
          <w:rFonts w:hint="eastAsia"/>
          <w:color w:val="auto"/>
          <w:lang w:val="en-US" w:eastAsia="zh-CN"/>
        </w:rPr>
        <w:t>9</w:t>
      </w:r>
      <w:r>
        <w:rPr>
          <w:color w:val="auto"/>
        </w:rPr>
        <w:t>.5源项分析</w:t>
      </w:r>
      <w:r>
        <w:rPr>
          <w:color w:val="auto"/>
        </w:rPr>
        <w:tab/>
      </w:r>
      <w:r>
        <w:rPr>
          <w:color w:val="auto"/>
        </w:rPr>
        <w:fldChar w:fldCharType="begin"/>
      </w:r>
      <w:r>
        <w:rPr>
          <w:color w:val="auto"/>
        </w:rPr>
        <w:instrText xml:space="preserve"> PAGEREF _Toc5498 \h </w:instrText>
      </w:r>
      <w:r>
        <w:rPr>
          <w:color w:val="auto"/>
        </w:rPr>
        <w:fldChar w:fldCharType="separate"/>
      </w:r>
      <w:r>
        <w:rPr>
          <w:color w:val="auto"/>
        </w:rPr>
        <w:t>- 193 -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_Toc30115 </w:instrText>
      </w:r>
      <w:r>
        <w:rPr>
          <w:color w:val="auto"/>
          <w:szCs w:val="28"/>
        </w:rPr>
        <w:fldChar w:fldCharType="separate"/>
      </w:r>
      <w:r>
        <w:rPr>
          <w:rFonts w:hint="eastAsia"/>
          <w:color w:val="auto"/>
          <w:lang w:val="en-US" w:eastAsia="zh-CN"/>
        </w:rPr>
        <w:t>9</w:t>
      </w:r>
      <w:r>
        <w:rPr>
          <w:color w:val="auto"/>
        </w:rPr>
        <w:t>.6风险预测与评价</w:t>
      </w:r>
      <w:r>
        <w:rPr>
          <w:color w:val="auto"/>
        </w:rPr>
        <w:tab/>
      </w:r>
      <w:r>
        <w:rPr>
          <w:color w:val="auto"/>
        </w:rPr>
        <w:fldChar w:fldCharType="begin"/>
      </w:r>
      <w:r>
        <w:rPr>
          <w:color w:val="auto"/>
        </w:rPr>
        <w:instrText xml:space="preserve"> PAGEREF _Toc30115 \h </w:instrText>
      </w:r>
      <w:r>
        <w:rPr>
          <w:color w:val="auto"/>
        </w:rPr>
        <w:fldChar w:fldCharType="separate"/>
      </w:r>
      <w:r>
        <w:rPr>
          <w:color w:val="auto"/>
        </w:rPr>
        <w:t>- 196 -</w:t>
      </w:r>
      <w:r>
        <w:rPr>
          <w:color w:val="auto"/>
        </w:rPr>
        <w:fldChar w:fldCharType="end"/>
      </w:r>
      <w:r>
        <w:rPr>
          <w:color w:val="auto"/>
          <w:szCs w:val="28"/>
        </w:rPr>
        <w:fldChar w:fldCharType="end"/>
      </w:r>
    </w:p>
    <w:p>
      <w:pPr>
        <w:pStyle w:val="18"/>
        <w:tabs>
          <w:tab w:val="right" w:leader="dot" w:pos="9298"/>
        </w:tabs>
        <w:rPr>
          <w:color w:val="auto"/>
        </w:rPr>
      </w:pPr>
      <w:r>
        <w:rPr>
          <w:color w:val="auto"/>
          <w:szCs w:val="28"/>
        </w:rPr>
        <w:fldChar w:fldCharType="begin"/>
      </w:r>
      <w:r>
        <w:rPr>
          <w:color w:val="auto"/>
          <w:szCs w:val="28"/>
        </w:rPr>
        <w:instrText xml:space="preserve"> HYPERLINK \l _Toc10747 </w:instrText>
      </w:r>
      <w:r>
        <w:rPr>
          <w:color w:val="auto"/>
          <w:szCs w:val="28"/>
        </w:rPr>
        <w:fldChar w:fldCharType="separate"/>
      </w:r>
      <w:r>
        <w:rPr>
          <w:rFonts w:hint="eastAsia" w:ascii="Times New Roman" w:hAnsi="Times New Roman" w:eastAsia="宋体" w:cs="Times New Roman"/>
          <w:color w:val="auto"/>
          <w:kern w:val="44"/>
          <w:szCs w:val="32"/>
          <w:lang w:val="en-US" w:eastAsia="zh-CN" w:bidi="ar-SA"/>
        </w:rPr>
        <w:t>10</w:t>
      </w:r>
      <w:r>
        <w:rPr>
          <w:rFonts w:hint="eastAsia" w:ascii="Times New Roman" w:hAnsi="Times New Roman" w:cs="Times New Roman"/>
          <w:color w:val="auto"/>
          <w:kern w:val="44"/>
          <w:szCs w:val="32"/>
          <w:lang w:val="en-US" w:eastAsia="zh-CN" w:bidi="ar-SA"/>
        </w:rPr>
        <w:t>、</w:t>
      </w:r>
      <w:r>
        <w:rPr>
          <w:rFonts w:hint="eastAsia" w:ascii="Times New Roman" w:hAnsi="Times New Roman" w:eastAsia="宋体" w:cs="Times New Roman"/>
          <w:color w:val="auto"/>
          <w:kern w:val="44"/>
          <w:szCs w:val="32"/>
          <w:lang w:val="en-US" w:eastAsia="zh-CN" w:bidi="ar-SA"/>
        </w:rPr>
        <w:t>环境影响经济损益分析</w:t>
      </w:r>
      <w:r>
        <w:rPr>
          <w:color w:val="auto"/>
        </w:rPr>
        <w:tab/>
      </w:r>
      <w:r>
        <w:rPr>
          <w:color w:val="auto"/>
        </w:rPr>
        <w:fldChar w:fldCharType="begin"/>
      </w:r>
      <w:r>
        <w:rPr>
          <w:color w:val="auto"/>
        </w:rPr>
        <w:instrText xml:space="preserve"> PAGEREF _Toc10747 \h </w:instrText>
      </w:r>
      <w:r>
        <w:rPr>
          <w:color w:val="auto"/>
        </w:rPr>
        <w:fldChar w:fldCharType="separate"/>
      </w:r>
      <w:r>
        <w:rPr>
          <w:color w:val="auto"/>
        </w:rPr>
        <w:t>- 210 -</w:t>
      </w:r>
      <w:r>
        <w:rPr>
          <w:color w:val="auto"/>
        </w:rPr>
        <w:fldChar w:fldCharType="end"/>
      </w:r>
      <w:r>
        <w:rPr>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_Toc104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10.1社会效益分析</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_Toc104 \h </w:instrText>
      </w:r>
      <w:r>
        <w:rPr>
          <w:rFonts w:hint="eastAsia" w:ascii="仿宋" w:hAnsi="仿宋" w:eastAsia="仿宋" w:cs="仿宋"/>
          <w:color w:val="auto"/>
        </w:rPr>
        <w:fldChar w:fldCharType="separate"/>
      </w:r>
      <w:r>
        <w:rPr>
          <w:rFonts w:hint="eastAsia" w:ascii="仿宋" w:hAnsi="仿宋" w:eastAsia="仿宋" w:cs="仿宋"/>
          <w:color w:val="auto"/>
        </w:rPr>
        <w:t>- 210 -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_Toc3314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10.2经济效益分析</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_Toc3314 \h </w:instrText>
      </w:r>
      <w:r>
        <w:rPr>
          <w:rFonts w:hint="eastAsia" w:ascii="仿宋" w:hAnsi="仿宋" w:eastAsia="仿宋" w:cs="仿宋"/>
          <w:color w:val="auto"/>
        </w:rPr>
        <w:fldChar w:fldCharType="separate"/>
      </w:r>
      <w:r>
        <w:rPr>
          <w:rFonts w:hint="eastAsia" w:ascii="仿宋" w:hAnsi="仿宋" w:eastAsia="仿宋" w:cs="仿宋"/>
          <w:color w:val="auto"/>
        </w:rPr>
        <w:t>- 210 -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_Toc14671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10.3环保设施投资估算</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_Toc14671 \h </w:instrText>
      </w:r>
      <w:r>
        <w:rPr>
          <w:rFonts w:hint="eastAsia" w:ascii="仿宋" w:hAnsi="仿宋" w:eastAsia="仿宋" w:cs="仿宋"/>
          <w:color w:val="auto"/>
        </w:rPr>
        <w:fldChar w:fldCharType="separate"/>
      </w:r>
      <w:r>
        <w:rPr>
          <w:rFonts w:hint="eastAsia" w:ascii="仿宋" w:hAnsi="仿宋" w:eastAsia="仿宋" w:cs="仿宋"/>
          <w:color w:val="auto"/>
        </w:rPr>
        <w:t>- 210 -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_Toc31223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10.4环境效益分析</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_Toc31223 \h </w:instrText>
      </w:r>
      <w:r>
        <w:rPr>
          <w:rFonts w:hint="eastAsia" w:ascii="仿宋" w:hAnsi="仿宋" w:eastAsia="仿宋" w:cs="仿宋"/>
          <w:color w:val="auto"/>
        </w:rPr>
        <w:fldChar w:fldCharType="separate"/>
      </w:r>
      <w:r>
        <w:rPr>
          <w:rFonts w:hint="eastAsia" w:ascii="仿宋" w:hAnsi="仿宋" w:eastAsia="仿宋" w:cs="仿宋"/>
          <w:color w:val="auto"/>
        </w:rPr>
        <w:t>- 212 -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8"/>
        <w:tabs>
          <w:tab w:val="right" w:leader="dot" w:pos="9298"/>
        </w:tabs>
        <w:rPr>
          <w:color w:val="auto"/>
        </w:rPr>
      </w:pPr>
      <w:r>
        <w:rPr>
          <w:color w:val="auto"/>
          <w:szCs w:val="28"/>
        </w:rPr>
        <w:fldChar w:fldCharType="begin"/>
      </w:r>
      <w:r>
        <w:rPr>
          <w:color w:val="auto"/>
          <w:szCs w:val="28"/>
        </w:rPr>
        <w:instrText xml:space="preserve"> HYPERLINK \l _Toc29621 </w:instrText>
      </w:r>
      <w:r>
        <w:rPr>
          <w:color w:val="auto"/>
          <w:szCs w:val="28"/>
        </w:rPr>
        <w:fldChar w:fldCharType="separate"/>
      </w:r>
      <w:r>
        <w:rPr>
          <w:rFonts w:hint="eastAsia" w:ascii="Times New Roman" w:hAnsi="Times New Roman" w:eastAsia="宋体" w:cs="Times New Roman"/>
          <w:color w:val="auto"/>
          <w:kern w:val="44"/>
          <w:szCs w:val="32"/>
          <w:lang w:val="en-US" w:eastAsia="zh-CN" w:bidi="ar-SA"/>
        </w:rPr>
        <w:t>11</w:t>
      </w:r>
      <w:r>
        <w:rPr>
          <w:rFonts w:hint="eastAsia" w:ascii="Times New Roman" w:hAnsi="Times New Roman" w:cs="Times New Roman"/>
          <w:color w:val="auto"/>
          <w:kern w:val="44"/>
          <w:szCs w:val="32"/>
          <w:lang w:val="en-US" w:eastAsia="zh-CN" w:bidi="ar-SA"/>
        </w:rPr>
        <w:t>、</w:t>
      </w:r>
      <w:r>
        <w:rPr>
          <w:rFonts w:hint="eastAsia" w:ascii="Times New Roman" w:hAnsi="Times New Roman" w:eastAsia="宋体" w:cs="Times New Roman"/>
          <w:color w:val="auto"/>
          <w:kern w:val="44"/>
          <w:szCs w:val="32"/>
          <w:lang w:val="en-US" w:eastAsia="zh-CN" w:bidi="ar-SA"/>
        </w:rPr>
        <w:t>环境管理与监测计划</w:t>
      </w:r>
      <w:r>
        <w:rPr>
          <w:color w:val="auto"/>
        </w:rPr>
        <w:tab/>
      </w:r>
      <w:r>
        <w:rPr>
          <w:color w:val="auto"/>
        </w:rPr>
        <w:fldChar w:fldCharType="begin"/>
      </w:r>
      <w:r>
        <w:rPr>
          <w:color w:val="auto"/>
        </w:rPr>
        <w:instrText xml:space="preserve"> PAGEREF _Toc29621 \h </w:instrText>
      </w:r>
      <w:r>
        <w:rPr>
          <w:color w:val="auto"/>
        </w:rPr>
        <w:fldChar w:fldCharType="separate"/>
      </w:r>
      <w:r>
        <w:rPr>
          <w:color w:val="auto"/>
        </w:rPr>
        <w:t>- 213 -</w:t>
      </w:r>
      <w:r>
        <w:rPr>
          <w:color w:val="auto"/>
        </w:rPr>
        <w:fldChar w:fldCharType="end"/>
      </w:r>
      <w:r>
        <w:rPr>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_Toc27789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11.1环境保护管理</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_Toc27789 \h </w:instrText>
      </w:r>
      <w:r>
        <w:rPr>
          <w:rFonts w:hint="eastAsia" w:ascii="仿宋" w:hAnsi="仿宋" w:eastAsia="仿宋" w:cs="仿宋"/>
          <w:color w:val="auto"/>
        </w:rPr>
        <w:fldChar w:fldCharType="separate"/>
      </w:r>
      <w:r>
        <w:rPr>
          <w:rFonts w:hint="eastAsia" w:ascii="仿宋" w:hAnsi="仿宋" w:eastAsia="仿宋" w:cs="仿宋"/>
          <w:color w:val="auto"/>
        </w:rPr>
        <w:t>- 213 -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_Toc17471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11.2排污许可证制度</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_Toc17471 \h </w:instrText>
      </w:r>
      <w:r>
        <w:rPr>
          <w:rFonts w:hint="eastAsia" w:ascii="仿宋" w:hAnsi="仿宋" w:eastAsia="仿宋" w:cs="仿宋"/>
          <w:color w:val="auto"/>
        </w:rPr>
        <w:fldChar w:fldCharType="separate"/>
      </w:r>
      <w:r>
        <w:rPr>
          <w:rFonts w:hint="eastAsia" w:ascii="仿宋" w:hAnsi="仿宋" w:eastAsia="仿宋" w:cs="仿宋"/>
          <w:color w:val="auto"/>
        </w:rPr>
        <w:t>- 214 -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_Toc22829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11.3环境监测计划</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_Toc22829 \h </w:instrText>
      </w:r>
      <w:r>
        <w:rPr>
          <w:rFonts w:hint="eastAsia" w:ascii="仿宋" w:hAnsi="仿宋" w:eastAsia="仿宋" w:cs="仿宋"/>
          <w:color w:val="auto"/>
        </w:rPr>
        <w:fldChar w:fldCharType="separate"/>
      </w:r>
      <w:r>
        <w:rPr>
          <w:rFonts w:hint="eastAsia" w:ascii="仿宋" w:hAnsi="仿宋" w:eastAsia="仿宋" w:cs="仿宋"/>
          <w:color w:val="auto"/>
        </w:rPr>
        <w:t>- 216 -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rFonts w:hint="eastAsia" w:ascii="仿宋" w:hAnsi="仿宋" w:eastAsia="仿宋" w:cs="仿宋"/>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_Toc24131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11.4污染物排放总量控制</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_Toc24131 \h </w:instrText>
      </w:r>
      <w:r>
        <w:rPr>
          <w:rFonts w:hint="eastAsia" w:ascii="仿宋" w:hAnsi="仿宋" w:eastAsia="仿宋" w:cs="仿宋"/>
          <w:color w:val="auto"/>
        </w:rPr>
        <w:fldChar w:fldCharType="separate"/>
      </w:r>
      <w:r>
        <w:rPr>
          <w:rFonts w:hint="eastAsia" w:ascii="仿宋" w:hAnsi="仿宋" w:eastAsia="仿宋" w:cs="仿宋"/>
          <w:color w:val="auto"/>
        </w:rPr>
        <w:t>- 218 -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9"/>
        <w:tabs>
          <w:tab w:val="right" w:leader="dot" w:pos="9298"/>
        </w:tabs>
        <w:rPr>
          <w:color w:val="auto"/>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 HYPERLINK \l _Toc31632 </w:instrText>
      </w:r>
      <w:r>
        <w:rPr>
          <w:rFonts w:hint="eastAsia" w:ascii="仿宋" w:hAnsi="仿宋" w:eastAsia="仿宋" w:cs="仿宋"/>
          <w:color w:val="auto"/>
          <w:szCs w:val="28"/>
        </w:rPr>
        <w:fldChar w:fldCharType="separate"/>
      </w:r>
      <w:r>
        <w:rPr>
          <w:rFonts w:hint="eastAsia" w:ascii="仿宋" w:hAnsi="仿宋" w:eastAsia="仿宋" w:cs="仿宋"/>
          <w:color w:val="auto"/>
          <w:kern w:val="2"/>
          <w:szCs w:val="22"/>
          <w:lang w:val="en-US" w:eastAsia="zh-CN" w:bidi="ar-SA"/>
        </w:rPr>
        <w:t>11.5环境保护“三同时”验收</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_Toc31632 \h </w:instrText>
      </w:r>
      <w:r>
        <w:rPr>
          <w:rFonts w:hint="eastAsia" w:ascii="仿宋" w:hAnsi="仿宋" w:eastAsia="仿宋" w:cs="仿宋"/>
          <w:color w:val="auto"/>
        </w:rPr>
        <w:fldChar w:fldCharType="separate"/>
      </w:r>
      <w:r>
        <w:rPr>
          <w:rFonts w:hint="eastAsia" w:ascii="仿宋" w:hAnsi="仿宋" w:eastAsia="仿宋" w:cs="仿宋"/>
          <w:color w:val="auto"/>
        </w:rPr>
        <w:t>- 218 -</w:t>
      </w:r>
      <w:r>
        <w:rPr>
          <w:rFonts w:hint="eastAsia" w:ascii="仿宋" w:hAnsi="仿宋" w:eastAsia="仿宋" w:cs="仿宋"/>
          <w:color w:val="auto"/>
        </w:rPr>
        <w:fldChar w:fldCharType="end"/>
      </w:r>
      <w:r>
        <w:rPr>
          <w:rFonts w:hint="eastAsia" w:ascii="仿宋" w:hAnsi="仿宋" w:eastAsia="仿宋" w:cs="仿宋"/>
          <w:color w:val="auto"/>
          <w:szCs w:val="28"/>
        </w:rPr>
        <w:fldChar w:fldCharType="end"/>
      </w:r>
    </w:p>
    <w:p>
      <w:pPr>
        <w:pStyle w:val="18"/>
        <w:tabs>
          <w:tab w:val="right" w:leader="dot" w:pos="9298"/>
        </w:tabs>
        <w:rPr>
          <w:color w:val="auto"/>
        </w:rPr>
      </w:pPr>
      <w:r>
        <w:rPr>
          <w:color w:val="auto"/>
          <w:szCs w:val="28"/>
        </w:rPr>
        <w:fldChar w:fldCharType="begin"/>
      </w:r>
      <w:r>
        <w:rPr>
          <w:color w:val="auto"/>
          <w:szCs w:val="28"/>
        </w:rPr>
        <w:instrText xml:space="preserve"> HYPERLINK \l _Toc30061 </w:instrText>
      </w:r>
      <w:r>
        <w:rPr>
          <w:color w:val="auto"/>
          <w:szCs w:val="28"/>
        </w:rPr>
        <w:fldChar w:fldCharType="separate"/>
      </w:r>
      <w:r>
        <w:rPr>
          <w:rFonts w:hint="eastAsia"/>
          <w:color w:val="auto"/>
          <w:lang w:val="en-US" w:eastAsia="zh-CN"/>
        </w:rPr>
        <w:t>12、环境影响评价结论</w:t>
      </w:r>
      <w:r>
        <w:rPr>
          <w:color w:val="auto"/>
        </w:rPr>
        <w:tab/>
      </w:r>
      <w:r>
        <w:rPr>
          <w:color w:val="auto"/>
        </w:rPr>
        <w:fldChar w:fldCharType="begin"/>
      </w:r>
      <w:r>
        <w:rPr>
          <w:color w:val="auto"/>
        </w:rPr>
        <w:instrText xml:space="preserve"> PAGEREF _Toc30061 \h </w:instrText>
      </w:r>
      <w:r>
        <w:rPr>
          <w:color w:val="auto"/>
        </w:rPr>
        <w:fldChar w:fldCharType="separate"/>
      </w:r>
      <w:r>
        <w:rPr>
          <w:color w:val="auto"/>
        </w:rPr>
        <w:t>- 220 -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_Toc19516 </w:instrText>
      </w:r>
      <w:r>
        <w:rPr>
          <w:color w:val="auto"/>
          <w:szCs w:val="28"/>
        </w:rPr>
        <w:fldChar w:fldCharType="separate"/>
      </w:r>
      <w:r>
        <w:rPr>
          <w:rFonts w:hint="default"/>
          <w:color w:val="auto"/>
          <w:lang w:val="en-US" w:eastAsia="zh-CN"/>
        </w:rPr>
        <w:t>1</w:t>
      </w:r>
      <w:r>
        <w:rPr>
          <w:rFonts w:hint="eastAsia"/>
          <w:color w:val="auto"/>
          <w:lang w:val="en-US" w:eastAsia="zh-CN"/>
        </w:rPr>
        <w:t>2</w:t>
      </w:r>
      <w:r>
        <w:rPr>
          <w:rFonts w:hint="default"/>
          <w:color w:val="auto"/>
          <w:lang w:val="en-US" w:eastAsia="zh-CN"/>
        </w:rPr>
        <w:t>.1项目概况</w:t>
      </w:r>
      <w:r>
        <w:rPr>
          <w:color w:val="auto"/>
        </w:rPr>
        <w:tab/>
      </w:r>
      <w:r>
        <w:rPr>
          <w:color w:val="auto"/>
        </w:rPr>
        <w:fldChar w:fldCharType="begin"/>
      </w:r>
      <w:r>
        <w:rPr>
          <w:color w:val="auto"/>
        </w:rPr>
        <w:instrText xml:space="preserve"> PAGEREF _Toc19516 \h </w:instrText>
      </w:r>
      <w:r>
        <w:rPr>
          <w:color w:val="auto"/>
        </w:rPr>
        <w:fldChar w:fldCharType="separate"/>
      </w:r>
      <w:r>
        <w:rPr>
          <w:color w:val="auto"/>
        </w:rPr>
        <w:t>- 220 -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_Toc3463 </w:instrText>
      </w:r>
      <w:r>
        <w:rPr>
          <w:color w:val="auto"/>
          <w:szCs w:val="28"/>
        </w:rPr>
        <w:fldChar w:fldCharType="separate"/>
      </w:r>
      <w:r>
        <w:rPr>
          <w:rFonts w:hint="eastAsia"/>
          <w:color w:val="auto"/>
          <w:lang w:val="en-US" w:eastAsia="zh-CN"/>
        </w:rPr>
        <w:t>12.2环境质量现状</w:t>
      </w:r>
      <w:r>
        <w:rPr>
          <w:color w:val="auto"/>
        </w:rPr>
        <w:tab/>
      </w:r>
      <w:r>
        <w:rPr>
          <w:color w:val="auto"/>
        </w:rPr>
        <w:fldChar w:fldCharType="begin"/>
      </w:r>
      <w:r>
        <w:rPr>
          <w:color w:val="auto"/>
        </w:rPr>
        <w:instrText xml:space="preserve"> PAGEREF _Toc3463 \h </w:instrText>
      </w:r>
      <w:r>
        <w:rPr>
          <w:color w:val="auto"/>
        </w:rPr>
        <w:fldChar w:fldCharType="separate"/>
      </w:r>
      <w:r>
        <w:rPr>
          <w:color w:val="auto"/>
        </w:rPr>
        <w:t>- 220 -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_Toc32687 </w:instrText>
      </w:r>
      <w:r>
        <w:rPr>
          <w:color w:val="auto"/>
          <w:szCs w:val="28"/>
        </w:rPr>
        <w:fldChar w:fldCharType="separate"/>
      </w:r>
      <w:r>
        <w:rPr>
          <w:rFonts w:hint="eastAsia"/>
          <w:color w:val="auto"/>
          <w:lang w:val="en-US" w:eastAsia="zh-CN"/>
        </w:rPr>
        <w:t>12.3主要环境影响</w:t>
      </w:r>
      <w:r>
        <w:rPr>
          <w:color w:val="auto"/>
        </w:rPr>
        <w:tab/>
      </w:r>
      <w:r>
        <w:rPr>
          <w:color w:val="auto"/>
        </w:rPr>
        <w:fldChar w:fldCharType="begin"/>
      </w:r>
      <w:r>
        <w:rPr>
          <w:color w:val="auto"/>
        </w:rPr>
        <w:instrText xml:space="preserve"> PAGEREF _Toc32687 \h </w:instrText>
      </w:r>
      <w:r>
        <w:rPr>
          <w:color w:val="auto"/>
        </w:rPr>
        <w:fldChar w:fldCharType="separate"/>
      </w:r>
      <w:r>
        <w:rPr>
          <w:color w:val="auto"/>
        </w:rPr>
        <w:t>- 221 -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_Toc12688 </w:instrText>
      </w:r>
      <w:r>
        <w:rPr>
          <w:color w:val="auto"/>
          <w:szCs w:val="28"/>
        </w:rPr>
        <w:fldChar w:fldCharType="separate"/>
      </w:r>
      <w:r>
        <w:rPr>
          <w:rFonts w:hint="eastAsia"/>
          <w:color w:val="auto"/>
          <w:lang w:val="en-US" w:eastAsia="zh-CN"/>
        </w:rPr>
        <w:t>12.4环境制约因素</w:t>
      </w:r>
      <w:r>
        <w:rPr>
          <w:color w:val="auto"/>
        </w:rPr>
        <w:tab/>
      </w:r>
      <w:r>
        <w:rPr>
          <w:color w:val="auto"/>
        </w:rPr>
        <w:fldChar w:fldCharType="begin"/>
      </w:r>
      <w:r>
        <w:rPr>
          <w:color w:val="auto"/>
        </w:rPr>
        <w:instrText xml:space="preserve"> PAGEREF _Toc12688 \h </w:instrText>
      </w:r>
      <w:r>
        <w:rPr>
          <w:color w:val="auto"/>
        </w:rPr>
        <w:fldChar w:fldCharType="separate"/>
      </w:r>
      <w:r>
        <w:rPr>
          <w:color w:val="auto"/>
        </w:rPr>
        <w:t>- 222 -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_Toc17298 </w:instrText>
      </w:r>
      <w:r>
        <w:rPr>
          <w:color w:val="auto"/>
          <w:szCs w:val="28"/>
        </w:rPr>
        <w:fldChar w:fldCharType="separate"/>
      </w:r>
      <w:r>
        <w:rPr>
          <w:rFonts w:hint="eastAsia"/>
          <w:color w:val="auto"/>
          <w:lang w:val="en-US" w:eastAsia="zh-CN"/>
        </w:rPr>
        <w:t>12.5公众意见采纳情况</w:t>
      </w:r>
      <w:r>
        <w:rPr>
          <w:color w:val="auto"/>
        </w:rPr>
        <w:tab/>
      </w:r>
      <w:r>
        <w:rPr>
          <w:color w:val="auto"/>
        </w:rPr>
        <w:fldChar w:fldCharType="begin"/>
      </w:r>
      <w:r>
        <w:rPr>
          <w:color w:val="auto"/>
        </w:rPr>
        <w:instrText xml:space="preserve"> PAGEREF _Toc17298 \h </w:instrText>
      </w:r>
      <w:r>
        <w:rPr>
          <w:color w:val="auto"/>
        </w:rPr>
        <w:fldChar w:fldCharType="separate"/>
      </w:r>
      <w:r>
        <w:rPr>
          <w:color w:val="auto"/>
        </w:rPr>
        <w:t>- 222 -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_Toc5258 </w:instrText>
      </w:r>
      <w:r>
        <w:rPr>
          <w:color w:val="auto"/>
          <w:szCs w:val="28"/>
        </w:rPr>
        <w:fldChar w:fldCharType="separate"/>
      </w:r>
      <w:r>
        <w:rPr>
          <w:rFonts w:hint="eastAsia"/>
          <w:color w:val="auto"/>
          <w:lang w:val="en-US" w:eastAsia="zh-CN"/>
        </w:rPr>
        <w:t>12.6环境保护措施</w:t>
      </w:r>
      <w:r>
        <w:rPr>
          <w:color w:val="auto"/>
        </w:rPr>
        <w:tab/>
      </w:r>
      <w:r>
        <w:rPr>
          <w:color w:val="auto"/>
        </w:rPr>
        <w:fldChar w:fldCharType="begin"/>
      </w:r>
      <w:r>
        <w:rPr>
          <w:color w:val="auto"/>
        </w:rPr>
        <w:instrText xml:space="preserve"> PAGEREF _Toc5258 \h </w:instrText>
      </w:r>
      <w:r>
        <w:rPr>
          <w:color w:val="auto"/>
        </w:rPr>
        <w:fldChar w:fldCharType="separate"/>
      </w:r>
      <w:r>
        <w:rPr>
          <w:color w:val="auto"/>
        </w:rPr>
        <w:t>- 222 -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_Toc21213 </w:instrText>
      </w:r>
      <w:r>
        <w:rPr>
          <w:color w:val="auto"/>
          <w:szCs w:val="28"/>
        </w:rPr>
        <w:fldChar w:fldCharType="separate"/>
      </w:r>
      <w:r>
        <w:rPr>
          <w:rFonts w:hint="eastAsia"/>
          <w:color w:val="auto"/>
          <w:lang w:val="en-US" w:eastAsia="zh-CN"/>
        </w:rPr>
        <w:t>12.7环境影响经济损益分析结论</w:t>
      </w:r>
      <w:r>
        <w:rPr>
          <w:color w:val="auto"/>
        </w:rPr>
        <w:tab/>
      </w:r>
      <w:r>
        <w:rPr>
          <w:color w:val="auto"/>
        </w:rPr>
        <w:fldChar w:fldCharType="begin"/>
      </w:r>
      <w:r>
        <w:rPr>
          <w:color w:val="auto"/>
        </w:rPr>
        <w:instrText xml:space="preserve"> PAGEREF _Toc21213 \h </w:instrText>
      </w:r>
      <w:r>
        <w:rPr>
          <w:color w:val="auto"/>
        </w:rPr>
        <w:fldChar w:fldCharType="separate"/>
      </w:r>
      <w:r>
        <w:rPr>
          <w:color w:val="auto"/>
        </w:rPr>
        <w:t>- 223 -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_Toc29086 </w:instrText>
      </w:r>
      <w:r>
        <w:rPr>
          <w:color w:val="auto"/>
          <w:szCs w:val="28"/>
        </w:rPr>
        <w:fldChar w:fldCharType="separate"/>
      </w:r>
      <w:r>
        <w:rPr>
          <w:rFonts w:hint="eastAsia"/>
          <w:color w:val="auto"/>
          <w:lang w:val="en-US" w:eastAsia="zh-CN"/>
        </w:rPr>
        <w:t>12.8环境管理与监测计划</w:t>
      </w:r>
      <w:r>
        <w:rPr>
          <w:color w:val="auto"/>
        </w:rPr>
        <w:tab/>
      </w:r>
      <w:r>
        <w:rPr>
          <w:color w:val="auto"/>
        </w:rPr>
        <w:fldChar w:fldCharType="begin"/>
      </w:r>
      <w:r>
        <w:rPr>
          <w:color w:val="auto"/>
        </w:rPr>
        <w:instrText xml:space="preserve"> PAGEREF _Toc29086 \h </w:instrText>
      </w:r>
      <w:r>
        <w:rPr>
          <w:color w:val="auto"/>
        </w:rPr>
        <w:fldChar w:fldCharType="separate"/>
      </w:r>
      <w:r>
        <w:rPr>
          <w:color w:val="auto"/>
        </w:rPr>
        <w:t>- 223 -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_Toc32732 </w:instrText>
      </w:r>
      <w:r>
        <w:rPr>
          <w:color w:val="auto"/>
          <w:szCs w:val="28"/>
        </w:rPr>
        <w:fldChar w:fldCharType="separate"/>
      </w:r>
      <w:r>
        <w:rPr>
          <w:rFonts w:hint="eastAsia"/>
          <w:color w:val="auto"/>
          <w:lang w:val="en-US" w:eastAsia="zh-CN"/>
        </w:rPr>
        <w:t>12.9总结论</w:t>
      </w:r>
      <w:r>
        <w:rPr>
          <w:color w:val="auto"/>
        </w:rPr>
        <w:tab/>
      </w:r>
      <w:r>
        <w:rPr>
          <w:color w:val="auto"/>
        </w:rPr>
        <w:fldChar w:fldCharType="begin"/>
      </w:r>
      <w:r>
        <w:rPr>
          <w:color w:val="auto"/>
        </w:rPr>
        <w:instrText xml:space="preserve"> PAGEREF _Toc32732 \h </w:instrText>
      </w:r>
      <w:r>
        <w:rPr>
          <w:color w:val="auto"/>
        </w:rPr>
        <w:fldChar w:fldCharType="separate"/>
      </w:r>
      <w:r>
        <w:rPr>
          <w:color w:val="auto"/>
        </w:rPr>
        <w:t>- 223 -</w:t>
      </w:r>
      <w:r>
        <w:rPr>
          <w:color w:val="auto"/>
        </w:rPr>
        <w:fldChar w:fldCharType="end"/>
      </w:r>
      <w:r>
        <w:rPr>
          <w:color w:val="auto"/>
          <w:szCs w:val="28"/>
        </w:rPr>
        <w:fldChar w:fldCharType="end"/>
      </w:r>
    </w:p>
    <w:p>
      <w:pPr>
        <w:pStyle w:val="19"/>
        <w:tabs>
          <w:tab w:val="right" w:leader="dot" w:pos="9298"/>
        </w:tabs>
        <w:rPr>
          <w:color w:val="auto"/>
        </w:rPr>
      </w:pPr>
      <w:r>
        <w:rPr>
          <w:color w:val="auto"/>
          <w:szCs w:val="28"/>
        </w:rPr>
        <w:fldChar w:fldCharType="begin"/>
      </w:r>
      <w:r>
        <w:rPr>
          <w:color w:val="auto"/>
          <w:szCs w:val="28"/>
        </w:rPr>
        <w:instrText xml:space="preserve"> HYPERLINK \l _Toc28303 </w:instrText>
      </w:r>
      <w:r>
        <w:rPr>
          <w:color w:val="auto"/>
          <w:szCs w:val="28"/>
        </w:rPr>
        <w:fldChar w:fldCharType="separate"/>
      </w:r>
      <w:r>
        <w:rPr>
          <w:rFonts w:hint="eastAsia"/>
          <w:color w:val="auto"/>
          <w:lang w:val="en-US" w:eastAsia="zh-CN"/>
        </w:rPr>
        <w:t>12.10建议</w:t>
      </w:r>
      <w:r>
        <w:rPr>
          <w:color w:val="auto"/>
        </w:rPr>
        <w:tab/>
      </w:r>
      <w:r>
        <w:rPr>
          <w:color w:val="auto"/>
        </w:rPr>
        <w:fldChar w:fldCharType="begin"/>
      </w:r>
      <w:r>
        <w:rPr>
          <w:color w:val="auto"/>
        </w:rPr>
        <w:instrText xml:space="preserve"> PAGEREF _Toc28303 \h </w:instrText>
      </w:r>
      <w:r>
        <w:rPr>
          <w:color w:val="auto"/>
        </w:rPr>
        <w:fldChar w:fldCharType="separate"/>
      </w:r>
      <w:r>
        <w:rPr>
          <w:color w:val="auto"/>
        </w:rPr>
        <w:t>- 224 -</w:t>
      </w:r>
      <w:r>
        <w:rPr>
          <w:color w:val="auto"/>
        </w:rPr>
        <w:fldChar w:fldCharType="end"/>
      </w:r>
      <w:r>
        <w:rPr>
          <w:color w:val="auto"/>
          <w:szCs w:val="28"/>
        </w:rPr>
        <w:fldChar w:fldCharType="end"/>
      </w:r>
    </w:p>
    <w:p>
      <w:pPr>
        <w:pStyle w:val="18"/>
        <w:tabs>
          <w:tab w:val="right" w:leader="dot" w:pos="8607"/>
        </w:tabs>
        <w:adjustRightInd w:val="0"/>
        <w:snapToGrid w:val="0"/>
        <w:rPr>
          <w:b/>
          <w:color w:val="auto"/>
          <w:sz w:val="28"/>
          <w:szCs w:val="28"/>
        </w:rPr>
      </w:pPr>
      <w:r>
        <w:rPr>
          <w:color w:val="auto"/>
          <w:szCs w:val="28"/>
        </w:rPr>
        <w:fldChar w:fldCharType="end"/>
      </w:r>
    </w:p>
    <w:p>
      <w:pPr>
        <w:pStyle w:val="33"/>
        <w:bidi w:val="0"/>
        <w:rPr>
          <w:b/>
          <w:bCs/>
          <w:color w:val="auto"/>
        </w:rPr>
      </w:pPr>
      <w:r>
        <w:rPr>
          <w:rFonts w:hint="eastAsia"/>
          <w:b/>
          <w:bCs/>
          <w:color w:val="auto"/>
        </w:rPr>
        <w:t>附表：</w:t>
      </w:r>
    </w:p>
    <w:p>
      <w:pPr>
        <w:pStyle w:val="33"/>
        <w:bidi w:val="0"/>
        <w:rPr>
          <w:color w:val="auto"/>
        </w:rPr>
      </w:pPr>
      <w:r>
        <w:rPr>
          <w:rFonts w:hint="eastAsia"/>
          <w:color w:val="auto"/>
        </w:rPr>
        <w:t>附表1 建设项目环评审批基础信息表</w:t>
      </w:r>
    </w:p>
    <w:p>
      <w:pPr>
        <w:pStyle w:val="33"/>
        <w:bidi w:val="0"/>
        <w:rPr>
          <w:color w:val="auto"/>
        </w:rPr>
      </w:pPr>
      <w:r>
        <w:rPr>
          <w:rFonts w:hint="eastAsia"/>
          <w:color w:val="auto"/>
        </w:rPr>
        <w:t>附表2 建设项目大气环境影响评价自查表</w:t>
      </w:r>
    </w:p>
    <w:p>
      <w:pPr>
        <w:pStyle w:val="33"/>
        <w:bidi w:val="0"/>
        <w:rPr>
          <w:color w:val="auto"/>
        </w:rPr>
      </w:pPr>
      <w:r>
        <w:rPr>
          <w:rFonts w:hint="eastAsia"/>
          <w:color w:val="auto"/>
        </w:rPr>
        <w:t>附表3 地表水环境影响评价自查表</w:t>
      </w:r>
    </w:p>
    <w:p>
      <w:pPr>
        <w:pStyle w:val="33"/>
        <w:bidi w:val="0"/>
        <w:rPr>
          <w:rFonts w:hint="eastAsia"/>
          <w:color w:val="auto"/>
        </w:rPr>
      </w:pPr>
      <w:r>
        <w:rPr>
          <w:rFonts w:hint="eastAsia"/>
          <w:color w:val="auto"/>
        </w:rPr>
        <w:t>附表4 环境风险评价自查表</w:t>
      </w:r>
    </w:p>
    <w:p>
      <w:pPr>
        <w:pStyle w:val="33"/>
        <w:bidi w:val="0"/>
        <w:rPr>
          <w:color w:val="auto"/>
        </w:rPr>
      </w:pPr>
      <w:r>
        <w:rPr>
          <w:rFonts w:hint="eastAsia"/>
          <w:color w:val="auto"/>
        </w:rPr>
        <w:t>附表5 土壤环境影响评价自查表</w:t>
      </w:r>
    </w:p>
    <w:p>
      <w:pPr>
        <w:pStyle w:val="33"/>
        <w:bidi w:val="0"/>
        <w:rPr>
          <w:b/>
          <w:bCs/>
          <w:color w:val="auto"/>
        </w:rPr>
      </w:pPr>
      <w:r>
        <w:rPr>
          <w:rFonts w:hint="eastAsia"/>
          <w:b/>
          <w:bCs/>
          <w:color w:val="auto"/>
        </w:rPr>
        <w:t>附件：</w:t>
      </w:r>
    </w:p>
    <w:p>
      <w:pPr>
        <w:pStyle w:val="33"/>
        <w:bidi w:val="0"/>
        <w:rPr>
          <w:color w:val="auto"/>
        </w:rPr>
      </w:pPr>
      <w:r>
        <w:rPr>
          <w:rFonts w:hint="eastAsia"/>
          <w:color w:val="auto"/>
        </w:rPr>
        <w:t xml:space="preserve">附件1 </w:t>
      </w:r>
      <w:r>
        <w:rPr>
          <w:rFonts w:hint="eastAsia"/>
          <w:color w:val="auto"/>
          <w:lang w:val="en-US" w:eastAsia="zh-CN"/>
        </w:rPr>
        <w:t>环评</w:t>
      </w:r>
      <w:r>
        <w:rPr>
          <w:rFonts w:hint="eastAsia"/>
          <w:color w:val="auto"/>
        </w:rPr>
        <w:t>委托函</w:t>
      </w:r>
    </w:p>
    <w:p>
      <w:pPr>
        <w:pStyle w:val="33"/>
        <w:bidi w:val="0"/>
        <w:rPr>
          <w:rFonts w:hint="default" w:eastAsia="宋体"/>
          <w:color w:val="auto"/>
          <w:lang w:val="en-US" w:eastAsia="zh-CN"/>
        </w:rPr>
      </w:pPr>
      <w:r>
        <w:rPr>
          <w:rFonts w:hint="eastAsia"/>
          <w:color w:val="auto"/>
        </w:rPr>
        <w:t>附件2 《岳阳市凌峰化工有限公司整体迁扩建项目环境影响报告书》</w:t>
      </w:r>
      <w:r>
        <w:rPr>
          <w:rFonts w:hint="eastAsia"/>
          <w:color w:val="auto"/>
          <w:lang w:val="en-US" w:eastAsia="zh-CN"/>
        </w:rPr>
        <w:t>环评批复</w:t>
      </w:r>
    </w:p>
    <w:p>
      <w:pPr>
        <w:pStyle w:val="33"/>
        <w:bidi w:val="0"/>
        <w:rPr>
          <w:rFonts w:hint="default" w:eastAsia="宋体"/>
          <w:color w:val="auto"/>
          <w:lang w:val="en-US" w:eastAsia="zh-CN"/>
        </w:rPr>
      </w:pPr>
      <w:r>
        <w:rPr>
          <w:rFonts w:hint="eastAsia"/>
          <w:color w:val="auto"/>
        </w:rPr>
        <w:t>附件3 《岳阳市凌峰化工有限公司整体迁扩建项目环境影响报告书》</w:t>
      </w:r>
      <w:r>
        <w:rPr>
          <w:rFonts w:hint="eastAsia"/>
          <w:color w:val="auto"/>
          <w:lang w:val="en-US" w:eastAsia="zh-CN"/>
        </w:rPr>
        <w:t>验收批复</w:t>
      </w:r>
    </w:p>
    <w:p>
      <w:pPr>
        <w:pStyle w:val="33"/>
        <w:bidi w:val="0"/>
        <w:rPr>
          <w:rFonts w:hint="default" w:eastAsia="宋体"/>
          <w:color w:val="auto"/>
          <w:lang w:val="en-US" w:eastAsia="zh-CN"/>
        </w:rPr>
      </w:pPr>
      <w:r>
        <w:rPr>
          <w:rFonts w:hint="eastAsia"/>
          <w:color w:val="auto"/>
        </w:rPr>
        <w:t>附件4《岳阳市凌峰化工有限公司年产60吨对甲苯磺酸巴马丁生产装置建设项目环境影响报告书》</w:t>
      </w:r>
      <w:r>
        <w:rPr>
          <w:rFonts w:hint="eastAsia"/>
          <w:color w:val="auto"/>
          <w:lang w:val="en-US" w:eastAsia="zh-CN"/>
        </w:rPr>
        <w:t>环评批复</w:t>
      </w:r>
      <w:bookmarkStart w:id="515" w:name="_GoBack"/>
      <w:bookmarkEnd w:id="515"/>
    </w:p>
    <w:p>
      <w:pPr>
        <w:pStyle w:val="33"/>
        <w:bidi w:val="0"/>
        <w:rPr>
          <w:rFonts w:hint="default" w:eastAsia="宋体"/>
          <w:color w:val="auto"/>
          <w:lang w:val="en-US" w:eastAsia="zh-CN"/>
        </w:rPr>
      </w:pPr>
      <w:r>
        <w:rPr>
          <w:rFonts w:hint="eastAsia"/>
          <w:color w:val="auto"/>
        </w:rPr>
        <w:t>附件5 《岳阳市凌峰化工有限公司年产60吨对甲苯磺酸巴马丁生产装置建设项目环境影响报告书》</w:t>
      </w:r>
      <w:r>
        <w:rPr>
          <w:rFonts w:hint="eastAsia"/>
          <w:color w:val="auto"/>
          <w:lang w:val="en-US" w:eastAsia="zh-CN"/>
        </w:rPr>
        <w:t>验收文件</w:t>
      </w:r>
    </w:p>
    <w:p>
      <w:pPr>
        <w:pStyle w:val="33"/>
        <w:bidi w:val="0"/>
        <w:rPr>
          <w:rFonts w:hint="default" w:eastAsia="宋体"/>
          <w:color w:val="auto"/>
          <w:lang w:val="en-US" w:eastAsia="zh-CN"/>
        </w:rPr>
      </w:pPr>
      <w:r>
        <w:rPr>
          <w:rFonts w:hint="eastAsia"/>
          <w:color w:val="auto"/>
        </w:rPr>
        <w:t>附件6 《岳阳市凌峰化工有限公司二期工程环境影响报告书》</w:t>
      </w:r>
      <w:r>
        <w:rPr>
          <w:rFonts w:hint="eastAsia"/>
          <w:color w:val="auto"/>
          <w:lang w:val="en-US" w:eastAsia="zh-CN"/>
        </w:rPr>
        <w:t>环评批复</w:t>
      </w:r>
    </w:p>
    <w:p>
      <w:pPr>
        <w:pStyle w:val="33"/>
        <w:bidi w:val="0"/>
        <w:rPr>
          <w:rFonts w:hint="default" w:eastAsia="宋体"/>
          <w:color w:val="auto"/>
          <w:lang w:val="en-US" w:eastAsia="zh-CN"/>
        </w:rPr>
      </w:pPr>
      <w:r>
        <w:rPr>
          <w:rFonts w:hint="eastAsia"/>
          <w:color w:val="auto"/>
        </w:rPr>
        <w:t xml:space="preserve">附件7 </w:t>
      </w:r>
      <w:r>
        <w:rPr>
          <w:rFonts w:hint="eastAsia"/>
          <w:color w:val="auto"/>
          <w:lang w:val="en-US" w:eastAsia="zh-CN"/>
        </w:rPr>
        <w:t>应急预案备案证明</w:t>
      </w:r>
    </w:p>
    <w:p>
      <w:pPr>
        <w:pStyle w:val="33"/>
        <w:bidi w:val="0"/>
        <w:rPr>
          <w:rFonts w:hint="default" w:eastAsia="宋体"/>
          <w:color w:val="auto"/>
          <w:lang w:val="en-US" w:eastAsia="zh-CN"/>
        </w:rPr>
      </w:pPr>
      <w:r>
        <w:rPr>
          <w:rFonts w:hint="eastAsia"/>
          <w:color w:val="auto"/>
        </w:rPr>
        <w:t xml:space="preserve">附件8 </w:t>
      </w:r>
      <w:r>
        <w:rPr>
          <w:rFonts w:hint="eastAsia"/>
          <w:color w:val="auto"/>
          <w:lang w:val="en-US" w:eastAsia="zh-CN"/>
        </w:rPr>
        <w:t>岳阳市云溪区工业园区项目环评报告书批复</w:t>
      </w:r>
    </w:p>
    <w:p>
      <w:pPr>
        <w:pStyle w:val="33"/>
        <w:bidi w:val="0"/>
        <w:rPr>
          <w:rFonts w:hint="default" w:eastAsia="宋体"/>
          <w:color w:val="auto"/>
          <w:lang w:val="en-US" w:eastAsia="zh-CN"/>
        </w:rPr>
      </w:pPr>
      <w:r>
        <w:rPr>
          <w:rFonts w:hint="eastAsia"/>
          <w:color w:val="auto"/>
        </w:rPr>
        <w:t xml:space="preserve">附件9 </w:t>
      </w:r>
      <w:r>
        <w:rPr>
          <w:rFonts w:hint="eastAsia"/>
          <w:color w:val="auto"/>
          <w:lang w:val="en-US" w:eastAsia="zh-CN"/>
        </w:rPr>
        <w:t>危废处理协议</w:t>
      </w:r>
    </w:p>
    <w:p>
      <w:pPr>
        <w:pStyle w:val="33"/>
        <w:bidi w:val="0"/>
        <w:rPr>
          <w:rFonts w:hint="eastAsia"/>
          <w:color w:val="auto"/>
          <w:lang w:val="en-US" w:eastAsia="zh-CN"/>
        </w:rPr>
      </w:pPr>
      <w:r>
        <w:rPr>
          <w:rFonts w:hint="eastAsia"/>
          <w:color w:val="auto"/>
        </w:rPr>
        <w:t xml:space="preserve">附件10 </w:t>
      </w:r>
      <w:r>
        <w:rPr>
          <w:rFonts w:hint="eastAsia"/>
          <w:color w:val="auto"/>
          <w:lang w:val="en-US" w:eastAsia="zh-CN"/>
        </w:rPr>
        <w:t>废水委托处理协议</w:t>
      </w:r>
    </w:p>
    <w:p>
      <w:pPr>
        <w:pStyle w:val="33"/>
        <w:bidi w:val="0"/>
        <w:rPr>
          <w:rFonts w:hint="default" w:eastAsia="宋体"/>
          <w:color w:val="auto"/>
          <w:lang w:val="en-US" w:eastAsia="zh-CN"/>
        </w:rPr>
      </w:pPr>
      <w:r>
        <w:rPr>
          <w:rFonts w:hint="eastAsia"/>
          <w:color w:val="auto"/>
        </w:rPr>
        <w:t>附件1</w:t>
      </w:r>
      <w:r>
        <w:rPr>
          <w:rFonts w:hint="eastAsia"/>
          <w:color w:val="auto"/>
          <w:lang w:val="en-US" w:eastAsia="zh-CN"/>
        </w:rPr>
        <w:t>1 项目投资备案证明</w:t>
      </w:r>
    </w:p>
    <w:p>
      <w:pPr>
        <w:pStyle w:val="33"/>
        <w:bidi w:val="0"/>
        <w:rPr>
          <w:rFonts w:hint="default" w:eastAsia="宋体"/>
          <w:color w:val="auto"/>
          <w:lang w:val="en-US" w:eastAsia="zh-CN"/>
        </w:rPr>
      </w:pPr>
      <w:r>
        <w:rPr>
          <w:rFonts w:hint="eastAsia"/>
          <w:color w:val="auto"/>
        </w:rPr>
        <w:t>附件1</w:t>
      </w:r>
      <w:r>
        <w:rPr>
          <w:rFonts w:hint="eastAsia"/>
          <w:color w:val="auto"/>
          <w:lang w:val="en-US" w:eastAsia="zh-CN"/>
        </w:rPr>
        <w:t>2 排污许可证</w:t>
      </w:r>
    </w:p>
    <w:p>
      <w:pPr>
        <w:pStyle w:val="33"/>
        <w:bidi w:val="0"/>
        <w:rPr>
          <w:rFonts w:hint="default" w:eastAsia="宋体"/>
          <w:color w:val="auto"/>
          <w:lang w:val="en-US" w:eastAsia="zh-CN"/>
        </w:rPr>
      </w:pPr>
      <w:r>
        <w:rPr>
          <w:rFonts w:hint="eastAsia"/>
          <w:color w:val="auto"/>
        </w:rPr>
        <w:t>附件1</w:t>
      </w:r>
      <w:r>
        <w:rPr>
          <w:rFonts w:hint="eastAsia"/>
          <w:color w:val="auto"/>
          <w:lang w:val="en-US" w:eastAsia="zh-CN"/>
        </w:rPr>
        <w:t>3 监测报告</w:t>
      </w:r>
    </w:p>
    <w:p>
      <w:pPr>
        <w:pStyle w:val="33"/>
        <w:bidi w:val="0"/>
        <w:rPr>
          <w:rFonts w:hint="eastAsia"/>
          <w:color w:val="auto"/>
          <w:lang w:val="en-US" w:eastAsia="zh-CN"/>
        </w:rPr>
      </w:pPr>
      <w:r>
        <w:rPr>
          <w:rFonts w:hint="eastAsia"/>
          <w:color w:val="auto"/>
        </w:rPr>
        <w:t>附件1</w:t>
      </w:r>
      <w:r>
        <w:rPr>
          <w:rFonts w:hint="eastAsia"/>
          <w:color w:val="auto"/>
          <w:lang w:val="en-US" w:eastAsia="zh-CN"/>
        </w:rPr>
        <w:t>4 执行标准函</w:t>
      </w:r>
    </w:p>
    <w:p>
      <w:pPr>
        <w:pStyle w:val="33"/>
        <w:bidi w:val="0"/>
        <w:rPr>
          <w:rFonts w:hint="eastAsia"/>
          <w:color w:val="auto"/>
          <w:lang w:val="en-US" w:eastAsia="zh-CN"/>
        </w:rPr>
      </w:pPr>
      <w:r>
        <w:rPr>
          <w:rFonts w:hint="eastAsia"/>
          <w:color w:val="auto"/>
        </w:rPr>
        <w:t>附件1</w:t>
      </w:r>
      <w:r>
        <w:rPr>
          <w:rFonts w:hint="eastAsia"/>
          <w:color w:val="auto"/>
          <w:lang w:val="en-US" w:eastAsia="zh-CN"/>
        </w:rPr>
        <w:t>5 环评内容确认函</w:t>
      </w:r>
    </w:p>
    <w:p>
      <w:pPr>
        <w:pStyle w:val="33"/>
        <w:bidi w:val="0"/>
        <w:rPr>
          <w:rFonts w:hint="eastAsia"/>
          <w:color w:val="auto"/>
          <w:lang w:val="en-US" w:eastAsia="zh-CN"/>
        </w:rPr>
      </w:pPr>
      <w:r>
        <w:rPr>
          <w:rFonts w:hint="eastAsia"/>
          <w:color w:val="auto"/>
        </w:rPr>
        <w:t>附件1</w:t>
      </w:r>
      <w:r>
        <w:rPr>
          <w:rFonts w:hint="eastAsia"/>
          <w:color w:val="auto"/>
          <w:lang w:val="en-US" w:eastAsia="zh-CN"/>
        </w:rPr>
        <w:t>6 总量许可文件</w:t>
      </w:r>
    </w:p>
    <w:p>
      <w:pPr>
        <w:pStyle w:val="33"/>
        <w:bidi w:val="0"/>
        <w:rPr>
          <w:rFonts w:hint="eastAsia"/>
          <w:color w:val="auto"/>
          <w:lang w:val="en-US" w:eastAsia="zh-CN"/>
        </w:rPr>
      </w:pPr>
      <w:r>
        <w:rPr>
          <w:rFonts w:hint="eastAsia"/>
          <w:color w:val="auto"/>
        </w:rPr>
        <w:t>附件1</w:t>
      </w:r>
      <w:r>
        <w:rPr>
          <w:rFonts w:hint="eastAsia"/>
          <w:color w:val="auto"/>
          <w:lang w:val="en-US" w:eastAsia="zh-CN"/>
        </w:rPr>
        <w:t>7 总量交易文件</w:t>
      </w:r>
    </w:p>
    <w:p>
      <w:pPr>
        <w:pStyle w:val="33"/>
        <w:bidi w:val="0"/>
        <w:rPr>
          <w:rFonts w:hint="default"/>
          <w:color w:val="auto"/>
          <w:lang w:val="en-US" w:eastAsia="zh-CN"/>
        </w:rPr>
      </w:pPr>
      <w:r>
        <w:rPr>
          <w:rFonts w:hint="eastAsia"/>
          <w:color w:val="auto"/>
        </w:rPr>
        <w:t>附件1</w:t>
      </w:r>
      <w:r>
        <w:rPr>
          <w:rFonts w:hint="eastAsia"/>
          <w:color w:val="auto"/>
          <w:lang w:val="en-US" w:eastAsia="zh-CN"/>
        </w:rPr>
        <w:t>8 专家意见及签到表</w:t>
      </w:r>
    </w:p>
    <w:p>
      <w:pPr>
        <w:rPr>
          <w:rFonts w:hint="default"/>
          <w:color w:val="auto"/>
          <w:lang w:val="en-US" w:eastAsia="zh-CN"/>
        </w:rPr>
      </w:pPr>
    </w:p>
    <w:p>
      <w:pPr>
        <w:pStyle w:val="33"/>
        <w:bidi w:val="0"/>
        <w:rPr>
          <w:b/>
          <w:bCs/>
          <w:color w:val="auto"/>
        </w:rPr>
      </w:pPr>
      <w:r>
        <w:rPr>
          <w:rFonts w:hint="eastAsia"/>
          <w:b/>
          <w:bCs/>
          <w:color w:val="auto"/>
        </w:rPr>
        <w:t>附图：</w:t>
      </w:r>
    </w:p>
    <w:p>
      <w:pPr>
        <w:pStyle w:val="33"/>
        <w:bidi w:val="0"/>
        <w:rPr>
          <w:color w:val="auto"/>
        </w:rPr>
      </w:pPr>
      <w:r>
        <w:rPr>
          <w:rFonts w:hint="eastAsia"/>
          <w:color w:val="auto"/>
        </w:rPr>
        <w:t>附图1 项目地理位置示意图</w:t>
      </w:r>
    </w:p>
    <w:p>
      <w:pPr>
        <w:pStyle w:val="33"/>
        <w:bidi w:val="0"/>
        <w:rPr>
          <w:rFonts w:hint="eastAsia"/>
          <w:color w:val="auto"/>
        </w:rPr>
      </w:pPr>
      <w:r>
        <w:rPr>
          <w:rFonts w:hint="eastAsia"/>
          <w:color w:val="auto"/>
        </w:rPr>
        <w:t>附图2 土地利用规划图</w:t>
      </w:r>
    </w:p>
    <w:p>
      <w:pPr>
        <w:pStyle w:val="33"/>
        <w:bidi w:val="0"/>
        <w:rPr>
          <w:rFonts w:hint="eastAsia"/>
          <w:color w:val="auto"/>
        </w:rPr>
      </w:pPr>
      <w:r>
        <w:rPr>
          <w:rFonts w:hint="eastAsia"/>
          <w:color w:val="auto"/>
        </w:rPr>
        <w:t xml:space="preserve">附图3 </w:t>
      </w:r>
      <w:r>
        <w:rPr>
          <w:rFonts w:hint="eastAsia"/>
          <w:color w:val="auto"/>
          <w:lang w:val="en-US" w:eastAsia="zh-CN"/>
        </w:rPr>
        <w:t>大气</w:t>
      </w:r>
      <w:r>
        <w:rPr>
          <w:rFonts w:hint="eastAsia"/>
          <w:color w:val="auto"/>
        </w:rPr>
        <w:t>评价范围及敏感目标分布图</w:t>
      </w:r>
    </w:p>
    <w:p>
      <w:pPr>
        <w:pStyle w:val="33"/>
        <w:bidi w:val="0"/>
        <w:rPr>
          <w:rFonts w:hint="eastAsia"/>
          <w:color w:val="auto"/>
        </w:rPr>
      </w:pPr>
      <w:r>
        <w:rPr>
          <w:rFonts w:hint="eastAsia"/>
          <w:color w:val="auto"/>
        </w:rPr>
        <w:t>附图4 风险评价范围图附图</w:t>
      </w:r>
    </w:p>
    <w:p>
      <w:pPr>
        <w:pStyle w:val="33"/>
        <w:bidi w:val="0"/>
        <w:rPr>
          <w:rFonts w:hint="eastAsia"/>
          <w:color w:val="auto"/>
        </w:rPr>
      </w:pPr>
      <w:r>
        <w:rPr>
          <w:rFonts w:hint="eastAsia"/>
          <w:color w:val="auto"/>
        </w:rPr>
        <w:t>附图5 土壤和声环境评价范围图</w:t>
      </w:r>
    </w:p>
    <w:p>
      <w:pPr>
        <w:pStyle w:val="33"/>
        <w:bidi w:val="0"/>
        <w:rPr>
          <w:color w:val="auto"/>
        </w:rPr>
      </w:pPr>
      <w:r>
        <w:rPr>
          <w:rFonts w:hint="eastAsia"/>
          <w:color w:val="auto"/>
          <w:lang w:val="en-US" w:eastAsia="zh-CN"/>
        </w:rPr>
        <w:t xml:space="preserve">附图6 </w:t>
      </w:r>
      <w:r>
        <w:rPr>
          <w:rFonts w:hint="eastAsia"/>
          <w:color w:val="auto"/>
        </w:rPr>
        <w:t>项目四周情况及敏感点分布图</w:t>
      </w:r>
    </w:p>
    <w:p>
      <w:pPr>
        <w:pStyle w:val="33"/>
        <w:bidi w:val="0"/>
        <w:rPr>
          <w:rFonts w:hint="eastAsia"/>
          <w:color w:val="auto"/>
        </w:rPr>
      </w:pPr>
      <w:r>
        <w:rPr>
          <w:rFonts w:hint="eastAsia"/>
          <w:color w:val="auto"/>
        </w:rPr>
        <w:t>附图</w:t>
      </w:r>
      <w:r>
        <w:rPr>
          <w:rFonts w:hint="eastAsia"/>
          <w:color w:val="auto"/>
          <w:lang w:val="en-US" w:eastAsia="zh-CN"/>
        </w:rPr>
        <w:t>7</w:t>
      </w:r>
      <w:r>
        <w:rPr>
          <w:rFonts w:hint="eastAsia"/>
          <w:color w:val="auto"/>
        </w:rPr>
        <w:t xml:space="preserve"> 项目环境监测布点示意图</w:t>
      </w:r>
    </w:p>
    <w:p>
      <w:pPr>
        <w:pStyle w:val="33"/>
        <w:bidi w:val="0"/>
        <w:rPr>
          <w:rFonts w:hint="eastAsia" w:eastAsia="宋体"/>
          <w:color w:val="auto"/>
        </w:rPr>
      </w:pPr>
      <w:r>
        <w:rPr>
          <w:rFonts w:hint="eastAsia" w:eastAsia="宋体"/>
          <w:color w:val="auto"/>
        </w:rPr>
        <w:t>附图</w:t>
      </w:r>
      <w:r>
        <w:rPr>
          <w:rFonts w:hint="eastAsia"/>
          <w:color w:val="auto"/>
          <w:lang w:val="en-US" w:eastAsia="zh-CN"/>
        </w:rPr>
        <w:t>8</w:t>
      </w:r>
      <w:r>
        <w:rPr>
          <w:rFonts w:hint="eastAsia" w:eastAsia="宋体"/>
          <w:color w:val="auto"/>
        </w:rPr>
        <w:t xml:space="preserve"> 项目平面布置示意图</w:t>
      </w:r>
    </w:p>
    <w:p>
      <w:pPr>
        <w:pStyle w:val="33"/>
        <w:bidi w:val="0"/>
        <w:rPr>
          <w:rFonts w:hint="eastAsia" w:eastAsia="宋体"/>
          <w:color w:val="auto"/>
        </w:rPr>
      </w:pPr>
      <w:r>
        <w:rPr>
          <w:rFonts w:hint="eastAsia" w:eastAsia="宋体"/>
          <w:color w:val="auto"/>
          <w:lang w:val="en-US" w:eastAsia="zh-CN"/>
        </w:rPr>
        <w:t>附</w:t>
      </w:r>
      <w:r>
        <w:rPr>
          <w:rFonts w:hint="eastAsia" w:eastAsia="宋体"/>
          <w:color w:val="auto"/>
        </w:rPr>
        <w:t>图</w:t>
      </w:r>
      <w:r>
        <w:rPr>
          <w:rFonts w:hint="eastAsia"/>
          <w:color w:val="auto"/>
          <w:lang w:val="en-US" w:eastAsia="zh-CN"/>
        </w:rPr>
        <w:t>9</w:t>
      </w:r>
      <w:r>
        <w:rPr>
          <w:rFonts w:hint="eastAsia" w:eastAsia="宋体"/>
          <w:color w:val="auto"/>
        </w:rPr>
        <w:t xml:space="preserve"> 雨污分流及防渗分区示意图</w:t>
      </w:r>
    </w:p>
    <w:p>
      <w:pPr>
        <w:pStyle w:val="33"/>
        <w:bidi w:val="0"/>
        <w:rPr>
          <w:rFonts w:hint="eastAsia" w:eastAsia="宋体"/>
          <w:color w:val="auto"/>
        </w:rPr>
      </w:pPr>
      <w:r>
        <w:rPr>
          <w:rFonts w:hint="eastAsia" w:eastAsia="宋体"/>
          <w:color w:val="auto"/>
        </w:rPr>
        <w:t>附图</w:t>
      </w:r>
      <w:r>
        <w:rPr>
          <w:rFonts w:hint="eastAsia"/>
          <w:color w:val="auto"/>
          <w:lang w:val="en-US" w:eastAsia="zh-CN"/>
        </w:rPr>
        <w:t>10</w:t>
      </w:r>
      <w:r>
        <w:rPr>
          <w:rFonts w:hint="eastAsia" w:eastAsia="宋体"/>
          <w:color w:val="auto"/>
        </w:rPr>
        <w:t xml:space="preserve"> 地下水水文地质</w:t>
      </w:r>
      <w:r>
        <w:rPr>
          <w:rFonts w:hint="eastAsia"/>
          <w:color w:val="auto"/>
          <w:lang w:val="en-US" w:eastAsia="zh-CN"/>
        </w:rPr>
        <w:t>及评价范围</w:t>
      </w:r>
      <w:r>
        <w:rPr>
          <w:rFonts w:hint="eastAsia" w:eastAsia="宋体"/>
          <w:color w:val="auto"/>
        </w:rPr>
        <w:t>示意图</w:t>
      </w:r>
    </w:p>
    <w:p>
      <w:pPr>
        <w:pStyle w:val="33"/>
        <w:bidi w:val="0"/>
        <w:rPr>
          <w:rFonts w:hint="eastAsia" w:eastAsia="宋体"/>
          <w:color w:val="auto"/>
        </w:rPr>
      </w:pPr>
      <w:r>
        <w:rPr>
          <w:rFonts w:hint="eastAsia" w:eastAsia="宋体"/>
          <w:color w:val="auto"/>
        </w:rPr>
        <w:t>附图</w:t>
      </w:r>
      <w:r>
        <w:rPr>
          <w:rFonts w:hint="eastAsia"/>
          <w:color w:val="auto"/>
          <w:lang w:val="en-US" w:eastAsia="zh-CN"/>
        </w:rPr>
        <w:t>11</w:t>
      </w:r>
      <w:r>
        <w:rPr>
          <w:rFonts w:hint="eastAsia" w:eastAsia="宋体"/>
          <w:color w:val="auto"/>
        </w:rPr>
        <w:t xml:space="preserve"> 云溪工业园排水管网图</w:t>
      </w:r>
    </w:p>
    <w:p>
      <w:pPr>
        <w:pStyle w:val="33"/>
        <w:bidi w:val="0"/>
        <w:rPr>
          <w:rFonts w:hint="default" w:eastAsia="宋体"/>
          <w:color w:val="auto"/>
          <w:lang w:val="en-US" w:eastAsia="zh-CN"/>
        </w:rPr>
        <w:sectPr>
          <w:pgSz w:w="11906" w:h="16838"/>
          <w:pgMar w:top="1417" w:right="1304" w:bottom="1417" w:left="1304"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eastAsia="宋体"/>
          <w:color w:val="auto"/>
          <w:lang w:val="en-US" w:eastAsia="zh-CN"/>
        </w:rPr>
        <w:t>附图1</w:t>
      </w:r>
      <w:r>
        <w:rPr>
          <w:rFonts w:hint="eastAsia"/>
          <w:color w:val="auto"/>
          <w:lang w:val="en-US" w:eastAsia="zh-CN"/>
        </w:rPr>
        <w:t>2</w:t>
      </w:r>
      <w:r>
        <w:rPr>
          <w:rFonts w:hint="eastAsia" w:eastAsia="宋体"/>
          <w:color w:val="auto"/>
          <w:lang w:val="en-US" w:eastAsia="zh-CN"/>
        </w:rPr>
        <w:t>现有厂区照片</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center"/>
        <w:textAlignment w:val="auto"/>
        <w:outlineLvl w:val="0"/>
        <w:rPr>
          <w:rFonts w:hint="eastAsia" w:ascii="Times New Roman" w:hAnsi="Times New Roman" w:eastAsia="宋体" w:cs="Times New Roman"/>
          <w:b/>
          <w:color w:val="auto"/>
          <w:kern w:val="44"/>
          <w:sz w:val="32"/>
          <w:szCs w:val="32"/>
          <w:lang w:val="en-US" w:eastAsia="zh-CN" w:bidi="ar-SA"/>
        </w:rPr>
      </w:pPr>
      <w:bookmarkStart w:id="6" w:name="_Toc1343"/>
      <w:bookmarkStart w:id="7" w:name="_Toc40549317"/>
      <w:bookmarkStart w:id="8" w:name="_Toc7460"/>
      <w:r>
        <w:rPr>
          <w:rFonts w:hint="eastAsia" w:ascii="Times New Roman" w:hAnsi="Times New Roman" w:eastAsia="宋体" w:cs="Times New Roman"/>
          <w:b/>
          <w:color w:val="auto"/>
          <w:kern w:val="44"/>
          <w:sz w:val="32"/>
          <w:szCs w:val="32"/>
          <w:lang w:val="en-US" w:eastAsia="zh-CN" w:bidi="ar-SA"/>
        </w:rPr>
        <w:t>1、</w:t>
      </w:r>
      <w:r>
        <w:rPr>
          <w:rFonts w:ascii="Times New Roman" w:hAnsi="Times New Roman" w:eastAsia="宋体" w:cs="Times New Roman"/>
          <w:b/>
          <w:color w:val="auto"/>
          <w:kern w:val="44"/>
          <w:sz w:val="32"/>
          <w:szCs w:val="32"/>
          <w:lang w:val="en-US" w:eastAsia="zh-CN" w:bidi="ar-SA"/>
        </w:rPr>
        <w:t>概述</w:t>
      </w:r>
      <w:bookmarkEnd w:id="6"/>
      <w:bookmarkEnd w:id="7"/>
      <w:bookmarkEnd w:id="8"/>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hint="eastAsia" w:ascii="Times New Roman" w:hAnsi="Times New Roman" w:eastAsia="宋体" w:cs="Times New Roman"/>
          <w:b/>
          <w:color w:val="auto"/>
          <w:kern w:val="2"/>
          <w:sz w:val="30"/>
          <w:szCs w:val="22"/>
          <w:lang w:val="en-US" w:eastAsia="zh-CN" w:bidi="ar-SA"/>
        </w:rPr>
      </w:pPr>
      <w:bookmarkStart w:id="9" w:name="_Toc40549318"/>
      <w:bookmarkStart w:id="10" w:name="_Toc1869"/>
      <w:bookmarkStart w:id="11" w:name="_Toc3612"/>
      <w:r>
        <w:rPr>
          <w:rFonts w:hint="eastAsia" w:ascii="Times New Roman" w:hAnsi="Times New Roman" w:eastAsia="宋体" w:cs="Times New Roman"/>
          <w:b/>
          <w:color w:val="auto"/>
          <w:kern w:val="2"/>
          <w:sz w:val="30"/>
          <w:szCs w:val="22"/>
          <w:lang w:val="en-US" w:eastAsia="zh-CN" w:bidi="ar-SA"/>
        </w:rPr>
        <w:t>1.1项目由来</w:t>
      </w:r>
      <w:bookmarkEnd w:id="9"/>
      <w:bookmarkEnd w:id="10"/>
      <w:bookmarkEnd w:id="11"/>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bookmarkStart w:id="12" w:name="_Toc40549319"/>
      <w:r>
        <w:rPr>
          <w:rFonts w:hint="eastAsia" w:ascii="Times New Roman" w:hAnsi="Times New Roman" w:eastAsia="宋体" w:cs="Times New Roman"/>
          <w:color w:val="auto"/>
          <w:kern w:val="2"/>
          <w:sz w:val="24"/>
          <w:szCs w:val="20"/>
          <w:lang w:val="en-US" w:eastAsia="zh-CN" w:bidi="ar-SA"/>
        </w:rPr>
        <w:t>岳阳市凌峰化工有限公司于2012年从湖南省岳阳市云溪区云溪镇云丰村迁建于湖南岳阳绿色化工产业园云溪片区，占地面积17048.38m</w:t>
      </w:r>
      <w:r>
        <w:rPr>
          <w:rFonts w:hint="eastAsia" w:ascii="Times New Roman" w:hAnsi="Times New Roman" w:eastAsia="宋体" w:cs="Times New Roman"/>
          <w:color w:val="auto"/>
          <w:kern w:val="2"/>
          <w:sz w:val="24"/>
          <w:szCs w:val="20"/>
          <w:vertAlign w:val="superscript"/>
          <w:lang w:val="en-US" w:eastAsia="zh-CN" w:bidi="ar-SA"/>
        </w:rPr>
        <w:t>2</w:t>
      </w:r>
      <w:r>
        <w:rPr>
          <w:rFonts w:hint="eastAsia" w:ascii="Times New Roman" w:hAnsi="Times New Roman" w:eastAsia="宋体" w:cs="Times New Roman"/>
          <w:color w:val="auto"/>
          <w:kern w:val="2"/>
          <w:sz w:val="24"/>
          <w:szCs w:val="20"/>
          <w:lang w:val="en-US" w:eastAsia="zh-CN" w:bidi="ar-SA"/>
        </w:rPr>
        <w:t>(25.57亩)，总建筑面积7729.98m</w:t>
      </w:r>
      <w:r>
        <w:rPr>
          <w:rFonts w:hint="eastAsia" w:ascii="Times New Roman" w:hAnsi="Times New Roman" w:eastAsia="宋体" w:cs="Times New Roman"/>
          <w:color w:val="auto"/>
          <w:kern w:val="2"/>
          <w:sz w:val="24"/>
          <w:szCs w:val="20"/>
          <w:vertAlign w:val="superscript"/>
          <w:lang w:val="en-US" w:eastAsia="zh-CN" w:bidi="ar-SA"/>
        </w:rPr>
        <w:t>2</w:t>
      </w:r>
      <w:r>
        <w:rPr>
          <w:rFonts w:hint="eastAsia" w:ascii="Times New Roman" w:hAnsi="Times New Roman" w:eastAsia="宋体" w:cs="Times New Roman"/>
          <w:color w:val="auto"/>
          <w:kern w:val="2"/>
          <w:sz w:val="24"/>
          <w:szCs w:val="20"/>
          <w:lang w:val="en-US" w:eastAsia="zh-CN" w:bidi="ar-SA"/>
        </w:rPr>
        <w:t>。目前公司具备二氯丙烷3000t/a、苯乙烯1000t/a、环己烷1000t/a、环己酮</w:t>
      </w:r>
      <w:r>
        <w:rPr>
          <w:rFonts w:hint="eastAsia" w:ascii="Times New Roman" w:hAnsi="Times New Roman" w:cs="Times New Roman"/>
          <w:color w:val="auto"/>
          <w:kern w:val="2"/>
          <w:sz w:val="24"/>
          <w:szCs w:val="20"/>
          <w:lang w:val="en-US" w:eastAsia="zh-CN" w:bidi="ar-SA"/>
        </w:rPr>
        <w:t>2</w:t>
      </w:r>
      <w:r>
        <w:rPr>
          <w:rFonts w:hint="eastAsia" w:ascii="Times New Roman" w:hAnsi="Times New Roman" w:eastAsia="宋体" w:cs="Times New Roman"/>
          <w:color w:val="auto"/>
          <w:kern w:val="2"/>
          <w:sz w:val="24"/>
          <w:szCs w:val="20"/>
          <w:lang w:val="en-US" w:eastAsia="zh-CN" w:bidi="ar-SA"/>
        </w:rPr>
        <w:t>000t/a、工业燃料油8000t/a、环氧固化剂6100t/a、涂料助剂900t/a、环氧地坪涂料3000t/a的生产能力。</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岳阳市凌峰化工有限公司现有工程包含三个建设项目，分三次进行建设。</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第</w:t>
      </w:r>
      <w:r>
        <w:rPr>
          <w:rFonts w:hint="eastAsia" w:ascii="Times New Roman" w:hAnsi="Times New Roman" w:cs="Times New Roman"/>
          <w:color w:val="auto"/>
          <w:kern w:val="2"/>
          <w:sz w:val="24"/>
          <w:szCs w:val="20"/>
          <w:lang w:val="en-US" w:eastAsia="zh-CN" w:bidi="ar-SA"/>
        </w:rPr>
        <w:t>一期</w:t>
      </w:r>
      <w:r>
        <w:rPr>
          <w:rFonts w:hint="eastAsia" w:ascii="Times New Roman" w:hAnsi="Times New Roman" w:eastAsia="宋体" w:cs="Times New Roman"/>
          <w:color w:val="auto"/>
          <w:kern w:val="2"/>
          <w:sz w:val="24"/>
          <w:szCs w:val="20"/>
          <w:lang w:val="en-US" w:eastAsia="zh-CN" w:bidi="ar-SA"/>
        </w:rPr>
        <w:t>项目为“整体迁扩建项目”，该项目主要产品包括二氯丙烷1000t/a、苯乙烯1000t/a、环己烷1000t/a、环己酮2000t/a、工业燃料油8000t/a，《岳阳市凌峰化工有限公司整体迁扩建项目环境影响报告书》已于2012年8月通过岳阳市环保局审批(岳环评批〔2012〕64号)，并于2014年7月通过了岳阳市环保局的环保设施竣工环保验收(岳环管验〔2014〕19号)。</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第二</w:t>
      </w:r>
      <w:r>
        <w:rPr>
          <w:rFonts w:hint="eastAsia" w:ascii="Times New Roman" w:hAnsi="Times New Roman" w:cs="Times New Roman"/>
          <w:color w:val="auto"/>
          <w:kern w:val="2"/>
          <w:sz w:val="24"/>
          <w:szCs w:val="20"/>
          <w:lang w:val="en-US" w:eastAsia="zh-CN" w:bidi="ar-SA"/>
        </w:rPr>
        <w:t>期</w:t>
      </w:r>
      <w:r>
        <w:rPr>
          <w:rFonts w:hint="eastAsia" w:ascii="Times New Roman" w:hAnsi="Times New Roman" w:eastAsia="宋体" w:cs="Times New Roman"/>
          <w:color w:val="auto"/>
          <w:kern w:val="2"/>
          <w:sz w:val="24"/>
          <w:szCs w:val="20"/>
          <w:lang w:val="en-US" w:eastAsia="zh-CN" w:bidi="ar-SA"/>
        </w:rPr>
        <w:t>项目为“年产60吨对甲苯磺酸巴马丁生产装置建设项目”，该项目主要新增产品对甲苯磺酸巴马丁60t/a，《岳阳市凌峰化工有限公司年产60吨对甲苯磺酸巴马丁生产装置建设项目环境影响报告书》已于2013年6月通过岳阳市环保局审批(岳环评批〔2013〕68号)，于2014年8月通过了岳阳市环保局的竣工环保验收(岳环管验〔2014〕20号)。</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第三</w:t>
      </w:r>
      <w:r>
        <w:rPr>
          <w:rFonts w:hint="eastAsia" w:ascii="Times New Roman" w:hAnsi="Times New Roman" w:cs="Times New Roman"/>
          <w:color w:val="auto"/>
          <w:kern w:val="2"/>
          <w:sz w:val="24"/>
          <w:szCs w:val="20"/>
          <w:lang w:val="en-US" w:eastAsia="zh-CN" w:bidi="ar-SA"/>
        </w:rPr>
        <w:t>期</w:t>
      </w:r>
      <w:r>
        <w:rPr>
          <w:rFonts w:hint="eastAsia" w:ascii="Times New Roman" w:hAnsi="Times New Roman" w:eastAsia="宋体" w:cs="Times New Roman"/>
          <w:color w:val="auto"/>
          <w:kern w:val="2"/>
          <w:sz w:val="24"/>
          <w:szCs w:val="20"/>
          <w:lang w:val="en-US" w:eastAsia="zh-CN" w:bidi="ar-SA"/>
        </w:rPr>
        <w:t>项目为“岳阳市凌峰化工有限公司二期工程”，该项目主要新增产品二氯丙烷2000t/a、环氧固化剂6100t/a、涂料助剂900t/a、环氧地坪涂料3000t/a，淘汰产品对甲苯磺酸巴马丁60t/a，《岳阳市凌峰化工有限公司二期工程环境影响报告书》已于2018年7月通过岳阳市环保局审批(岳环评〔2018〕63号)。</w:t>
      </w:r>
    </w:p>
    <w:p>
      <w:pPr>
        <w:widowControl w:val="0"/>
        <w:bidi w:val="0"/>
        <w:spacing w:before="20" w:line="360" w:lineRule="auto"/>
        <w:ind w:firstLine="480" w:firstLineChars="200"/>
        <w:jc w:val="both"/>
        <w:rPr>
          <w:rFonts w:hint="eastAsia" w:ascii="Times New Roman" w:hAnsi="Times New Roman" w:cs="Times New Roman"/>
          <w:caps w:val="0"/>
          <w:smallCaps w:val="0"/>
          <w:color w:val="auto"/>
          <w:kern w:val="2"/>
          <w:sz w:val="24"/>
          <w:szCs w:val="24"/>
          <w:u w:val="single"/>
          <w:lang w:val="en-US" w:eastAsia="zh-CN" w:bidi="ar-SA"/>
        </w:rPr>
      </w:pPr>
      <w:r>
        <w:rPr>
          <w:rFonts w:hint="eastAsia" w:ascii="Times New Roman" w:hAnsi="Times New Roman" w:eastAsia="宋体" w:cs="Times New Roman"/>
          <w:caps w:val="0"/>
          <w:smallCaps w:val="0"/>
          <w:color w:val="auto"/>
          <w:kern w:val="2"/>
          <w:sz w:val="24"/>
          <w:szCs w:val="24"/>
          <w:u w:val="single"/>
          <w:lang w:val="en-US" w:eastAsia="zh-CN" w:bidi="ar-SA"/>
        </w:rPr>
        <w:t>2020年由于市场结构调整，</w:t>
      </w:r>
      <w:r>
        <w:rPr>
          <w:rFonts w:hint="eastAsia" w:ascii="Times New Roman" w:hAnsi="Times New Roman" w:eastAsia="宋体" w:cs="Times New Roman"/>
          <w:caps w:val="0"/>
          <w:smallCaps w:val="0"/>
          <w:color w:val="auto"/>
          <w:kern w:val="2"/>
          <w:sz w:val="24"/>
          <w:szCs w:val="24"/>
          <w:u w:val="single"/>
          <w:lang w:val="zh-CN" w:eastAsia="zh-CN" w:bidi="ar-SA"/>
        </w:rPr>
        <w:t>为了适应化工市场发展的需要和跻身于国际市场，岳阳</w:t>
      </w:r>
      <w:r>
        <w:rPr>
          <w:rFonts w:hint="eastAsia" w:ascii="Times New Roman" w:hAnsi="Times New Roman" w:cs="Times New Roman"/>
          <w:caps w:val="0"/>
          <w:smallCaps w:val="0"/>
          <w:color w:val="auto"/>
          <w:kern w:val="2"/>
          <w:sz w:val="24"/>
          <w:szCs w:val="24"/>
          <w:u w:val="single"/>
          <w:lang w:val="zh-CN" w:eastAsia="zh-CN" w:bidi="ar-SA"/>
        </w:rPr>
        <w:t>凌峰</w:t>
      </w:r>
      <w:r>
        <w:rPr>
          <w:rFonts w:hint="eastAsia" w:ascii="Times New Roman" w:hAnsi="Times New Roman" w:eastAsia="宋体" w:cs="Times New Roman"/>
          <w:caps w:val="0"/>
          <w:smallCaps w:val="0"/>
          <w:color w:val="auto"/>
          <w:kern w:val="2"/>
          <w:sz w:val="24"/>
          <w:szCs w:val="24"/>
          <w:u w:val="single"/>
          <w:lang w:val="zh-CN" w:eastAsia="zh-CN" w:bidi="ar-SA"/>
        </w:rPr>
        <w:t>化工有限公司致力于各种化工中间体的研发</w:t>
      </w:r>
      <w:r>
        <w:rPr>
          <w:rFonts w:hint="eastAsia" w:ascii="Times New Roman" w:hAnsi="Times New Roman" w:cs="Times New Roman"/>
          <w:caps w:val="0"/>
          <w:smallCaps w:val="0"/>
          <w:color w:val="auto"/>
          <w:kern w:val="2"/>
          <w:sz w:val="24"/>
          <w:szCs w:val="24"/>
          <w:u w:val="single"/>
          <w:lang w:val="zh-CN" w:eastAsia="zh-CN" w:bidi="ar-SA"/>
        </w:rPr>
        <w:t>。根据市场的不同需求，结合公司自身生产设备的生产能力和技术特点，岳阳市凌峰化工公司决定对原有设备进行改造。</w:t>
      </w:r>
      <w:r>
        <w:rPr>
          <w:rFonts w:hint="eastAsia" w:ascii="Times New Roman" w:hAnsi="Times New Roman" w:eastAsia="宋体" w:cs="Times New Roman"/>
          <w:caps w:val="0"/>
          <w:smallCaps w:val="0"/>
          <w:color w:val="auto"/>
          <w:kern w:val="2"/>
          <w:sz w:val="24"/>
          <w:szCs w:val="24"/>
          <w:u w:val="single"/>
          <w:lang w:val="en-US" w:eastAsia="zh-CN" w:bidi="ar-SA"/>
        </w:rPr>
        <w:t>对原生产苯乙烯、环己烷、环己酮生产线进行改造。</w:t>
      </w:r>
      <w:r>
        <w:rPr>
          <w:rFonts w:hint="eastAsia" w:ascii="Times New Roman" w:hAnsi="Times New Roman" w:cs="Times New Roman"/>
          <w:caps w:val="0"/>
          <w:smallCaps w:val="0"/>
          <w:color w:val="auto"/>
          <w:kern w:val="2"/>
          <w:sz w:val="24"/>
          <w:szCs w:val="24"/>
          <w:u w:val="single"/>
          <w:lang w:val="en-US" w:eastAsia="zh-CN" w:bidi="ar-SA"/>
        </w:rPr>
        <w:t>改造前生产苯乙烯1000</w:t>
      </w:r>
      <w:r>
        <w:rPr>
          <w:rFonts w:hint="eastAsia" w:ascii="Times New Roman" w:hAnsi="Times New Roman" w:eastAsia="宋体" w:cs="Times New Roman"/>
          <w:caps w:val="0"/>
          <w:smallCaps w:val="0"/>
          <w:color w:val="auto"/>
          <w:kern w:val="2"/>
          <w:sz w:val="24"/>
          <w:szCs w:val="24"/>
          <w:u w:val="single"/>
          <w:lang w:val="en-US" w:eastAsia="zh-CN" w:bidi="ar-SA"/>
        </w:rPr>
        <w:t>t/a</w:t>
      </w:r>
      <w:r>
        <w:rPr>
          <w:rFonts w:hint="eastAsia" w:ascii="Times New Roman" w:hAnsi="Times New Roman" w:cs="Times New Roman"/>
          <w:caps w:val="0"/>
          <w:smallCaps w:val="0"/>
          <w:color w:val="auto"/>
          <w:kern w:val="2"/>
          <w:sz w:val="24"/>
          <w:szCs w:val="24"/>
          <w:u w:val="single"/>
          <w:lang w:val="en-US" w:eastAsia="zh-CN" w:bidi="ar-SA"/>
        </w:rPr>
        <w:t>、环己烷1000</w:t>
      </w:r>
      <w:r>
        <w:rPr>
          <w:rFonts w:hint="eastAsia" w:ascii="Times New Roman" w:hAnsi="Times New Roman" w:eastAsia="宋体" w:cs="Times New Roman"/>
          <w:caps w:val="0"/>
          <w:smallCaps w:val="0"/>
          <w:color w:val="auto"/>
          <w:kern w:val="2"/>
          <w:sz w:val="24"/>
          <w:szCs w:val="24"/>
          <w:u w:val="single"/>
          <w:lang w:val="en-US" w:eastAsia="zh-CN" w:bidi="ar-SA"/>
        </w:rPr>
        <w:t>t/a</w:t>
      </w:r>
      <w:r>
        <w:rPr>
          <w:rFonts w:hint="eastAsia" w:ascii="Times New Roman" w:hAnsi="Times New Roman" w:cs="Times New Roman"/>
          <w:caps w:val="0"/>
          <w:smallCaps w:val="0"/>
          <w:color w:val="auto"/>
          <w:kern w:val="2"/>
          <w:sz w:val="24"/>
          <w:szCs w:val="24"/>
          <w:u w:val="single"/>
          <w:lang w:val="en-US" w:eastAsia="zh-CN" w:bidi="ar-SA"/>
        </w:rPr>
        <w:t>、环己酮2000</w:t>
      </w:r>
      <w:r>
        <w:rPr>
          <w:rFonts w:hint="eastAsia" w:ascii="Times New Roman" w:hAnsi="Times New Roman" w:eastAsia="宋体" w:cs="Times New Roman"/>
          <w:caps w:val="0"/>
          <w:smallCaps w:val="0"/>
          <w:color w:val="auto"/>
          <w:kern w:val="2"/>
          <w:sz w:val="24"/>
          <w:szCs w:val="24"/>
          <w:u w:val="single"/>
          <w:lang w:val="en-US" w:eastAsia="zh-CN" w:bidi="ar-SA"/>
        </w:rPr>
        <w:t>t/a</w:t>
      </w:r>
      <w:r>
        <w:rPr>
          <w:rFonts w:hint="eastAsia" w:ascii="Times New Roman" w:hAnsi="Times New Roman" w:cs="Times New Roman"/>
          <w:caps w:val="0"/>
          <w:smallCaps w:val="0"/>
          <w:color w:val="auto"/>
          <w:kern w:val="2"/>
          <w:sz w:val="24"/>
          <w:szCs w:val="24"/>
          <w:u w:val="single"/>
          <w:lang w:val="en-US" w:eastAsia="zh-CN" w:bidi="ar-SA"/>
        </w:rPr>
        <w:t>。</w:t>
      </w:r>
      <w:r>
        <w:rPr>
          <w:rFonts w:hint="eastAsia" w:ascii="Times New Roman" w:hAnsi="Times New Roman" w:eastAsia="宋体" w:cs="Times New Roman"/>
          <w:caps w:val="0"/>
          <w:smallCaps w:val="0"/>
          <w:color w:val="auto"/>
          <w:kern w:val="2"/>
          <w:sz w:val="24"/>
          <w:szCs w:val="24"/>
          <w:u w:val="single"/>
          <w:lang w:val="en-US" w:eastAsia="zh-CN" w:bidi="ar-SA"/>
        </w:rPr>
        <w:t>改造后</w:t>
      </w:r>
      <w:r>
        <w:rPr>
          <w:rFonts w:hint="eastAsia" w:ascii="Times New Roman" w:hAnsi="Times New Roman" w:cs="Times New Roman"/>
          <w:caps w:val="0"/>
          <w:smallCaps w:val="0"/>
          <w:color w:val="auto"/>
          <w:kern w:val="2"/>
          <w:sz w:val="24"/>
          <w:szCs w:val="24"/>
          <w:u w:val="single"/>
          <w:lang w:val="en-US" w:eastAsia="zh-CN" w:bidi="ar-SA"/>
        </w:rPr>
        <w:t>新增</w:t>
      </w:r>
      <w:r>
        <w:rPr>
          <w:rFonts w:hint="default" w:ascii="Times New Roman" w:hAnsi="Times New Roman" w:eastAsia="宋体" w:cs="Times New Roman"/>
          <w:caps w:val="0"/>
          <w:smallCaps w:val="0"/>
          <w:color w:val="auto"/>
          <w:kern w:val="2"/>
          <w:sz w:val="24"/>
          <w:szCs w:val="24"/>
          <w:u w:val="single"/>
          <w:lang w:val="en-US" w:eastAsia="zh-CN" w:bidi="ar-SA"/>
        </w:rPr>
        <w:t>设备</w:t>
      </w:r>
      <w:r>
        <w:rPr>
          <w:rFonts w:hint="eastAsia" w:ascii="Times New Roman" w:hAnsi="Times New Roman" w:cs="Times New Roman"/>
          <w:caps w:val="0"/>
          <w:smallCaps w:val="0"/>
          <w:color w:val="auto"/>
          <w:kern w:val="2"/>
          <w:sz w:val="24"/>
          <w:szCs w:val="24"/>
          <w:u w:val="single"/>
          <w:lang w:val="en-US" w:eastAsia="zh-CN" w:bidi="ar-SA"/>
        </w:rPr>
        <w:t>可</w:t>
      </w:r>
      <w:r>
        <w:rPr>
          <w:rFonts w:hint="default" w:ascii="Times New Roman" w:hAnsi="Times New Roman" w:eastAsia="宋体" w:cs="Times New Roman"/>
          <w:caps w:val="0"/>
          <w:smallCaps w:val="0"/>
          <w:color w:val="auto"/>
          <w:kern w:val="2"/>
          <w:sz w:val="24"/>
          <w:szCs w:val="24"/>
          <w:u w:val="single"/>
          <w:lang w:val="en-US" w:eastAsia="zh-CN" w:bidi="ar-SA"/>
        </w:rPr>
        <w:t>生产</w:t>
      </w:r>
      <w:r>
        <w:rPr>
          <w:rFonts w:hint="eastAsia" w:ascii="Times New Roman" w:hAnsi="Times New Roman" w:eastAsia="宋体" w:cs="Times New Roman"/>
          <w:caps w:val="0"/>
          <w:smallCaps w:val="0"/>
          <w:color w:val="auto"/>
          <w:kern w:val="2"/>
          <w:sz w:val="24"/>
          <w:szCs w:val="24"/>
          <w:u w:val="single"/>
          <w:lang w:val="en-US" w:eastAsia="zh-CN" w:bidi="ar-SA"/>
        </w:rPr>
        <w:t>碳酸二甲酯15000t/a、醋酸甲脂10000t/a。</w:t>
      </w:r>
      <w:r>
        <w:rPr>
          <w:rFonts w:hint="eastAsia" w:ascii="Times New Roman" w:hAnsi="Times New Roman" w:cs="Times New Roman"/>
          <w:caps w:val="0"/>
          <w:smallCaps w:val="0"/>
          <w:color w:val="auto"/>
          <w:kern w:val="2"/>
          <w:sz w:val="24"/>
          <w:szCs w:val="24"/>
          <w:u w:val="single"/>
          <w:lang w:val="en-US" w:eastAsia="zh-CN" w:bidi="ar-SA"/>
        </w:rPr>
        <w:t>生产线</w:t>
      </w:r>
      <w:r>
        <w:rPr>
          <w:rFonts w:hint="default" w:ascii="Times New Roman" w:hAnsi="Times New Roman" w:eastAsia="宋体" w:cs="Times New Roman"/>
          <w:caps w:val="0"/>
          <w:smallCaps w:val="0"/>
          <w:color w:val="auto"/>
          <w:kern w:val="2"/>
          <w:sz w:val="24"/>
          <w:szCs w:val="24"/>
          <w:u w:val="single"/>
          <w:lang w:val="en-US" w:eastAsia="zh-CN" w:bidi="ar-SA"/>
        </w:rPr>
        <w:t>生产</w:t>
      </w:r>
      <w:r>
        <w:rPr>
          <w:rFonts w:hint="eastAsia" w:ascii="Times New Roman" w:hAnsi="Times New Roman" w:eastAsia="宋体" w:cs="Times New Roman"/>
          <w:caps w:val="0"/>
          <w:smallCaps w:val="0"/>
          <w:color w:val="auto"/>
          <w:kern w:val="2"/>
          <w:sz w:val="24"/>
          <w:szCs w:val="24"/>
          <w:u w:val="single"/>
          <w:lang w:val="en-US" w:eastAsia="zh-CN" w:bidi="ar-SA"/>
        </w:rPr>
        <w:t>碳酸二甲酯、醋酸甲脂</w:t>
      </w:r>
      <w:r>
        <w:rPr>
          <w:rFonts w:hint="eastAsia" w:ascii="Times New Roman" w:hAnsi="Times New Roman" w:cs="Times New Roman"/>
          <w:caps w:val="0"/>
          <w:smallCaps w:val="0"/>
          <w:color w:val="auto"/>
          <w:kern w:val="2"/>
          <w:sz w:val="24"/>
          <w:szCs w:val="24"/>
          <w:u w:val="single"/>
          <w:lang w:val="en-US" w:eastAsia="zh-CN" w:bidi="ar-SA"/>
        </w:rPr>
        <w:t>时，生产线停止生产苯乙烯、环己烷、环己酮。生产线生产苯乙烯、环己烷、环己酮时，停止生产</w:t>
      </w:r>
      <w:r>
        <w:rPr>
          <w:rFonts w:hint="eastAsia" w:ascii="Times New Roman" w:hAnsi="Times New Roman" w:eastAsia="宋体" w:cs="Times New Roman"/>
          <w:caps w:val="0"/>
          <w:smallCaps w:val="0"/>
          <w:color w:val="auto"/>
          <w:kern w:val="2"/>
          <w:sz w:val="24"/>
          <w:szCs w:val="24"/>
          <w:u w:val="single"/>
          <w:lang w:val="en-US" w:eastAsia="zh-CN" w:bidi="ar-SA"/>
        </w:rPr>
        <w:t>碳酸二甲酯、醋酸甲脂</w:t>
      </w:r>
      <w:r>
        <w:rPr>
          <w:rFonts w:hint="eastAsia" w:ascii="Times New Roman" w:hAnsi="Times New Roman" w:cs="Times New Roman"/>
          <w:caps w:val="0"/>
          <w:smallCaps w:val="0"/>
          <w:color w:val="auto"/>
          <w:kern w:val="2"/>
          <w:sz w:val="24"/>
          <w:szCs w:val="24"/>
          <w:u w:val="single"/>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4"/>
          <w:lang w:val="en-US" w:eastAsia="zh-CN" w:bidi="ar-SA"/>
        </w:rPr>
        <w:t>根据《中华人民共和国环境保护法》（2015年1月1日）、《中华人民共和国环境影响评价法》（2018年12月29日）和《建设项目环境影响评价分类管理名录》的有关规定，本项目属于《建设项目环境影响评价分类管理名录》（20</w:t>
      </w:r>
      <w:r>
        <w:rPr>
          <w:rFonts w:hint="eastAsia" w:ascii="Times New Roman" w:hAnsi="Times New Roman" w:cs="Times New Roman"/>
          <w:color w:val="auto"/>
          <w:kern w:val="2"/>
          <w:sz w:val="24"/>
          <w:szCs w:val="24"/>
          <w:lang w:val="en-US" w:eastAsia="zh-CN" w:bidi="ar-SA"/>
        </w:rPr>
        <w:t>21</w:t>
      </w:r>
      <w:r>
        <w:rPr>
          <w:rFonts w:ascii="Times New Roman" w:hAnsi="Times New Roman" w:eastAsia="宋体" w:cs="Times New Roman"/>
          <w:color w:val="auto"/>
          <w:kern w:val="2"/>
          <w:sz w:val="24"/>
          <w:szCs w:val="24"/>
          <w:lang w:val="en-US" w:eastAsia="zh-CN" w:bidi="ar-SA"/>
        </w:rPr>
        <w:t>年本）中</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二十三</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44全部（含研发中试、不含单物理分离、物理提纯、混合、分装的）</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改</w:t>
      </w:r>
      <w:r>
        <w:rPr>
          <w:rFonts w:hint="eastAsia" w:ascii="Times New Roman" w:hAnsi="Times New Roman" w:eastAsia="宋体" w:cs="Times New Roman"/>
          <w:color w:val="auto"/>
          <w:kern w:val="2"/>
          <w:sz w:val="24"/>
          <w:szCs w:val="24"/>
          <w:lang w:val="en-US" w:eastAsia="zh-CN" w:bidi="ar-SA"/>
        </w:rPr>
        <w:t>扩建项目，应编制环境影响评价报告书。</w:t>
      </w:r>
      <w:r>
        <w:rPr>
          <w:rFonts w:hint="eastAsia" w:ascii="Times New Roman" w:hAnsi="Times New Roman" w:eastAsia="宋体" w:cs="Times New Roman"/>
          <w:color w:val="auto"/>
          <w:kern w:val="2"/>
          <w:sz w:val="24"/>
          <w:szCs w:val="20"/>
          <w:lang w:val="en-US" w:eastAsia="zh-CN" w:bidi="ar-SA"/>
        </w:rPr>
        <w:t>为确保建设项目的合法性</w:t>
      </w:r>
      <w:r>
        <w:rPr>
          <w:rFonts w:hint="eastAsia" w:ascii="Times New Roman" w:hAnsi="Times New Roman"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岳阳凌峰化工有限公司决定委托我公司承担岳阳凌峰化工有限公司1.5万吨/年碳酸二甲酯及1万吨/年醋酸甲酯项目的环境影响评价工作(</w:t>
      </w:r>
      <w:r>
        <w:rPr>
          <w:rFonts w:hint="eastAsia" w:ascii="Times New Roman" w:hAnsi="Times New Roman" w:cs="Times New Roman"/>
          <w:color w:val="auto"/>
          <w:kern w:val="2"/>
          <w:sz w:val="24"/>
          <w:szCs w:val="20"/>
          <w:lang w:val="en-US" w:eastAsia="zh-CN" w:bidi="ar-SA"/>
        </w:rPr>
        <w:t>委托书</w:t>
      </w:r>
      <w:r>
        <w:rPr>
          <w:rFonts w:hint="eastAsia" w:ascii="Times New Roman" w:hAnsi="Times New Roman" w:eastAsia="宋体" w:cs="Times New Roman"/>
          <w:color w:val="auto"/>
          <w:kern w:val="2"/>
          <w:sz w:val="24"/>
          <w:szCs w:val="20"/>
          <w:lang w:val="en-US" w:eastAsia="zh-CN" w:bidi="ar-SA"/>
        </w:rPr>
        <w:t>见附件1)。</w:t>
      </w:r>
      <w:r>
        <w:rPr>
          <w:rFonts w:hint="eastAsia" w:ascii="Times New Roman" w:hAnsi="Times New Roman" w:cs="Times New Roman"/>
          <w:color w:val="auto"/>
          <w:kern w:val="2"/>
          <w:sz w:val="24"/>
          <w:szCs w:val="20"/>
          <w:lang w:val="en-US" w:eastAsia="zh-CN" w:bidi="ar-SA"/>
        </w:rPr>
        <w:t>我</w:t>
      </w:r>
      <w:r>
        <w:rPr>
          <w:rFonts w:hint="eastAsia" w:ascii="Times New Roman" w:hAnsi="Times New Roman" w:eastAsia="宋体" w:cs="Times New Roman"/>
          <w:color w:val="auto"/>
          <w:kern w:val="2"/>
          <w:sz w:val="24"/>
          <w:szCs w:val="20"/>
          <w:lang w:val="en-US" w:eastAsia="zh-CN" w:bidi="ar-SA"/>
        </w:rPr>
        <w:t>公司接受委托后，立即成立了环评项目组，通过现场踏勘、调研和收集资料，根据相关技术导则和规范编制完成了《湖南岳阳凌峰化工有限公司1.5万吨/年碳酸二甲酯及1万吨/年醋酸甲酯项目环境影响报告书》。</w:t>
      </w:r>
    </w:p>
    <w:p>
      <w:pPr>
        <w:pStyle w:val="33"/>
        <w:bidi w:val="0"/>
        <w:rPr>
          <w:rFonts w:hint="default"/>
          <w:color w:val="auto"/>
          <w:lang w:val="en-US" w:eastAsia="zh-CN"/>
        </w:rPr>
      </w:pPr>
      <w:r>
        <w:rPr>
          <w:color w:val="auto"/>
        </w:rPr>
        <w:t>2020年10月27日，岳阳市生态环境局在岳阳市组织召开了《湖南岳阳凌峰化工有限公司1.5万吨/年碳酸二甲酯及1万吨/年醋酸甲酯项目环境影响报告书（送审稿）》的专家技术评审会，并形成了技术评审会专家意见。根据专家评审意见，编制单位补充收集有关资料，并于建设单位充分沟通后，对环境影响报告书进行了修改和补充，形成《湖南岳阳凌峰化工有限公司1.5万吨/年碳酸二甲酯及1万吨/年醋酸甲酯项目环境影响报告书（报批稿）》现提交建设单位呈报生态环境主管部门审批。项目环境影响报告书为建设单位在建设过程中提供环保技术支持，为环保主管部门提供审批和监督管理依据。</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hint="eastAsia" w:ascii="Times New Roman" w:hAnsi="Times New Roman" w:eastAsia="宋体" w:cs="Times New Roman"/>
          <w:b/>
          <w:color w:val="auto"/>
          <w:kern w:val="2"/>
          <w:sz w:val="30"/>
          <w:szCs w:val="22"/>
          <w:lang w:val="en-US" w:eastAsia="zh-CN" w:bidi="ar-SA"/>
        </w:rPr>
      </w:pPr>
      <w:bookmarkStart w:id="13" w:name="_Toc26887"/>
      <w:bookmarkStart w:id="14" w:name="_Toc27553"/>
      <w:r>
        <w:rPr>
          <w:rFonts w:hint="eastAsia" w:ascii="Times New Roman" w:hAnsi="Times New Roman" w:eastAsia="宋体" w:cs="Times New Roman"/>
          <w:b/>
          <w:color w:val="auto"/>
          <w:kern w:val="2"/>
          <w:sz w:val="30"/>
          <w:szCs w:val="22"/>
          <w:lang w:val="en-US" w:eastAsia="zh-CN" w:bidi="ar-SA"/>
        </w:rPr>
        <w:t>1.2项目</w:t>
      </w:r>
      <w:bookmarkEnd w:id="12"/>
      <w:r>
        <w:rPr>
          <w:rFonts w:hint="eastAsia" w:ascii="Times New Roman" w:hAnsi="Times New Roman" w:eastAsia="宋体" w:cs="Times New Roman"/>
          <w:b/>
          <w:color w:val="auto"/>
          <w:kern w:val="2"/>
          <w:sz w:val="30"/>
          <w:szCs w:val="22"/>
          <w:lang w:val="en-US" w:eastAsia="zh-CN" w:bidi="ar-SA"/>
        </w:rPr>
        <w:t>特点</w:t>
      </w:r>
      <w:bookmarkEnd w:id="13"/>
      <w:bookmarkEnd w:id="14"/>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bookmarkStart w:id="15" w:name="_Toc40549321"/>
      <w:r>
        <w:rPr>
          <w:rFonts w:hint="eastAsia" w:ascii="Times New Roman" w:hAnsi="Times New Roman" w:eastAsia="宋体" w:cs="Times New Roman"/>
          <w:color w:val="auto"/>
          <w:kern w:val="2"/>
          <w:sz w:val="24"/>
          <w:szCs w:val="20"/>
          <w:lang w:val="en-US" w:eastAsia="zh-CN" w:bidi="ar-SA"/>
        </w:rPr>
        <w:t>本项目产品为10000t/a醋酸甲酯、15000t/a碳酸二甲酯。本项目主要特点为：涉及的生产环节较少，以蒸馏提纯为主，工艺流程简单。</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hint="eastAsia" w:ascii="Times New Roman" w:hAnsi="Times New Roman" w:eastAsia="宋体" w:cs="Times New Roman"/>
          <w:b/>
          <w:color w:val="auto"/>
          <w:kern w:val="2"/>
          <w:sz w:val="30"/>
          <w:szCs w:val="22"/>
          <w:lang w:val="en-US" w:eastAsia="zh-CN" w:bidi="ar-SA"/>
        </w:rPr>
      </w:pPr>
      <w:bookmarkStart w:id="16" w:name="_Toc19160"/>
      <w:bookmarkStart w:id="17" w:name="_Toc25920"/>
      <w:r>
        <w:rPr>
          <w:rFonts w:hint="eastAsia" w:ascii="Times New Roman" w:hAnsi="Times New Roman" w:eastAsia="宋体" w:cs="Times New Roman"/>
          <w:b/>
          <w:color w:val="auto"/>
          <w:kern w:val="2"/>
          <w:sz w:val="30"/>
          <w:szCs w:val="22"/>
          <w:lang w:val="en-US" w:eastAsia="zh-CN" w:bidi="ar-SA"/>
        </w:rPr>
        <w:t>1.3主要关注的环境问题</w:t>
      </w:r>
      <w:bookmarkEnd w:id="15"/>
      <w:bookmarkEnd w:id="16"/>
      <w:bookmarkEnd w:id="17"/>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根据项目特点、</w:t>
      </w:r>
      <w:r>
        <w:rPr>
          <w:rFonts w:hint="eastAsia" w:ascii="Times New Roman" w:hAnsi="Times New Roman" w:cs="Times New Roman"/>
          <w:color w:val="auto"/>
          <w:kern w:val="2"/>
          <w:sz w:val="24"/>
          <w:szCs w:val="20"/>
          <w:lang w:val="en-US" w:eastAsia="zh-CN" w:bidi="ar-SA"/>
        </w:rPr>
        <w:t>项目</w:t>
      </w:r>
      <w:r>
        <w:rPr>
          <w:rFonts w:ascii="Times New Roman" w:hAnsi="Times New Roman" w:eastAsia="宋体" w:cs="Times New Roman"/>
          <w:color w:val="auto"/>
          <w:kern w:val="2"/>
          <w:sz w:val="24"/>
          <w:szCs w:val="20"/>
          <w:lang w:val="en-US" w:eastAsia="zh-CN" w:bidi="ar-SA"/>
        </w:rPr>
        <w:t>所在地周边环境概况以及环评导则及技术规范、公众参与有关要求，重点关注本项目的以下几个方面：</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（1）本项目所用原料中含有</w:t>
      </w:r>
      <w:r>
        <w:rPr>
          <w:rFonts w:hint="eastAsia" w:ascii="Times New Roman" w:hAnsi="Times New Roman" w:eastAsia="宋体" w:cs="Times New Roman"/>
          <w:color w:val="auto"/>
          <w:kern w:val="2"/>
          <w:sz w:val="24"/>
          <w:szCs w:val="20"/>
          <w:lang w:val="en-US" w:eastAsia="zh-CN" w:bidi="ar-SA"/>
        </w:rPr>
        <w:t>有机化学物质</w:t>
      </w:r>
      <w:r>
        <w:rPr>
          <w:rFonts w:ascii="Times New Roman" w:hAnsi="Times New Roman" w:eastAsia="宋体" w:cs="Times New Roman"/>
          <w:color w:val="auto"/>
          <w:kern w:val="2"/>
          <w:sz w:val="24"/>
          <w:szCs w:val="20"/>
          <w:lang w:val="en-US" w:eastAsia="zh-CN" w:bidi="ar-SA"/>
        </w:rPr>
        <w:t>，关注项目的环境风险影响，重点关注厂区环境风险防范措施可行性</w:t>
      </w:r>
      <w:r>
        <w:rPr>
          <w:rFonts w:hint="eastAsia" w:ascii="Times New Roman" w:hAnsi="Times New Roman"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（2）项目产生的废气如何进行有效收集、处理，确保各类废气实现达标排放，重点关注外排废气对周围环境的影响</w:t>
      </w:r>
      <w:r>
        <w:rPr>
          <w:rFonts w:hint="eastAsia" w:ascii="Times New Roman" w:hAnsi="Times New Roman"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（3）项目产生的废水经</w:t>
      </w:r>
      <w:r>
        <w:rPr>
          <w:rFonts w:hint="eastAsia" w:ascii="Times New Roman" w:hAnsi="Times New Roman" w:eastAsia="宋体" w:cs="Times New Roman"/>
          <w:color w:val="auto"/>
          <w:kern w:val="2"/>
          <w:sz w:val="24"/>
          <w:szCs w:val="20"/>
          <w:lang w:val="en-US" w:eastAsia="zh-CN" w:bidi="ar-SA"/>
        </w:rPr>
        <w:t>自建污</w:t>
      </w:r>
      <w:r>
        <w:rPr>
          <w:rFonts w:ascii="Times New Roman" w:hAnsi="Times New Roman" w:eastAsia="宋体" w:cs="Times New Roman"/>
          <w:color w:val="auto"/>
          <w:kern w:val="2"/>
          <w:sz w:val="24"/>
          <w:szCs w:val="20"/>
          <w:lang w:val="en-US" w:eastAsia="zh-CN" w:bidi="ar-SA"/>
        </w:rPr>
        <w:t>水处理站进行处理，分析废水处理的可行性，确保外排废水做到达标排放，重点关注外排废水对</w:t>
      </w:r>
      <w:r>
        <w:rPr>
          <w:rFonts w:hint="eastAsia" w:ascii="Times New Roman" w:hAnsi="Times New Roman" w:eastAsia="宋体" w:cs="Times New Roman"/>
          <w:color w:val="auto"/>
          <w:kern w:val="2"/>
          <w:sz w:val="24"/>
          <w:szCs w:val="20"/>
          <w:lang w:val="en-US" w:eastAsia="zh-CN" w:bidi="ar-SA"/>
        </w:rPr>
        <w:t>云溪工业园污水厂</w:t>
      </w:r>
      <w:r>
        <w:rPr>
          <w:rFonts w:ascii="Times New Roman" w:hAnsi="Times New Roman" w:eastAsia="宋体" w:cs="Times New Roman"/>
          <w:color w:val="auto"/>
          <w:kern w:val="2"/>
          <w:sz w:val="24"/>
          <w:szCs w:val="20"/>
          <w:lang w:val="en-US" w:eastAsia="zh-CN" w:bidi="ar-SA"/>
        </w:rPr>
        <w:t>的影响</w:t>
      </w:r>
      <w:r>
        <w:rPr>
          <w:rFonts w:hint="eastAsia" w:ascii="Times New Roman" w:hAnsi="Times New Roman"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（4）项目所在区域地面做好有效的防腐、防渗工作，</w:t>
      </w:r>
      <w:r>
        <w:rPr>
          <w:rFonts w:hint="eastAsia" w:ascii="Times New Roman" w:hAnsi="Times New Roman" w:eastAsia="宋体" w:cs="Times New Roman"/>
          <w:color w:val="auto"/>
          <w:kern w:val="2"/>
          <w:sz w:val="24"/>
          <w:szCs w:val="20"/>
          <w:lang w:val="en-US" w:eastAsia="zh-CN" w:bidi="ar-SA"/>
        </w:rPr>
        <w:t>罐体做好防泄漏工作，</w:t>
      </w:r>
      <w:r>
        <w:rPr>
          <w:rFonts w:ascii="Times New Roman" w:hAnsi="Times New Roman" w:eastAsia="宋体" w:cs="Times New Roman"/>
          <w:color w:val="auto"/>
          <w:kern w:val="2"/>
          <w:sz w:val="24"/>
          <w:szCs w:val="20"/>
          <w:lang w:val="en-US" w:eastAsia="zh-CN" w:bidi="ar-SA"/>
        </w:rPr>
        <w:t>关注项目对地下水</w:t>
      </w:r>
      <w:r>
        <w:rPr>
          <w:rFonts w:hint="eastAsia" w:ascii="Times New Roman" w:hAnsi="Times New Roman" w:eastAsia="宋体" w:cs="Times New Roman"/>
          <w:color w:val="auto"/>
          <w:kern w:val="2"/>
          <w:sz w:val="24"/>
          <w:szCs w:val="20"/>
          <w:lang w:val="en-US" w:eastAsia="zh-CN" w:bidi="ar-SA"/>
        </w:rPr>
        <w:t>、土壤</w:t>
      </w:r>
      <w:r>
        <w:rPr>
          <w:rFonts w:ascii="Times New Roman" w:hAnsi="Times New Roman" w:eastAsia="宋体" w:cs="Times New Roman"/>
          <w:color w:val="auto"/>
          <w:kern w:val="2"/>
          <w:sz w:val="24"/>
          <w:szCs w:val="20"/>
          <w:lang w:val="en-US" w:eastAsia="zh-CN" w:bidi="ar-SA"/>
        </w:rPr>
        <w:t>的防治措施和影响。</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hint="eastAsia" w:ascii="Times New Roman" w:hAnsi="Times New Roman" w:eastAsia="宋体" w:cs="Times New Roman"/>
          <w:b/>
          <w:color w:val="auto"/>
          <w:kern w:val="2"/>
          <w:sz w:val="30"/>
          <w:szCs w:val="22"/>
          <w:lang w:val="en-US" w:eastAsia="zh-CN" w:bidi="ar-SA"/>
        </w:rPr>
      </w:pPr>
      <w:bookmarkStart w:id="18" w:name="_Toc40549322"/>
      <w:bookmarkStart w:id="19" w:name="_Toc25997"/>
      <w:bookmarkStart w:id="20" w:name="_Toc18014"/>
      <w:r>
        <w:rPr>
          <w:rFonts w:hint="eastAsia" w:ascii="Times New Roman" w:hAnsi="Times New Roman" w:eastAsia="宋体" w:cs="Times New Roman"/>
          <w:b/>
          <w:color w:val="auto"/>
          <w:kern w:val="2"/>
          <w:sz w:val="30"/>
          <w:szCs w:val="22"/>
          <w:lang w:val="en-US" w:eastAsia="zh-CN" w:bidi="ar-SA"/>
        </w:rPr>
        <w:t>1.4环境影响评价工作程序</w:t>
      </w:r>
      <w:bookmarkEnd w:id="18"/>
      <w:bookmarkEnd w:id="19"/>
      <w:bookmarkEnd w:id="20"/>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本项目环境影响评价工作分三个阶段，即前期准备、调研和工作方案阶段，分析论证和预测评价阶段，环境影响评价文件编制阶段。具体流程见图1.4-1。</w:t>
      </w:r>
    </w:p>
    <w:p>
      <w:pPr>
        <w:adjustRightInd w:val="0"/>
        <w:snapToGrid w:val="0"/>
        <w:spacing w:line="360" w:lineRule="auto"/>
        <w:jc w:val="center"/>
        <w:rPr>
          <w:rFonts w:hint="eastAsia" w:ascii="Calibri" w:hAnsi="Calibri" w:eastAsia="宋体"/>
          <w:color w:val="auto"/>
          <w:sz w:val="24"/>
        </w:rPr>
      </w:pPr>
      <w:r>
        <w:rPr>
          <w:rFonts w:ascii="Calibri" w:hAnsi="Calibri" w:eastAsia="宋体"/>
          <w:color w:val="auto"/>
        </w:rPr>
        <w:drawing>
          <wp:inline distT="0" distB="0" distL="114300" distR="114300">
            <wp:extent cx="5123815" cy="4341495"/>
            <wp:effectExtent l="0" t="0" r="635" b="1905"/>
            <wp:docPr id="9"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0"/>
                    <pic:cNvPicPr>
                      <a:picLocks noChangeAspect="1"/>
                    </pic:cNvPicPr>
                  </pic:nvPicPr>
                  <pic:blipFill>
                    <a:blip r:embed="rId14"/>
                    <a:srcRect l="2489" t="5258" r="2299" b="2802"/>
                    <a:stretch>
                      <a:fillRect/>
                    </a:stretch>
                  </pic:blipFill>
                  <pic:spPr>
                    <a:xfrm>
                      <a:off x="0" y="0"/>
                      <a:ext cx="5123815" cy="4341495"/>
                    </a:xfrm>
                    <a:prstGeom prst="rect">
                      <a:avLst/>
                    </a:prstGeom>
                    <a:noFill/>
                    <a:ln>
                      <a:noFill/>
                    </a:ln>
                  </pic:spPr>
                </pic:pic>
              </a:graphicData>
            </a:graphic>
          </wp:inline>
        </w:drawing>
      </w:r>
    </w:p>
    <w:p>
      <w:pPr>
        <w:widowControl w:val="0"/>
        <w:bidi w:val="0"/>
        <w:spacing w:line="360" w:lineRule="auto"/>
        <w:jc w:val="center"/>
        <w:rPr>
          <w:rFonts w:ascii="Times New Roman" w:hAnsi="Times New Roman" w:eastAsia="宋体" w:cs="Times New Roman"/>
          <w:b/>
          <w:color w:val="auto"/>
          <w:kern w:val="2"/>
          <w:sz w:val="24"/>
          <w:szCs w:val="22"/>
          <w:lang w:val="en-US" w:eastAsia="zh-CN" w:bidi="ar-SA"/>
        </w:rPr>
      </w:pPr>
      <w:r>
        <w:rPr>
          <w:rFonts w:ascii="Times New Roman" w:hAnsi="Times New Roman" w:eastAsia="宋体" w:cs="Times New Roman"/>
          <w:b/>
          <w:color w:val="auto"/>
          <w:kern w:val="2"/>
          <w:sz w:val="24"/>
          <w:szCs w:val="22"/>
          <w:lang w:val="en-US" w:eastAsia="zh-CN" w:bidi="ar-SA"/>
        </w:rPr>
        <w:t>图1</w:t>
      </w:r>
      <w:r>
        <w:rPr>
          <w:rFonts w:hint="eastAsia" w:ascii="Times New Roman" w:hAnsi="Times New Roman" w:eastAsia="宋体" w:cs="Times New Roman"/>
          <w:b/>
          <w:color w:val="auto"/>
          <w:kern w:val="2"/>
          <w:sz w:val="24"/>
          <w:szCs w:val="22"/>
          <w:lang w:val="en-US" w:eastAsia="zh-CN" w:bidi="ar-SA"/>
        </w:rPr>
        <w:t>.4</w:t>
      </w:r>
      <w:r>
        <w:rPr>
          <w:rFonts w:ascii="Times New Roman" w:hAnsi="Times New Roman" w:eastAsia="宋体" w:cs="Times New Roman"/>
          <w:b/>
          <w:color w:val="auto"/>
          <w:kern w:val="2"/>
          <w:sz w:val="24"/>
          <w:szCs w:val="22"/>
          <w:lang w:val="en-US" w:eastAsia="zh-CN" w:bidi="ar-SA"/>
        </w:rPr>
        <w:t>-1  环境影响评价工作程序图</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hint="eastAsia" w:ascii="Times New Roman" w:hAnsi="Times New Roman" w:eastAsia="宋体" w:cs="Times New Roman"/>
          <w:b/>
          <w:color w:val="auto"/>
          <w:kern w:val="2"/>
          <w:sz w:val="30"/>
          <w:szCs w:val="22"/>
          <w:lang w:val="en-US" w:eastAsia="zh-CN" w:bidi="ar-SA"/>
        </w:rPr>
      </w:pPr>
      <w:bookmarkStart w:id="21" w:name="_Toc40549323"/>
      <w:bookmarkStart w:id="22" w:name="_Toc5522"/>
      <w:bookmarkStart w:id="23" w:name="_Toc27541"/>
      <w:r>
        <w:rPr>
          <w:rFonts w:hint="eastAsia" w:ascii="Times New Roman" w:hAnsi="Times New Roman" w:eastAsia="宋体" w:cs="Times New Roman"/>
          <w:b/>
          <w:color w:val="auto"/>
          <w:kern w:val="2"/>
          <w:sz w:val="30"/>
          <w:szCs w:val="22"/>
          <w:lang w:val="en-US" w:eastAsia="zh-CN" w:bidi="ar-SA"/>
        </w:rPr>
        <w:t>1.5</w:t>
      </w:r>
      <w:bookmarkEnd w:id="21"/>
      <w:r>
        <w:rPr>
          <w:rFonts w:hint="eastAsia" w:ascii="Times New Roman" w:hAnsi="Times New Roman" w:eastAsia="宋体" w:cs="Times New Roman"/>
          <w:b/>
          <w:color w:val="auto"/>
          <w:kern w:val="2"/>
          <w:sz w:val="30"/>
          <w:szCs w:val="22"/>
          <w:lang w:val="en-US" w:eastAsia="zh-CN" w:bidi="ar-SA"/>
        </w:rPr>
        <w:t>分析判定相关情况</w:t>
      </w:r>
      <w:bookmarkEnd w:id="22"/>
      <w:bookmarkEnd w:id="23"/>
    </w:p>
    <w:p>
      <w:pPr>
        <w:widowControl w:val="0"/>
        <w:bidi w:val="0"/>
        <w:spacing w:before="20" w:line="360" w:lineRule="auto"/>
        <w:ind w:firstLine="480" w:firstLineChars="200"/>
        <w:jc w:val="both"/>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从报告类别、园区基本情况、法律法规、产业政策、行业准入条件、环境承载力、总量指标、生态红线等方面对拟建项目进行分析判定。</w:t>
      </w:r>
    </w:p>
    <w:p>
      <w:pPr>
        <w:pStyle w:val="12"/>
        <w:rPr>
          <w:rFonts w:hint="eastAsia" w:ascii="Times New Roman" w:hAnsi="Times New Roman" w:eastAsia="宋体" w:cs="Times New Roman"/>
          <w:b/>
          <w:color w:val="auto"/>
          <w:kern w:val="2"/>
          <w:sz w:val="24"/>
          <w:szCs w:val="22"/>
          <w:lang w:val="en-US" w:eastAsia="zh-CN" w:bidi="ar-SA"/>
        </w:rPr>
      </w:pPr>
    </w:p>
    <w:p>
      <w:pPr>
        <w:pStyle w:val="4"/>
        <w:rPr>
          <w:rFonts w:hint="eastAsia"/>
          <w:color w:val="auto"/>
          <w:lang w:val="en-US" w:eastAsia="zh-CN"/>
        </w:rPr>
      </w:pPr>
    </w:p>
    <w:p>
      <w:pPr>
        <w:widowControl w:val="0"/>
        <w:bidi w:val="0"/>
        <w:spacing w:line="360" w:lineRule="auto"/>
        <w:jc w:val="center"/>
        <w:rPr>
          <w:rFonts w:hint="eastAsia" w:ascii="Times New Roman" w:hAnsi="Times New Roman" w:eastAsia="宋体" w:cs="Times New Roman"/>
          <w:b/>
          <w:color w:val="auto"/>
          <w:kern w:val="2"/>
          <w:sz w:val="24"/>
          <w:szCs w:val="22"/>
          <w:lang w:val="en-US" w:eastAsia="zh-CN" w:bidi="ar-SA"/>
        </w:rPr>
      </w:pPr>
      <w:r>
        <w:rPr>
          <w:rFonts w:hint="eastAsia" w:ascii="Times New Roman" w:hAnsi="Times New Roman" w:eastAsia="宋体" w:cs="Times New Roman"/>
          <w:b/>
          <w:color w:val="auto"/>
          <w:kern w:val="2"/>
          <w:sz w:val="24"/>
          <w:szCs w:val="22"/>
          <w:lang w:val="en-US" w:eastAsia="zh-CN" w:bidi="ar-SA"/>
        </w:rPr>
        <w:t>表1.5-2项目政策符合性分析</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000" w:type="pct"/>
            <w:gridSpan w:val="2"/>
            <w:tcBorders>
              <w:tl2br w:val="nil"/>
              <w:tr2bl w:val="nil"/>
            </w:tcBorders>
            <w:vAlign w:val="center"/>
          </w:tcPr>
          <w:p>
            <w:pPr>
              <w:pStyle w:val="12"/>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vertAlign w:val="baseline"/>
                <w:lang w:val="en-US" w:eastAsia="zh-CN"/>
              </w:rPr>
            </w:pPr>
            <w:r>
              <w:rPr>
                <w:rFonts w:hint="eastAsia" w:ascii="Times New Roman" w:hAnsi="Times New Roman" w:eastAsia="宋体" w:cs="Times New Roman"/>
                <w:b w:val="0"/>
                <w:bCs w:val="0"/>
                <w:color w:val="auto"/>
                <w:kern w:val="2"/>
                <w:sz w:val="21"/>
                <w:szCs w:val="21"/>
                <w:vertAlign w:val="baseline"/>
                <w:lang w:val="en-US" w:eastAsia="zh-CN" w:bidi="ar-SA"/>
              </w:rPr>
              <w:t>项目符合政策一览表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500" w:type="pct"/>
            <w:tcBorders>
              <w:tl2br w:val="nil"/>
              <w:tr2bl w:val="nil"/>
            </w:tcBorders>
            <w:vAlign w:val="center"/>
          </w:tcPr>
          <w:p>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single"/>
                <w:vertAlign w:val="baseline"/>
                <w:lang w:val="en-US" w:eastAsia="zh-CN" w:bidi="ar-SA"/>
              </w:rPr>
            </w:pPr>
            <w:r>
              <w:rPr>
                <w:rFonts w:hint="eastAsia" w:ascii="Times New Roman" w:hAnsi="Times New Roman" w:eastAsia="宋体" w:cs="Times New Roman"/>
                <w:b w:val="0"/>
                <w:bCs w:val="0"/>
                <w:color w:val="auto"/>
                <w:kern w:val="2"/>
                <w:sz w:val="21"/>
                <w:szCs w:val="21"/>
                <w:u w:val="single"/>
                <w:vertAlign w:val="baseline"/>
                <w:lang w:val="en-US" w:eastAsia="zh-CN" w:bidi="ar-SA"/>
              </w:rPr>
              <w:t>产业政策符合性</w:t>
            </w:r>
          </w:p>
        </w:tc>
        <w:tc>
          <w:tcPr>
            <w:tcW w:w="2500" w:type="pct"/>
            <w:tcBorders>
              <w:tl2br w:val="nil"/>
              <w:tr2bl w:val="nil"/>
            </w:tcBorders>
            <w:vAlign w:val="center"/>
          </w:tcPr>
          <w:p>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u w:val="single"/>
                <w:lang w:val="en-US" w:eastAsia="zh-CN" w:bidi="ar-SA"/>
              </w:rPr>
            </w:pPr>
            <w:r>
              <w:rPr>
                <w:rFonts w:hint="eastAsia" w:ascii="Times New Roman" w:hAnsi="Times New Roman" w:eastAsia="宋体" w:cs="Times New Roman"/>
                <w:b w:val="0"/>
                <w:bCs w:val="0"/>
                <w:color w:val="auto"/>
                <w:kern w:val="2"/>
                <w:sz w:val="21"/>
                <w:szCs w:val="21"/>
                <w:u w:val="single"/>
                <w:lang w:val="en-US" w:eastAsia="zh-CN" w:bidi="ar-SA"/>
              </w:rPr>
              <w:t>本项目生产的产品属于有机化学原料，根据国家发改委9号令《产业结构调整指导目录(2019年本)》本项目不属于限制类和淘汰类中的相关内容，符合国家现行产业政策符合国家产业政策要求。</w:t>
            </w:r>
          </w:p>
          <w:p>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Calibri" w:hAnsi="Calibri" w:eastAsia="宋体" w:cs="Times New Roman"/>
                <w:b w:val="0"/>
                <w:bCs w:val="0"/>
                <w:color w:val="auto"/>
                <w:kern w:val="2"/>
                <w:sz w:val="21"/>
                <w:szCs w:val="21"/>
                <w:u w:val="single"/>
                <w:lang w:val="en-US" w:eastAsia="zh-CN" w:bidi="ar-SA"/>
              </w:rPr>
            </w:pPr>
            <w:r>
              <w:rPr>
                <w:rFonts w:hint="eastAsia" w:ascii="Times New Roman" w:hAnsi="Times New Roman" w:eastAsia="宋体" w:cs="Times New Roman"/>
                <w:b w:val="0"/>
                <w:bCs w:val="0"/>
                <w:color w:val="auto"/>
                <w:kern w:val="2"/>
                <w:sz w:val="21"/>
                <w:szCs w:val="21"/>
                <w:u w:val="single"/>
                <w:lang w:val="en-US" w:eastAsia="zh-CN" w:bidi="ar-SA"/>
              </w:rPr>
              <w:t>本项目产品符合《环境保护综合名录(2017年版)》相关要求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500" w:type="pct"/>
            <w:tcBorders>
              <w:tl2br w:val="nil"/>
              <w:tr2bl w:val="nil"/>
            </w:tcBorders>
            <w:vAlign w:val="center"/>
          </w:tcPr>
          <w:p>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single"/>
                <w:vertAlign w:val="baseline"/>
                <w:lang w:val="en-US" w:eastAsia="zh-CN" w:bidi="ar-SA"/>
              </w:rPr>
            </w:pPr>
            <w:r>
              <w:rPr>
                <w:rFonts w:hint="eastAsia" w:ascii="Times New Roman" w:hAnsi="Times New Roman" w:eastAsia="宋体" w:cs="Times New Roman"/>
                <w:b w:val="0"/>
                <w:bCs w:val="0"/>
                <w:color w:val="auto"/>
                <w:kern w:val="2"/>
                <w:sz w:val="21"/>
                <w:szCs w:val="21"/>
                <w:u w:val="single"/>
                <w:vertAlign w:val="baseline"/>
                <w:lang w:val="en-US" w:eastAsia="zh-CN" w:bidi="ar-SA"/>
              </w:rPr>
              <w:t>用地规划相符性</w:t>
            </w:r>
          </w:p>
        </w:tc>
        <w:tc>
          <w:tcPr>
            <w:tcW w:w="2500" w:type="pct"/>
            <w:tcBorders>
              <w:tl2br w:val="nil"/>
              <w:tr2bl w:val="nil"/>
            </w:tcBorders>
            <w:vAlign w:val="center"/>
          </w:tcPr>
          <w:p>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Calibri" w:hAnsi="Calibri" w:eastAsia="宋体" w:cs="Times New Roman"/>
                <w:b w:val="0"/>
                <w:bCs w:val="0"/>
                <w:color w:val="auto"/>
                <w:kern w:val="2"/>
                <w:sz w:val="21"/>
                <w:szCs w:val="21"/>
                <w:u w:val="single"/>
                <w:vertAlign w:val="baseline"/>
                <w:lang w:val="en-US" w:eastAsia="zh-CN" w:bidi="ar-SA"/>
              </w:rPr>
            </w:pPr>
            <w:r>
              <w:rPr>
                <w:rFonts w:hint="eastAsia" w:ascii="Times New Roman" w:hAnsi="Times New Roman" w:eastAsia="宋体" w:cs="Times New Roman"/>
                <w:b w:val="0"/>
                <w:bCs w:val="0"/>
                <w:color w:val="auto"/>
                <w:kern w:val="2"/>
                <w:sz w:val="21"/>
                <w:szCs w:val="21"/>
                <w:u w:val="single"/>
                <w:lang w:val="en-US" w:eastAsia="zh-CN" w:bidi="ar-SA"/>
              </w:rPr>
              <w:t>根据《岳阳市云溪工业园城区片控制性详细规划》</w:t>
            </w:r>
            <w:r>
              <w:rPr>
                <w:rFonts w:hint="eastAsia" w:ascii="Calibri" w:hAnsi="Calibri" w:eastAsia="宋体" w:cs="Times New Roman"/>
                <w:b w:val="0"/>
                <w:bCs w:val="0"/>
                <w:color w:val="auto"/>
                <w:kern w:val="2"/>
                <w:sz w:val="21"/>
                <w:szCs w:val="21"/>
                <w:u w:val="single"/>
                <w:lang w:val="en-US" w:eastAsia="zh-CN" w:bidi="ar-SA"/>
              </w:rPr>
              <w:t>，</w:t>
            </w:r>
            <w:r>
              <w:rPr>
                <w:rFonts w:hint="default" w:ascii="Times New Roman" w:hAnsi="Times New Roman" w:eastAsia="宋体" w:cs="Times New Roman"/>
                <w:b w:val="0"/>
                <w:bCs w:val="0"/>
                <w:color w:val="auto"/>
                <w:kern w:val="2"/>
                <w:sz w:val="21"/>
                <w:szCs w:val="21"/>
                <w:u w:val="single"/>
                <w:lang w:val="en-US" w:eastAsia="zh-CN" w:bidi="ar-SA"/>
              </w:rPr>
              <w:t>本项目位于云溪区工业园规划的“产业发展片区”内，具体选址地在云溪工业园(即湖南岳阳绿色化工产业园云溪片区)</w:t>
            </w:r>
            <w:r>
              <w:rPr>
                <w:rFonts w:hint="eastAsia" w:ascii="Times New Roman" w:hAnsi="Times New Roman" w:eastAsia="宋体" w:cs="Times New Roman"/>
                <w:b w:val="0"/>
                <w:bCs w:val="0"/>
                <w:color w:val="auto"/>
                <w:kern w:val="2"/>
                <w:sz w:val="21"/>
                <w:szCs w:val="21"/>
                <w:u w:val="single"/>
                <w:lang w:val="en-US" w:eastAsia="zh-CN" w:bidi="ar-SA"/>
              </w:rPr>
              <w:t>凌峰化工有限公司</w:t>
            </w:r>
            <w:r>
              <w:rPr>
                <w:rFonts w:hint="default" w:ascii="Times New Roman" w:hAnsi="Times New Roman" w:eastAsia="宋体" w:cs="Times New Roman"/>
                <w:b w:val="0"/>
                <w:bCs w:val="0"/>
                <w:color w:val="auto"/>
                <w:kern w:val="2"/>
                <w:sz w:val="21"/>
                <w:szCs w:val="21"/>
                <w:u w:val="single"/>
                <w:lang w:val="en-US" w:eastAsia="zh-CN" w:bidi="ar-SA"/>
              </w:rPr>
              <w:t>，属于三类工业用地，项目用地符合区域用地规划要求。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500" w:type="pct"/>
            <w:tcBorders>
              <w:tl2br w:val="nil"/>
              <w:tr2bl w:val="nil"/>
            </w:tcBorders>
            <w:vAlign w:val="center"/>
          </w:tcPr>
          <w:p>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single"/>
                <w:vertAlign w:val="baseline"/>
                <w:lang w:val="en-US" w:eastAsia="zh-CN" w:bidi="ar-SA"/>
              </w:rPr>
            </w:pPr>
            <w:r>
              <w:rPr>
                <w:rFonts w:hint="eastAsia" w:ascii="Times New Roman" w:hAnsi="Times New Roman" w:eastAsia="宋体" w:cs="Times New Roman"/>
                <w:b w:val="0"/>
                <w:bCs w:val="0"/>
                <w:color w:val="auto"/>
                <w:kern w:val="2"/>
                <w:sz w:val="21"/>
                <w:szCs w:val="21"/>
                <w:u w:val="single"/>
                <w:lang w:val="en-US" w:eastAsia="zh-CN" w:bidi="ar-SA"/>
              </w:rPr>
              <w:t>与园区产业规划相符性</w:t>
            </w:r>
          </w:p>
        </w:tc>
        <w:tc>
          <w:tcPr>
            <w:tcW w:w="2500" w:type="pct"/>
            <w:tcBorders>
              <w:tl2br w:val="nil"/>
              <w:tr2bl w:val="nil"/>
            </w:tcBorders>
            <w:vAlign w:val="center"/>
          </w:tcPr>
          <w:p>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single"/>
                <w:lang w:val="en-US" w:eastAsia="zh-CN" w:bidi="ar-SA"/>
              </w:rPr>
            </w:pPr>
            <w:r>
              <w:rPr>
                <w:rFonts w:hint="eastAsia" w:ascii="Times New Roman" w:hAnsi="Times New Roman" w:eastAsia="宋体" w:cs="Times New Roman"/>
                <w:b w:val="0"/>
                <w:bCs w:val="0"/>
                <w:color w:val="auto"/>
                <w:kern w:val="2"/>
                <w:sz w:val="21"/>
                <w:szCs w:val="21"/>
                <w:u w:val="single"/>
                <w:lang w:val="en-US" w:eastAsia="zh-CN" w:bidi="ar-SA"/>
              </w:rPr>
              <w:t>本项目生产的醋酸甲脂、碳酸二甲酯产品，主要运用于化学品原料及原料药，属于精细化工中间体产业链，符合湖南岳阳绿色化工产业园产业定位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500" w:type="pct"/>
            <w:tcBorders>
              <w:tl2br w:val="nil"/>
              <w:tr2bl w:val="nil"/>
            </w:tcBorders>
            <w:vAlign w:val="center"/>
          </w:tcPr>
          <w:p>
            <w:pPr>
              <w:pStyle w:val="12"/>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vertAlign w:val="baseline"/>
                <w:lang w:val="en-US" w:eastAsia="zh-CN"/>
              </w:rPr>
            </w:pPr>
            <w:r>
              <w:rPr>
                <w:rFonts w:hint="eastAsia" w:ascii="Times New Roman" w:hAnsi="Times New Roman" w:eastAsia="宋体" w:cs="Times New Roman"/>
                <w:b w:val="0"/>
                <w:bCs w:val="0"/>
                <w:color w:val="auto"/>
                <w:kern w:val="2"/>
                <w:sz w:val="21"/>
                <w:szCs w:val="21"/>
                <w:u w:val="single"/>
                <w:lang w:val="en-US" w:eastAsia="zh-CN" w:bidi="ar-SA"/>
              </w:rPr>
              <w:t>园区规划相符性</w:t>
            </w:r>
            <w:r>
              <w:rPr>
                <w:rFonts w:hint="eastAsia" w:ascii="Times New Roman" w:hAnsi="Times New Roman" w:cs="Times New Roman"/>
                <w:b w:val="0"/>
                <w:bCs w:val="0"/>
                <w:color w:val="auto"/>
                <w:kern w:val="2"/>
                <w:sz w:val="21"/>
                <w:szCs w:val="21"/>
                <w:u w:val="single"/>
                <w:lang w:val="en-US" w:eastAsia="zh-CN" w:bidi="ar-SA"/>
              </w:rPr>
              <w:t>（</w:t>
            </w:r>
            <w:r>
              <w:rPr>
                <w:rFonts w:hint="eastAsia" w:ascii="Times New Roman" w:hAnsi="Times New Roman" w:eastAsia="宋体" w:cs="Times New Roman"/>
                <w:b w:val="0"/>
                <w:bCs w:val="0"/>
                <w:color w:val="auto"/>
                <w:kern w:val="2"/>
                <w:sz w:val="21"/>
                <w:szCs w:val="21"/>
                <w:u w:val="single"/>
                <w:lang w:val="zh-CN" w:eastAsia="zh-CN" w:bidi="ar-SA"/>
              </w:rPr>
              <w:t>《关于&lt;湖南岳阳绿色化工产业园（云溪片区、长岭片区）扩区规划环境影响报告书&gt;审查意见的函》（湘环评函〔2020〕23号）</w:t>
            </w:r>
          </w:p>
        </w:tc>
        <w:tc>
          <w:tcPr>
            <w:tcW w:w="2500" w:type="pct"/>
            <w:tcBorders>
              <w:tl2br w:val="nil"/>
              <w:tr2bl w:val="nil"/>
            </w:tcBorders>
            <w:vAlign w:val="center"/>
          </w:tcPr>
          <w:p>
            <w:pPr>
              <w:pStyle w:val="12"/>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vertAlign w:val="baseline"/>
                <w:lang w:val="en-US" w:eastAsia="zh-CN"/>
              </w:rPr>
            </w:pPr>
            <w:r>
              <w:rPr>
                <w:rFonts w:hint="default" w:ascii="Times New Roman" w:hAnsi="Times New Roman" w:eastAsia="宋体" w:cs="Times New Roman"/>
                <w:b w:val="0"/>
                <w:bCs w:val="0"/>
                <w:color w:val="auto"/>
                <w:kern w:val="2"/>
                <w:sz w:val="21"/>
                <w:szCs w:val="21"/>
                <w:u w:val="single"/>
                <w:lang w:val="en-US" w:eastAsia="zh-CN" w:bidi="ar-SA"/>
              </w:rPr>
              <w:t>本项目生产</w:t>
            </w:r>
            <w:r>
              <w:rPr>
                <w:rFonts w:hint="eastAsia" w:ascii="Times New Roman" w:hAnsi="Times New Roman" w:eastAsia="宋体" w:cs="Times New Roman"/>
                <w:b w:val="0"/>
                <w:bCs w:val="0"/>
                <w:color w:val="auto"/>
                <w:kern w:val="2"/>
                <w:sz w:val="21"/>
                <w:szCs w:val="21"/>
                <w:u w:val="single"/>
                <w:lang w:val="en-US" w:eastAsia="zh-CN" w:bidi="ar-SA"/>
              </w:rPr>
              <w:t>醋酸甲脂、碳酸二甲酯</w:t>
            </w:r>
            <w:r>
              <w:rPr>
                <w:rFonts w:hint="default" w:ascii="Times New Roman" w:hAnsi="Times New Roman" w:eastAsia="宋体" w:cs="Times New Roman"/>
                <w:b w:val="0"/>
                <w:bCs w:val="0"/>
                <w:color w:val="auto"/>
                <w:kern w:val="2"/>
                <w:sz w:val="21"/>
                <w:szCs w:val="21"/>
                <w:u w:val="single"/>
                <w:lang w:val="en-US" w:eastAsia="zh-CN" w:bidi="ar-SA"/>
              </w:rPr>
              <w:t>产品，符合云溪工业园发展的产业方向类别</w:t>
            </w:r>
            <w:r>
              <w:rPr>
                <w:rFonts w:hint="eastAsia" w:ascii="Times New Roman" w:hAnsi="Times New Roman" w:eastAsia="宋体" w:cs="Times New Roman"/>
                <w:b w:val="0"/>
                <w:bCs w:val="0"/>
                <w:color w:val="auto"/>
                <w:kern w:val="2"/>
                <w:sz w:val="21"/>
                <w:szCs w:val="21"/>
                <w:u w:val="single"/>
                <w:lang w:val="en-US" w:eastAsia="zh-CN" w:bidi="ar-SA"/>
              </w:rPr>
              <w:t>；</w:t>
            </w:r>
            <w:r>
              <w:rPr>
                <w:rFonts w:hint="default" w:ascii="Times New Roman" w:hAnsi="Times New Roman" w:eastAsia="宋体" w:cs="Times New Roman"/>
                <w:b w:val="0"/>
                <w:bCs w:val="0"/>
                <w:color w:val="auto"/>
                <w:kern w:val="2"/>
                <w:sz w:val="21"/>
                <w:szCs w:val="21"/>
                <w:u w:val="single"/>
                <w:lang w:val="en-US" w:eastAsia="zh-CN" w:bidi="ar-SA"/>
              </w:rPr>
              <w:t>项目排水采取雨污分流，初期雨水、设备及地面冲洗废水、生活污水等厂区污水处理站处理后进云溪区污水处理厂处理达标后排入长江，清净雨水进入工业园区雨水管网后排入松阳湖，符合园区排水规划要求本项目为非重污染型项目，符合国家产业政策，选址符合园区总体发展规划和环保规划</w:t>
            </w:r>
            <w:r>
              <w:rPr>
                <w:rFonts w:hint="eastAsia" w:ascii="Times New Roman" w:hAnsi="Times New Roman" w:eastAsia="宋体" w:cs="Times New Roman"/>
                <w:b w:val="0"/>
                <w:bCs w:val="0"/>
                <w:color w:val="auto"/>
                <w:kern w:val="2"/>
                <w:sz w:val="21"/>
                <w:szCs w:val="21"/>
                <w:u w:val="single"/>
                <w:lang w:val="en-US" w:eastAsia="zh-CN" w:bidi="ar-SA"/>
              </w:rPr>
              <w:t>。综上项目符合园区环评要求</w:t>
            </w:r>
            <w:r>
              <w:rPr>
                <w:rFonts w:hint="eastAsia" w:ascii="Times New Roman" w:hAnsi="Times New Roman" w:cs="Times New Roman"/>
                <w:b w:val="0"/>
                <w:bCs w:val="0"/>
                <w:color w:val="auto"/>
                <w:kern w:val="2"/>
                <w:sz w:val="21"/>
                <w:szCs w:val="21"/>
                <w:u w:val="singl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500" w:type="pct"/>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outlineLvl w:val="2"/>
              <w:rPr>
                <w:rFonts w:hint="default" w:ascii="Times New Roman" w:hAnsi="Times New Roman" w:eastAsia="宋体" w:cs="Times New Roman"/>
                <w:b w:val="0"/>
                <w:bCs w:val="0"/>
                <w:color w:val="auto"/>
                <w:kern w:val="2"/>
                <w:sz w:val="21"/>
                <w:szCs w:val="21"/>
                <w:u w:val="single"/>
                <w:lang w:val="en-US" w:eastAsia="zh-CN" w:bidi="ar-SA"/>
              </w:rPr>
            </w:pPr>
            <w:r>
              <w:rPr>
                <w:rFonts w:hint="eastAsia" w:ascii="Times New Roman" w:hAnsi="Times New Roman" w:eastAsia="宋体" w:cs="Times New Roman"/>
                <w:b w:val="0"/>
                <w:bCs w:val="0"/>
                <w:color w:val="auto"/>
                <w:kern w:val="2"/>
                <w:sz w:val="21"/>
                <w:szCs w:val="21"/>
                <w:u w:val="single"/>
                <w:lang w:val="en-US" w:eastAsia="zh-CN" w:bidi="ar-SA"/>
              </w:rPr>
              <w:t>《长江经济带生态环境保护规划》的相符性分析</w:t>
            </w:r>
          </w:p>
        </w:tc>
        <w:tc>
          <w:tcPr>
            <w:tcW w:w="25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single"/>
                <w:lang w:val="en-US" w:eastAsia="zh-CN" w:bidi="ar-SA"/>
              </w:rPr>
            </w:pPr>
            <w:r>
              <w:rPr>
                <w:rFonts w:hint="eastAsia" w:ascii="Times New Roman" w:hAnsi="Times New Roman" w:eastAsia="宋体" w:cs="Times New Roman"/>
                <w:b w:val="0"/>
                <w:bCs w:val="0"/>
                <w:color w:val="auto"/>
                <w:kern w:val="2"/>
                <w:sz w:val="21"/>
                <w:szCs w:val="21"/>
                <w:u w:val="single"/>
                <w:lang w:val="en-US" w:eastAsia="zh-CN" w:bidi="ar-SA"/>
              </w:rPr>
              <w:t>本项目营运期废水经收集后排入云溪污水处理厂深度处理,经处理后的尾水可达标排放至长江。本项目位于湖南岳阳绿色化工产业园区内，总用水量相对较小。本项目在公司现有厂区内建设，不属于禁止开发区域，不在生态保护红线范围内。本项目依托厂区内已建的事故池及应急系统，落实相关风险防范措施。本项目的建设与《长江经济带生态环境保护规划》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500" w:type="pct"/>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outlineLvl w:val="2"/>
              <w:rPr>
                <w:rFonts w:hint="default" w:ascii="Times New Roman" w:hAnsi="Times New Roman" w:eastAsia="宋体" w:cs="Times New Roman"/>
                <w:b w:val="0"/>
                <w:bCs w:val="0"/>
                <w:color w:val="auto"/>
                <w:kern w:val="2"/>
                <w:sz w:val="21"/>
                <w:szCs w:val="21"/>
                <w:u w:val="single"/>
                <w:lang w:val="en-US" w:eastAsia="zh-CN" w:bidi="ar-SA"/>
              </w:rPr>
            </w:pPr>
            <w:r>
              <w:rPr>
                <w:rFonts w:hint="eastAsia" w:ascii="Times New Roman" w:hAnsi="Times New Roman" w:eastAsia="宋体" w:cs="Times New Roman"/>
                <w:b w:val="0"/>
                <w:bCs w:val="0"/>
                <w:color w:val="auto"/>
                <w:kern w:val="2"/>
                <w:sz w:val="21"/>
                <w:szCs w:val="21"/>
                <w:u w:val="single"/>
                <w:lang w:val="en-US" w:eastAsia="zh-CN" w:bidi="ar-SA"/>
              </w:rPr>
              <w:t>《岳阳市国民经济和社会发展第十三个五年规划纲要》的相符性分析</w:t>
            </w:r>
          </w:p>
        </w:tc>
        <w:tc>
          <w:tcPr>
            <w:tcW w:w="25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single"/>
                <w:lang w:val="en-US" w:eastAsia="zh-CN" w:bidi="ar-SA"/>
              </w:rPr>
            </w:pPr>
            <w:r>
              <w:rPr>
                <w:rFonts w:hint="eastAsia" w:ascii="Times New Roman" w:hAnsi="Times New Roman" w:eastAsia="宋体" w:cs="Times New Roman"/>
                <w:b w:val="0"/>
                <w:bCs w:val="0"/>
                <w:color w:val="auto"/>
                <w:kern w:val="2"/>
                <w:sz w:val="21"/>
                <w:szCs w:val="21"/>
                <w:u w:val="single"/>
                <w:lang w:val="en-US" w:eastAsia="zh-CN" w:bidi="ar-SA"/>
              </w:rPr>
              <w:t>本项目位于湖南岳阳绿色化工产业园区内，是岳阳市重点发展的工业园区，可见本项目符合岳阳市国民经济和社会发展第十三个五年规划纲要要求。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500" w:type="pct"/>
            <w:tcBorders>
              <w:tl2br w:val="nil"/>
              <w:tr2bl w:val="nil"/>
            </w:tcBorders>
            <w:vAlign w:val="center"/>
          </w:tcPr>
          <w:p>
            <w:pPr>
              <w:pStyle w:val="12"/>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vertAlign w:val="baseline"/>
                <w:lang w:val="en-US" w:eastAsia="zh-CN"/>
              </w:rPr>
            </w:pPr>
            <w:r>
              <w:rPr>
                <w:rFonts w:hint="eastAsia" w:ascii="Times New Roman" w:hAnsi="Times New Roman" w:eastAsia="宋体" w:cs="Times New Roman"/>
                <w:b w:val="0"/>
                <w:bCs w:val="0"/>
                <w:color w:val="auto"/>
                <w:kern w:val="2"/>
                <w:sz w:val="21"/>
                <w:szCs w:val="21"/>
                <w:u w:val="single"/>
                <w:lang w:val="en-US" w:eastAsia="zh-CN" w:bidi="ar-SA"/>
              </w:rPr>
              <w:t>《“十</w:t>
            </w:r>
            <w:r>
              <w:rPr>
                <w:rFonts w:hint="eastAsia" w:ascii="Times New Roman" w:hAnsi="Times New Roman" w:cs="Times New Roman"/>
                <w:b w:val="0"/>
                <w:bCs w:val="0"/>
                <w:color w:val="auto"/>
                <w:kern w:val="2"/>
                <w:sz w:val="21"/>
                <w:szCs w:val="21"/>
                <w:u w:val="single"/>
                <w:lang w:val="en-US" w:eastAsia="zh-CN" w:bidi="ar-SA"/>
              </w:rPr>
              <w:t>四</w:t>
            </w:r>
            <w:r>
              <w:rPr>
                <w:rFonts w:hint="eastAsia" w:ascii="Times New Roman" w:hAnsi="Times New Roman" w:eastAsia="宋体" w:cs="Times New Roman"/>
                <w:b w:val="0"/>
                <w:bCs w:val="0"/>
                <w:color w:val="auto"/>
                <w:kern w:val="2"/>
                <w:sz w:val="21"/>
                <w:szCs w:val="21"/>
                <w:u w:val="single"/>
                <w:lang w:val="en-US" w:eastAsia="zh-CN" w:bidi="ar-SA"/>
              </w:rPr>
              <w:t>五”挥发性有机物污染防治工作方案》相符性</w:t>
            </w:r>
          </w:p>
        </w:tc>
        <w:tc>
          <w:tcPr>
            <w:tcW w:w="2500" w:type="pct"/>
            <w:tcBorders>
              <w:tl2br w:val="nil"/>
              <w:tr2bl w:val="nil"/>
            </w:tcBorders>
            <w:vAlign w:val="center"/>
          </w:tcPr>
          <w:p>
            <w:pPr>
              <w:pStyle w:val="12"/>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vertAlign w:val="baseline"/>
                <w:lang w:val="en-US" w:eastAsia="zh-CN"/>
              </w:rPr>
            </w:pPr>
            <w:r>
              <w:rPr>
                <w:rFonts w:hint="eastAsia" w:ascii="Times New Roman" w:hAnsi="Times New Roman" w:eastAsia="宋体" w:cs="Times New Roman"/>
                <w:b w:val="0"/>
                <w:bCs w:val="0"/>
                <w:color w:val="auto"/>
                <w:kern w:val="2"/>
                <w:sz w:val="21"/>
                <w:szCs w:val="21"/>
                <w:u w:val="single"/>
                <w:lang w:val="en-US" w:eastAsia="zh-CN" w:bidi="ar-SA"/>
              </w:rPr>
              <w:t>本项目位于湖南岳阳绿色化工产业园区规划的用地内,项目符合工业园区入驻企业准入条件。本项目对工艺废气收集，采用“新建冷凝回收+活性炭收集+现有冷凝+碱液喷淋+炭吸收”废气处理后经20米高排气筒排放，可有效减少挥发性有机物的排放，实现达标排放。储罐区及投料区废气采用收集管道+喷淋塔+UV光解+</w:t>
            </w:r>
            <w:r>
              <w:rPr>
                <w:rFonts w:hint="eastAsia" w:ascii="Times New Roman" w:hAnsi="Times New Roman" w:cs="Times New Roman"/>
                <w:b w:val="0"/>
                <w:bCs w:val="0"/>
                <w:color w:val="auto"/>
                <w:kern w:val="2"/>
                <w:sz w:val="21"/>
                <w:szCs w:val="21"/>
                <w:u w:val="single"/>
                <w:lang w:val="en-US" w:eastAsia="zh-CN" w:bidi="ar-SA"/>
              </w:rPr>
              <w:t>两级</w:t>
            </w:r>
            <w:r>
              <w:rPr>
                <w:rFonts w:hint="eastAsia" w:ascii="Times New Roman" w:hAnsi="Times New Roman" w:eastAsia="宋体" w:cs="Times New Roman"/>
                <w:b w:val="0"/>
                <w:bCs w:val="0"/>
                <w:color w:val="auto"/>
                <w:kern w:val="2"/>
                <w:sz w:val="21"/>
                <w:szCs w:val="21"/>
                <w:u w:val="single"/>
                <w:lang w:val="en-US" w:eastAsia="zh-CN" w:bidi="ar-SA"/>
              </w:rPr>
              <w:t>活性炭吸附+15米</w:t>
            </w:r>
            <w:r>
              <w:rPr>
                <w:rFonts w:hint="eastAsia" w:ascii="Times New Roman" w:hAnsi="Times New Roman" w:cs="Times New Roman"/>
                <w:b w:val="0"/>
                <w:bCs w:val="0"/>
                <w:color w:val="auto"/>
                <w:kern w:val="2"/>
                <w:sz w:val="21"/>
                <w:szCs w:val="21"/>
                <w:u w:val="single"/>
                <w:lang w:val="en-US" w:eastAsia="zh-CN" w:bidi="ar-SA"/>
              </w:rPr>
              <w:t>高</w:t>
            </w:r>
            <w:r>
              <w:rPr>
                <w:rFonts w:hint="eastAsia" w:ascii="Times New Roman" w:hAnsi="Times New Roman" w:eastAsia="宋体" w:cs="Times New Roman"/>
                <w:b w:val="0"/>
                <w:bCs w:val="0"/>
                <w:color w:val="auto"/>
                <w:kern w:val="2"/>
                <w:sz w:val="21"/>
                <w:szCs w:val="21"/>
                <w:u w:val="single"/>
                <w:lang w:val="en-US" w:eastAsia="zh-CN" w:bidi="ar-SA"/>
              </w:rPr>
              <w:t>排气筒排放。生产装置区所有液体物料之间的转运均采用密闭管道运输，减少物料的泄露和损耗。本项目符合《“十</w:t>
            </w:r>
            <w:r>
              <w:rPr>
                <w:rFonts w:hint="eastAsia" w:ascii="Times New Roman" w:hAnsi="Times New Roman" w:cs="Times New Roman"/>
                <w:b w:val="0"/>
                <w:bCs w:val="0"/>
                <w:color w:val="auto"/>
                <w:kern w:val="2"/>
                <w:sz w:val="21"/>
                <w:szCs w:val="21"/>
                <w:u w:val="single"/>
                <w:lang w:val="en-US" w:eastAsia="zh-CN" w:bidi="ar-SA"/>
              </w:rPr>
              <w:t>四</w:t>
            </w:r>
            <w:r>
              <w:rPr>
                <w:rFonts w:hint="eastAsia" w:ascii="Times New Roman" w:hAnsi="Times New Roman" w:eastAsia="宋体" w:cs="Times New Roman"/>
                <w:b w:val="0"/>
                <w:bCs w:val="0"/>
                <w:color w:val="auto"/>
                <w:kern w:val="2"/>
                <w:sz w:val="21"/>
                <w:szCs w:val="21"/>
                <w:u w:val="single"/>
                <w:lang w:val="en-US" w:eastAsia="zh-CN" w:bidi="ar-SA"/>
              </w:rPr>
              <w:t>五”挥发性有机物污染防治工作方案》的相关规定。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500" w:type="pct"/>
            <w:tcBorders>
              <w:tl2br w:val="nil"/>
              <w:tr2bl w:val="nil"/>
            </w:tcBorders>
            <w:vAlign w:val="center"/>
          </w:tcPr>
          <w:p>
            <w:pPr>
              <w:pStyle w:val="12"/>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vertAlign w:val="baseline"/>
                <w:lang w:val="en-US" w:eastAsia="zh-CN"/>
              </w:rPr>
            </w:pPr>
            <w:r>
              <w:rPr>
                <w:rFonts w:hint="eastAsia" w:ascii="Times New Roman" w:hAnsi="Times New Roman" w:eastAsia="宋体" w:cs="Times New Roman"/>
                <w:b w:val="0"/>
                <w:bCs w:val="0"/>
                <w:color w:val="auto"/>
                <w:kern w:val="2"/>
                <w:sz w:val="21"/>
                <w:szCs w:val="21"/>
                <w:u w:val="single"/>
                <w:lang w:val="en-US" w:eastAsia="zh-CN" w:bidi="ar-SA"/>
              </w:rPr>
              <w:t>平面布局合理性分析</w:t>
            </w:r>
          </w:p>
        </w:tc>
        <w:tc>
          <w:tcPr>
            <w:tcW w:w="2500" w:type="pct"/>
            <w:tcBorders>
              <w:tl2br w:val="nil"/>
              <w:tr2bl w:val="nil"/>
            </w:tcBorders>
            <w:vAlign w:val="center"/>
          </w:tcPr>
          <w:p>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u w:val="single"/>
                <w:lang w:val="en-US" w:eastAsia="zh-CN" w:bidi="ar-SA"/>
              </w:rPr>
            </w:pPr>
            <w:r>
              <w:rPr>
                <w:rFonts w:hint="eastAsia" w:ascii="Times New Roman" w:hAnsi="Times New Roman" w:eastAsia="宋体" w:cs="Times New Roman"/>
                <w:b w:val="0"/>
                <w:bCs w:val="0"/>
                <w:color w:val="auto"/>
                <w:kern w:val="2"/>
                <w:sz w:val="21"/>
                <w:szCs w:val="21"/>
                <w:u w:val="single"/>
                <w:lang w:val="en-US" w:eastAsia="zh-CN" w:bidi="ar-SA"/>
              </w:rPr>
              <w:t>全厂生产装置布置配合工艺流线要求十分顺畅，布局紧凑、分区合理，管线短捷，物流合理。生产装置区周围均留有足够的空间，可满足施工用地及临时性建、构筑物等的用地。因此厂区分区布置的具体排布、生产车间内具体分区或设备定置等满足生产流畅性、生产管理方便的需要。厂区内主要噪声源噪声对环境影响较小。噪声方面分析平面布局较合理。</w:t>
            </w:r>
          </w:p>
          <w:p>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single"/>
                <w:lang w:val="en-US" w:eastAsia="zh-CN" w:bidi="ar-SA"/>
              </w:rPr>
            </w:pPr>
            <w:r>
              <w:rPr>
                <w:rFonts w:hint="eastAsia" w:ascii="Times New Roman" w:hAnsi="Times New Roman" w:eastAsia="宋体" w:cs="Times New Roman"/>
                <w:b w:val="0"/>
                <w:bCs w:val="0"/>
                <w:color w:val="auto"/>
                <w:kern w:val="2"/>
                <w:sz w:val="21"/>
                <w:szCs w:val="21"/>
                <w:u w:val="single"/>
                <w:lang w:val="en-US" w:eastAsia="zh-CN" w:bidi="ar-SA"/>
              </w:rPr>
              <w:t>环保方面，厂区内配套布置有污水处理厂，污水处理厂距离项目20m，管线安装距离较短，能第一时间对项目产生废水进行预处理。</w:t>
            </w:r>
          </w:p>
          <w:p>
            <w:pPr>
              <w:pStyle w:val="12"/>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vertAlign w:val="baseline"/>
                <w:lang w:val="en-US" w:eastAsia="zh-CN"/>
              </w:rPr>
            </w:pPr>
            <w:r>
              <w:rPr>
                <w:rFonts w:hint="eastAsia" w:ascii="Times New Roman" w:hAnsi="Times New Roman" w:eastAsia="宋体" w:cs="Times New Roman"/>
                <w:b w:val="0"/>
                <w:bCs w:val="0"/>
                <w:color w:val="auto"/>
                <w:kern w:val="2"/>
                <w:sz w:val="21"/>
                <w:szCs w:val="21"/>
                <w:u w:val="single"/>
                <w:lang w:val="en-US" w:eastAsia="zh-CN" w:bidi="ar-SA"/>
              </w:rPr>
              <w:t>综上，项目平面布置较为合理。</w:t>
            </w:r>
          </w:p>
        </w:tc>
      </w:tr>
    </w:tbl>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hint="eastAsia" w:ascii="Times New Roman" w:hAnsi="Times New Roman" w:eastAsia="宋体" w:cs="Times New Roman"/>
          <w:b/>
          <w:color w:val="auto"/>
          <w:kern w:val="2"/>
          <w:sz w:val="28"/>
          <w:szCs w:val="22"/>
          <w:lang w:val="en-US" w:eastAsia="zh-CN" w:bidi="ar-SA"/>
        </w:rPr>
      </w:pPr>
      <w:bookmarkStart w:id="24" w:name="_Toc22415"/>
      <w:bookmarkStart w:id="25" w:name="_Toc40549324"/>
      <w:r>
        <w:rPr>
          <w:rFonts w:hint="eastAsia" w:ascii="Times New Roman" w:hAnsi="Times New Roman" w:eastAsia="宋体" w:cs="Times New Roman"/>
          <w:b/>
          <w:color w:val="auto"/>
          <w:kern w:val="2"/>
          <w:sz w:val="28"/>
          <w:szCs w:val="22"/>
          <w:lang w:val="en-US" w:eastAsia="zh-CN" w:bidi="ar-SA"/>
        </w:rPr>
        <w:t>1.5.1“三线一单”符合性分析</w:t>
      </w:r>
      <w:bookmarkEnd w:id="24"/>
    </w:p>
    <w:p>
      <w:pPr>
        <w:widowControl w:val="0"/>
        <w:bidi w:val="0"/>
        <w:spacing w:before="20" w:line="360" w:lineRule="auto"/>
        <w:ind w:firstLine="480" w:firstLineChars="200"/>
        <w:jc w:val="both"/>
        <w:rPr>
          <w:rFonts w:hint="default" w:ascii="Times New Roman" w:hAnsi="Times New Roman" w:eastAsia="宋体" w:cs="Times New Roman"/>
          <w:color w:val="auto"/>
          <w:kern w:val="2"/>
          <w:sz w:val="24"/>
          <w:szCs w:val="20"/>
          <w:u w:val="single"/>
          <w:lang w:val="en-US" w:eastAsia="zh-CN" w:bidi="ar-SA"/>
        </w:rPr>
      </w:pPr>
      <w:r>
        <w:rPr>
          <w:rFonts w:hint="default" w:ascii="Times New Roman" w:hAnsi="Times New Roman" w:eastAsia="宋体" w:cs="Times New Roman"/>
          <w:color w:val="auto"/>
          <w:kern w:val="2"/>
          <w:sz w:val="24"/>
          <w:szCs w:val="20"/>
          <w:u w:val="single"/>
          <w:lang w:val="zh-CN" w:eastAsia="zh-CN" w:bidi="ar-SA"/>
        </w:rPr>
        <w:t>本项目与</w:t>
      </w:r>
      <w:r>
        <w:rPr>
          <w:rFonts w:hint="eastAsia" w:ascii="Times New Roman" w:hAnsi="Times New Roman" w:eastAsia="宋体" w:cs="Times New Roman"/>
          <w:color w:val="auto"/>
          <w:kern w:val="2"/>
          <w:sz w:val="24"/>
          <w:szCs w:val="20"/>
          <w:u w:val="single"/>
          <w:lang w:val="en-US" w:eastAsia="zh-CN" w:bidi="ar-SA"/>
        </w:rPr>
        <w:t>《湖南省关于实施“三线一单”生态环境分区管控的意见》和《</w:t>
      </w:r>
      <w:r>
        <w:rPr>
          <w:rFonts w:hint="eastAsia" w:ascii="Times New Roman" w:hAnsi="Times New Roman" w:eastAsia="宋体" w:cs="Times New Roman"/>
          <w:color w:val="auto"/>
          <w:sz w:val="24"/>
          <w:u w:val="single"/>
        </w:rPr>
        <w:t>湖南省“三线一单”生态环境总体管控要求暨省级以上产业园区生态环境准入清单</w:t>
      </w:r>
      <w:r>
        <w:rPr>
          <w:rFonts w:hint="eastAsia" w:ascii="Times New Roman" w:hAnsi="Times New Roman" w:eastAsia="宋体" w:cs="Times New Roman"/>
          <w:color w:val="auto"/>
          <w:kern w:val="2"/>
          <w:sz w:val="24"/>
          <w:szCs w:val="20"/>
          <w:u w:val="single"/>
          <w:lang w:val="en-US" w:eastAsia="zh-CN" w:bidi="ar-SA"/>
        </w:rPr>
        <w:t>》</w:t>
      </w:r>
      <w:r>
        <w:rPr>
          <w:rFonts w:hint="default" w:ascii="Times New Roman" w:hAnsi="Times New Roman" w:eastAsia="宋体" w:cs="Times New Roman"/>
          <w:color w:val="auto"/>
          <w:kern w:val="2"/>
          <w:sz w:val="24"/>
          <w:szCs w:val="20"/>
          <w:u w:val="single"/>
          <w:lang w:val="zh-CN" w:eastAsia="zh-CN" w:bidi="ar-SA"/>
        </w:rPr>
        <w:t>的符合性分析见下表：</w:t>
      </w:r>
    </w:p>
    <w:p>
      <w:pPr>
        <w:widowControl w:val="0"/>
        <w:bidi w:val="0"/>
        <w:spacing w:line="360" w:lineRule="auto"/>
        <w:jc w:val="center"/>
        <w:rPr>
          <w:rFonts w:hint="default" w:ascii="Times New Roman" w:hAnsi="Times New Roman" w:eastAsia="宋体" w:cs="Times New Roman"/>
          <w:b/>
          <w:color w:val="auto"/>
          <w:kern w:val="2"/>
          <w:sz w:val="24"/>
          <w:szCs w:val="22"/>
          <w:lang w:val="en-US" w:eastAsia="zh-CN" w:bidi="ar-SA"/>
        </w:rPr>
      </w:pPr>
      <w:r>
        <w:rPr>
          <w:rFonts w:hint="eastAsia" w:ascii="Times New Roman" w:hAnsi="Times New Roman" w:eastAsia="宋体" w:cs="Times New Roman"/>
          <w:b/>
          <w:color w:val="auto"/>
          <w:kern w:val="2"/>
          <w:sz w:val="24"/>
          <w:szCs w:val="22"/>
          <w:lang w:val="en-US" w:eastAsia="zh-CN" w:bidi="ar-SA"/>
        </w:rPr>
        <w:t>表1.5-2“三线一单”符合性分析</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79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内容</w:t>
            </w:r>
          </w:p>
        </w:tc>
        <w:tc>
          <w:tcPr>
            <w:tcW w:w="464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生态保护红线</w:t>
            </w:r>
          </w:p>
        </w:tc>
        <w:tc>
          <w:tcPr>
            <w:tcW w:w="464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本项目位于湖南岳阳绿色化工产业园，属于依法设立的工业园，根据云溪区生态保护红线分布图，本项目不在云溪区生态保护红线内，符合生态保护红线要求。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资源利用上线</w:t>
            </w:r>
          </w:p>
        </w:tc>
        <w:tc>
          <w:tcPr>
            <w:tcW w:w="464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营运过程中消耗一定量的电源、水资源等资源消耗，不属于高能耗、高物耗、高水耗和产能过剩、低水平重复建设项目，本项目资源消耗量相对区域资源利用总量较少，项目所在地属于工业用地，不涉及基本农田，土地资源消耗符合要求，项目符合资源利用上线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环境质量底线</w:t>
            </w:r>
          </w:p>
        </w:tc>
        <w:tc>
          <w:tcPr>
            <w:tcW w:w="464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根据《岳阳市2019年度环境质量公报》，项目区为环境空气质量不达标区，不达标的主要污染物为O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lang w:val="en-US" w:eastAsia="zh-CN" w:bidi="ar-SA"/>
              </w:rPr>
              <w:t>和PM</w:t>
            </w:r>
            <w:r>
              <w:rPr>
                <w:rFonts w:hint="default" w:ascii="Times New Roman" w:hAnsi="Times New Roman" w:eastAsia="宋体" w:cs="Times New Roman"/>
                <w:color w:val="auto"/>
                <w:kern w:val="2"/>
                <w:sz w:val="21"/>
                <w:szCs w:val="21"/>
                <w:vertAlign w:val="subscript"/>
                <w:lang w:val="en-US" w:eastAsia="zh-CN" w:bidi="ar-SA"/>
              </w:rPr>
              <w:t>2.5</w:t>
            </w:r>
            <w:r>
              <w:rPr>
                <w:rFonts w:hint="default" w:ascii="Times New Roman" w:hAnsi="Times New Roman" w:eastAsia="宋体" w:cs="Times New Roman"/>
                <w:color w:val="auto"/>
                <w:kern w:val="2"/>
                <w:sz w:val="21"/>
                <w:szCs w:val="21"/>
                <w:lang w:val="en-US" w:eastAsia="zh-CN" w:bidi="ar-SA"/>
              </w:rPr>
              <w:t>，本项且厂界外浓度值满足《环境影响评价技术导则大气环境》(HJ2.2-2018) 及《大气环境质量标准》(GB3838-2002) 标准要求。项目污染物经本评价提出的污染防治措施处理后均能达标排放，不会导致当地的区域环境质量下降，区域环境质量基本能维持现状，符合环境质量底线要求。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负面清单</w:t>
            </w:r>
          </w:p>
        </w:tc>
        <w:tc>
          <w:tcPr>
            <w:tcW w:w="464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snapToGrid w:val="0"/>
                <w:color w:val="auto"/>
                <w:sz w:val="21"/>
                <w:szCs w:val="21"/>
                <w:u w:val="single"/>
              </w:rPr>
              <w:t>湖南岳阳绿色化工产业园（云溪片区）已编制完成《湖南岳阳绿色化工产业园产业项目准入禁限（控）目录（试行）》，其中设置禁止类目录八类，以及国家发改委《产业结构调整指导目录》中淘汰类产品、产能和装置一律禁止，国家有最新规定的按新规定办理，限制（控制）类目录三类。本项目建设内容符合湖南岳阳绿色化工产业园（云溪片区）的发展方向和产业定位，属于规划的主导产业。本项目属于《产业结构调整指导目录》（2019年本）的允许类，因此，</w:t>
            </w:r>
            <w:r>
              <w:rPr>
                <w:rFonts w:hint="default" w:ascii="Times New Roman" w:hAnsi="Times New Roman" w:cs="Times New Roman"/>
                <w:snapToGrid w:val="0"/>
                <w:color w:val="auto"/>
                <w:sz w:val="21"/>
                <w:szCs w:val="21"/>
                <w:u w:val="single"/>
                <w:lang w:eastAsia="zh-CN"/>
              </w:rPr>
              <w:t>不</w:t>
            </w:r>
            <w:r>
              <w:rPr>
                <w:rFonts w:hint="default" w:ascii="Times New Roman" w:hAnsi="Times New Roman" w:eastAsia="宋体" w:cs="Times New Roman"/>
                <w:snapToGrid w:val="0"/>
                <w:color w:val="auto"/>
                <w:sz w:val="21"/>
                <w:szCs w:val="21"/>
                <w:u w:val="single"/>
              </w:rPr>
              <w:t>违背区域环境准入负面清单内容</w:t>
            </w:r>
            <w:r>
              <w:rPr>
                <w:rFonts w:hint="default" w:ascii="Times New Roman" w:hAnsi="Times New Roman" w:eastAsia="宋体" w:cs="Times New Roman"/>
                <w:snapToGrid w:val="0"/>
                <w:color w:val="auto"/>
                <w:sz w:val="21"/>
                <w:szCs w:val="21"/>
                <w:u w:val="single"/>
                <w:lang w:eastAsia="zh-CN"/>
              </w:rPr>
              <w:t>。</w:t>
            </w:r>
          </w:p>
        </w:tc>
      </w:tr>
    </w:tbl>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single"/>
          <w:lang w:val="en-US" w:eastAsia="zh-CN" w:bidi="ar-SA"/>
        </w:rPr>
      </w:pPr>
      <w:bookmarkStart w:id="26" w:name="_Toc25157"/>
      <w:r>
        <w:rPr>
          <w:rFonts w:hint="eastAsia" w:ascii="Times New Roman" w:hAnsi="Times New Roman" w:eastAsia="宋体" w:cs="Times New Roman"/>
          <w:color w:val="auto"/>
          <w:kern w:val="2"/>
          <w:sz w:val="24"/>
          <w:szCs w:val="20"/>
          <w:u w:val="single"/>
          <w:lang w:val="en-US" w:eastAsia="zh-CN" w:bidi="ar-SA"/>
        </w:rPr>
        <w:t>项目与《湖南省“三线一单”生态环境总体管控要求暨省级以上产业园区生态环境准入清单》符合性分析</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ascii="Times New Roman" w:hAnsi="Times New Roman" w:eastAsia="宋体" w:cs="Times New Roman"/>
          <w:b/>
          <w:color w:val="auto"/>
          <w:sz w:val="24"/>
          <w:szCs w:val="24"/>
          <w:u w:val="single"/>
        </w:rPr>
      </w:pPr>
      <w:r>
        <w:rPr>
          <w:rFonts w:ascii="Times New Roman" w:hAnsi="Times New Roman" w:eastAsia="宋体" w:cs="Times New Roman"/>
          <w:b/>
          <w:color w:val="auto"/>
          <w:sz w:val="24"/>
          <w:szCs w:val="24"/>
          <w:u w:val="single"/>
        </w:rPr>
        <w:t>表1.</w:t>
      </w:r>
      <w:r>
        <w:rPr>
          <w:rFonts w:hint="eastAsia" w:cs="Times New Roman"/>
          <w:b/>
          <w:color w:val="auto"/>
          <w:sz w:val="24"/>
          <w:szCs w:val="24"/>
          <w:u w:val="single"/>
          <w:lang w:val="en-US" w:eastAsia="zh-CN"/>
        </w:rPr>
        <w:t>5</w:t>
      </w:r>
      <w:r>
        <w:rPr>
          <w:rFonts w:hint="eastAsia" w:ascii="Times New Roman" w:hAnsi="Times New Roman" w:eastAsia="宋体" w:cs="Times New Roman"/>
          <w:b/>
          <w:color w:val="auto"/>
          <w:sz w:val="24"/>
          <w:szCs w:val="24"/>
          <w:u w:val="single"/>
        </w:rPr>
        <w:t>-</w:t>
      </w:r>
      <w:r>
        <w:rPr>
          <w:rFonts w:hint="eastAsia" w:cs="Times New Roman"/>
          <w:b/>
          <w:color w:val="auto"/>
          <w:sz w:val="24"/>
          <w:szCs w:val="24"/>
          <w:u w:val="single"/>
          <w:lang w:val="en-US" w:eastAsia="zh-CN"/>
        </w:rPr>
        <w:t>3</w:t>
      </w:r>
      <w:r>
        <w:rPr>
          <w:rFonts w:ascii="Times New Roman" w:hAnsi="Times New Roman" w:eastAsia="宋体" w:cs="Times New Roman"/>
          <w:b/>
          <w:color w:val="auto"/>
          <w:sz w:val="24"/>
          <w:szCs w:val="24"/>
          <w:u w:val="single"/>
        </w:rPr>
        <w:t xml:space="preserve">  项目与</w:t>
      </w:r>
      <w:r>
        <w:rPr>
          <w:rFonts w:hint="eastAsia" w:ascii="Times New Roman" w:hAnsi="Times New Roman" w:eastAsia="宋体" w:cs="Times New Roman"/>
          <w:b/>
          <w:color w:val="auto"/>
          <w:sz w:val="24"/>
          <w:szCs w:val="24"/>
          <w:u w:val="single"/>
        </w:rPr>
        <w:t>产业园区生态环境准入清单相符性</w:t>
      </w:r>
      <w:r>
        <w:rPr>
          <w:rFonts w:ascii="Times New Roman" w:hAnsi="Times New Roman" w:eastAsia="宋体" w:cs="Times New Roman"/>
          <w:b/>
          <w:color w:val="auto"/>
          <w:sz w:val="24"/>
          <w:szCs w:val="24"/>
          <w:u w:val="single"/>
        </w:rPr>
        <w:t>分析表</w:t>
      </w:r>
    </w:p>
    <w:tbl>
      <w:tblPr>
        <w:tblStyle w:val="27"/>
        <w:tblW w:w="4849" w:type="pct"/>
        <w:tblInd w:w="9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3866"/>
        <w:gridCol w:w="37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1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val="0"/>
                <w:color w:val="auto"/>
                <w:kern w:val="0"/>
                <w:sz w:val="21"/>
                <w:szCs w:val="21"/>
                <w:u w:val="single"/>
                <w:lang w:val="en-US" w:eastAsia="zh-CN" w:bidi="zh-CN"/>
              </w:rPr>
            </w:pPr>
            <w:r>
              <w:rPr>
                <w:rFonts w:hint="default" w:ascii="Times New Roman" w:hAnsi="Times New Roman" w:eastAsia="宋体" w:cs="Times New Roman"/>
                <w:color w:val="auto"/>
                <w:kern w:val="0"/>
                <w:sz w:val="21"/>
                <w:szCs w:val="21"/>
                <w:u w:val="single"/>
                <w:lang w:val="zh-CN" w:bidi="zh-CN"/>
              </w:rPr>
              <w:t>管控维度</w:t>
            </w:r>
          </w:p>
        </w:tc>
        <w:tc>
          <w:tcPr>
            <w:tcW w:w="23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val="0"/>
                <w:color w:val="auto"/>
                <w:kern w:val="0"/>
                <w:sz w:val="21"/>
                <w:szCs w:val="21"/>
                <w:u w:val="single"/>
                <w:lang w:val="en-US" w:eastAsia="zh-CN" w:bidi="zh-CN"/>
              </w:rPr>
            </w:pPr>
            <w:r>
              <w:rPr>
                <w:rFonts w:hint="default" w:ascii="Times New Roman" w:hAnsi="Times New Roman" w:eastAsia="宋体" w:cs="Times New Roman"/>
                <w:bCs w:val="0"/>
                <w:color w:val="auto"/>
                <w:kern w:val="0"/>
                <w:sz w:val="21"/>
                <w:szCs w:val="21"/>
                <w:u w:val="single"/>
                <w:lang w:val="en-US" w:eastAsia="zh-CN" w:bidi="zh-CN"/>
              </w:rPr>
              <w:t>管控要求</w:t>
            </w:r>
          </w:p>
        </w:tc>
        <w:tc>
          <w:tcPr>
            <w:tcW w:w="224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val="0"/>
                <w:color w:val="auto"/>
                <w:kern w:val="0"/>
                <w:sz w:val="21"/>
                <w:szCs w:val="21"/>
                <w:u w:val="single"/>
                <w:lang w:val="en-US" w:eastAsia="zh-CN" w:bidi="zh-CN"/>
              </w:rPr>
            </w:pPr>
            <w:r>
              <w:rPr>
                <w:rFonts w:hint="default" w:ascii="Times New Roman" w:hAnsi="Times New Roman" w:eastAsia="宋体" w:cs="Times New Roman"/>
                <w:bCs w:val="0"/>
                <w:color w:val="auto"/>
                <w:kern w:val="0"/>
                <w:sz w:val="21"/>
                <w:szCs w:val="21"/>
                <w:u w:val="single"/>
                <w:lang w:val="en-US" w:eastAsia="zh-CN" w:bidi="zh-CN"/>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1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val="0"/>
                <w:color w:val="auto"/>
                <w:kern w:val="0"/>
                <w:sz w:val="21"/>
                <w:szCs w:val="21"/>
                <w:u w:val="single"/>
                <w:lang w:val="en-US" w:eastAsia="zh-CN" w:bidi="zh-CN"/>
              </w:rPr>
            </w:pPr>
            <w:r>
              <w:rPr>
                <w:rFonts w:hint="default" w:ascii="Times New Roman" w:hAnsi="Times New Roman" w:eastAsia="宋体" w:cs="Times New Roman"/>
                <w:bCs w:val="0"/>
                <w:color w:val="auto"/>
                <w:kern w:val="0"/>
                <w:sz w:val="21"/>
                <w:szCs w:val="21"/>
                <w:u w:val="single"/>
                <w:lang w:val="en-US" w:eastAsia="zh-CN" w:bidi="zh-CN"/>
              </w:rPr>
              <w:t>空间布局约束</w:t>
            </w:r>
          </w:p>
        </w:tc>
        <w:tc>
          <w:tcPr>
            <w:tcW w:w="23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u w:val="single"/>
                <w:lang w:val="en-US" w:eastAsia="zh-CN" w:bidi="zh-CN"/>
              </w:rPr>
            </w:pPr>
            <w:r>
              <w:rPr>
                <w:rFonts w:hint="default" w:ascii="Times New Roman" w:hAnsi="Times New Roman" w:eastAsia="宋体" w:cs="Times New Roman"/>
                <w:color w:val="auto"/>
                <w:kern w:val="0"/>
                <w:sz w:val="21"/>
                <w:szCs w:val="21"/>
                <w:u w:val="single"/>
                <w:lang w:val="en-US" w:eastAsia="zh-CN" w:bidi="zh-CN"/>
              </w:rPr>
              <w:t>（1.1）将以气型污染为主的工业项目规划布置在远离岳阳中心城区的区域，并充分利用白泥湖、肖田湖和洋溪湖及其周边保护地带做好各功能区之间的防护隔离。</w:t>
            </w:r>
          </w:p>
          <w:p>
            <w:pPr>
              <w:pStyle w:val="42"/>
              <w:keepNext w:val="0"/>
              <w:keepLines w:val="0"/>
              <w:pageBreakBefore w:val="0"/>
              <w:widowControl/>
              <w:kinsoku/>
              <w:wordWrap/>
              <w:overflowPunct/>
              <w:topLinePunct w:val="0"/>
              <w:bidi w:val="0"/>
              <w:adjustRightInd/>
              <w:snapToGrid/>
              <w:ind w:firstLine="420" w:firstLineChars="200"/>
              <w:jc w:val="both"/>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rPr>
              <w:t>（1.2）严格限制新引进涉及省外危险固废的处理利用项目，严格依据园区污水处理厂处理能力来控制产业规模，禁止超处理能力引进大规模涉水排放企业。</w:t>
            </w:r>
          </w:p>
        </w:tc>
        <w:tc>
          <w:tcPr>
            <w:tcW w:w="2244" w:type="pct"/>
            <w:tcBorders>
              <w:tl2br w:val="nil"/>
              <w:tr2bl w:val="nil"/>
            </w:tcBorders>
            <w:noWrap w:val="0"/>
            <w:vAlign w:val="center"/>
          </w:tcPr>
          <w:p>
            <w:pPr>
              <w:pStyle w:val="47"/>
              <w:keepNext w:val="0"/>
              <w:keepLines w:val="0"/>
              <w:pageBreakBefore w:val="0"/>
              <w:widowControl/>
              <w:kinsoku/>
              <w:wordWrap/>
              <w:overflowPunct/>
              <w:topLinePunct w:val="0"/>
              <w:bidi w:val="0"/>
              <w:adjustRightInd/>
              <w:snapToGrid/>
              <w:ind w:left="0" w:leftChars="0" w:firstLine="420" w:firstLineChars="200"/>
              <w:jc w:val="both"/>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val="en-US" w:eastAsia="zh-CN"/>
              </w:rPr>
              <w:t>（1.1）本项目是主要以气型污染为主的项目，本项目规划布置在远离岳阳中心城区的区域（岳阳绿色产业化工园云溪片区），</w:t>
            </w:r>
            <w:r>
              <w:rPr>
                <w:rFonts w:hint="default" w:ascii="Times New Roman" w:hAnsi="Times New Roman" w:eastAsia="宋体" w:cs="Times New Roman"/>
                <w:color w:val="auto"/>
                <w:sz w:val="21"/>
                <w:szCs w:val="21"/>
                <w:u w:val="single"/>
              </w:rPr>
              <w:t>项目充分利用</w:t>
            </w:r>
            <w:r>
              <w:rPr>
                <w:rFonts w:hint="default" w:ascii="Times New Roman" w:hAnsi="Times New Roman" w:eastAsia="宋体" w:cs="Times New Roman"/>
                <w:color w:val="auto"/>
                <w:sz w:val="21"/>
                <w:szCs w:val="21"/>
                <w:u w:val="single"/>
                <w:lang w:eastAsia="zh-CN"/>
              </w:rPr>
              <w:t>了</w:t>
            </w:r>
            <w:r>
              <w:rPr>
                <w:rFonts w:hint="default" w:ascii="Times New Roman" w:hAnsi="Times New Roman" w:eastAsia="宋体" w:cs="Times New Roman"/>
                <w:color w:val="auto"/>
                <w:sz w:val="21"/>
                <w:szCs w:val="21"/>
                <w:u w:val="single"/>
              </w:rPr>
              <w:t>白泥湖、肖田湖和洋溪湖及其周边保护地带做好各功能区之间的防护隔离。</w:t>
            </w:r>
          </w:p>
          <w:p>
            <w:pPr>
              <w:pStyle w:val="47"/>
              <w:keepNext w:val="0"/>
              <w:keepLines w:val="0"/>
              <w:pageBreakBefore w:val="0"/>
              <w:widowControl/>
              <w:kinsoku/>
              <w:wordWrap/>
              <w:overflowPunct/>
              <w:topLinePunct w:val="0"/>
              <w:bidi w:val="0"/>
              <w:adjustRightInd/>
              <w:snapToGrid/>
              <w:ind w:left="0" w:leftChars="0" w:firstLine="420" w:firstLineChars="200"/>
              <w:jc w:val="both"/>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rPr>
              <w:t>（1.2）</w:t>
            </w:r>
            <w:r>
              <w:rPr>
                <w:rFonts w:hint="default" w:ascii="Times New Roman" w:hAnsi="Times New Roman" w:eastAsia="宋体" w:cs="Times New Roman"/>
                <w:color w:val="auto"/>
                <w:sz w:val="21"/>
                <w:szCs w:val="21"/>
                <w:u w:val="single"/>
                <w:lang w:eastAsia="zh-CN"/>
              </w:rPr>
              <w:t>本项目属于</w:t>
            </w:r>
            <w:r>
              <w:rPr>
                <w:rFonts w:hint="eastAsia" w:ascii="Times New Roman" w:cs="Times New Roman"/>
                <w:color w:val="auto"/>
                <w:sz w:val="21"/>
                <w:szCs w:val="21"/>
                <w:u w:val="single"/>
                <w:lang w:eastAsia="zh-CN"/>
              </w:rPr>
              <w:t>石油</w:t>
            </w:r>
            <w:r>
              <w:rPr>
                <w:rFonts w:hint="default" w:ascii="Times New Roman" w:hAnsi="Times New Roman" w:eastAsia="宋体" w:cs="Times New Roman"/>
                <w:color w:val="auto"/>
                <w:sz w:val="21"/>
                <w:szCs w:val="21"/>
                <w:u w:val="single"/>
                <w:lang w:eastAsia="zh-CN"/>
              </w:rPr>
              <w:t>化工行业，不属于</w:t>
            </w:r>
            <w:r>
              <w:rPr>
                <w:rFonts w:hint="default" w:ascii="Times New Roman" w:hAnsi="Times New Roman" w:eastAsia="宋体" w:cs="Times New Roman"/>
                <w:color w:val="auto"/>
                <w:sz w:val="21"/>
                <w:szCs w:val="21"/>
                <w:u w:val="single"/>
              </w:rPr>
              <w:t>严格限制新引进涉及省外危险固废的处理利用项目</w:t>
            </w:r>
            <w:r>
              <w:rPr>
                <w:rFonts w:hint="default" w:ascii="Times New Roman" w:hAnsi="Times New Roman" w:eastAsia="宋体" w:cs="Times New Roman"/>
                <w:color w:val="auto"/>
                <w:sz w:val="21"/>
                <w:szCs w:val="21"/>
                <w:u w:val="single"/>
                <w:lang w:eastAsia="zh-CN"/>
              </w:rPr>
              <w:t>，本项目未依据园区污水处理厂处理能力来控制产业规模，本项目不属于</w:t>
            </w:r>
            <w:r>
              <w:rPr>
                <w:rFonts w:hint="default" w:ascii="Times New Roman" w:hAnsi="Times New Roman" w:eastAsia="宋体" w:cs="Times New Roman"/>
                <w:color w:val="auto"/>
                <w:sz w:val="21"/>
                <w:szCs w:val="21"/>
                <w:u w:val="single"/>
              </w:rPr>
              <w:t>超处理能力引进大规模涉水排放企业。。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1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val="0"/>
                <w:color w:val="auto"/>
                <w:kern w:val="0"/>
                <w:sz w:val="21"/>
                <w:szCs w:val="21"/>
                <w:u w:val="single"/>
                <w:lang w:val="en-US" w:eastAsia="zh-CN" w:bidi="zh-CN"/>
              </w:rPr>
            </w:pPr>
            <w:r>
              <w:rPr>
                <w:rFonts w:hint="default" w:ascii="Times New Roman" w:hAnsi="Times New Roman" w:eastAsia="宋体" w:cs="Times New Roman"/>
                <w:bCs w:val="0"/>
                <w:color w:val="auto"/>
                <w:kern w:val="0"/>
                <w:sz w:val="21"/>
                <w:szCs w:val="21"/>
                <w:u w:val="single"/>
                <w:lang w:val="en-US" w:eastAsia="zh-CN" w:bidi="zh-CN"/>
              </w:rPr>
              <w:t>污染物排放管控</w:t>
            </w:r>
          </w:p>
        </w:tc>
        <w:tc>
          <w:tcPr>
            <w:tcW w:w="23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u w:val="single"/>
                <w:lang w:val="zh-CN" w:bidi="zh-CN"/>
              </w:rPr>
            </w:pPr>
            <w:r>
              <w:rPr>
                <w:rFonts w:hint="default" w:ascii="Times New Roman" w:hAnsi="Times New Roman" w:eastAsia="宋体" w:cs="Times New Roman"/>
                <w:color w:val="auto"/>
                <w:kern w:val="0"/>
                <w:sz w:val="21"/>
                <w:szCs w:val="21"/>
                <w:u w:val="single"/>
                <w:lang w:val="zh-CN" w:bidi="zh-CN"/>
              </w:rPr>
              <w:t>（2.1）废水：云溪片区：污水通过园区污水管网进入云溪污水处理厂处理达标后排入长江，污水处理厂尾水排口位于长江监利段四大家鱼国家级水产种质资源保护区实验区内，要求加快园区排污口扩建的论证和申报审批，进一步完善园区排污口扩建的相关合法化手续，园区调扩区排污口扩建未通过审批之前，新增废水排放的项目不得投入生产；片区雨水通过园区雨水管网排入</w:t>
            </w:r>
            <w:r>
              <w:rPr>
                <w:rFonts w:hint="eastAsia" w:ascii="Times New Roman" w:hAnsi="Times New Roman" w:eastAsia="宋体" w:cs="Times New Roman"/>
                <w:color w:val="auto"/>
                <w:kern w:val="0"/>
                <w:sz w:val="21"/>
                <w:szCs w:val="21"/>
                <w:u w:val="single"/>
                <w:lang w:val="zh-CN" w:bidi="zh-CN"/>
              </w:rPr>
              <w:t>松杨湖</w:t>
            </w:r>
            <w:r>
              <w:rPr>
                <w:rFonts w:hint="default" w:ascii="Times New Roman" w:hAnsi="Times New Roman" w:eastAsia="宋体" w:cs="Times New Roman"/>
                <w:color w:val="auto"/>
                <w:kern w:val="0"/>
                <w:sz w:val="21"/>
                <w:szCs w:val="21"/>
                <w:u w:val="single"/>
                <w:lang w:val="zh-CN" w:bidi="zh-CN"/>
              </w:rPr>
              <w:t>。</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right="0" w:firstLine="420" w:firstLineChars="200"/>
              <w:jc w:val="both"/>
              <w:textAlignment w:val="auto"/>
              <w:rPr>
                <w:rFonts w:hint="default" w:ascii="Times New Roman" w:hAnsi="Times New Roman" w:eastAsia="宋体" w:cs="Times New Roman"/>
                <w:color w:val="auto"/>
                <w:kern w:val="0"/>
                <w:sz w:val="21"/>
                <w:szCs w:val="21"/>
                <w:u w:val="single"/>
                <w:lang w:val="zh-CN" w:bidi="zh-CN"/>
              </w:rPr>
            </w:pPr>
            <w:r>
              <w:rPr>
                <w:rFonts w:hint="default" w:ascii="Times New Roman" w:hAnsi="Times New Roman" w:eastAsia="宋体" w:cs="Times New Roman"/>
                <w:color w:val="auto"/>
                <w:kern w:val="0"/>
                <w:sz w:val="21"/>
                <w:szCs w:val="21"/>
                <w:u w:val="single"/>
                <w:lang w:val="zh-CN" w:bidi="zh-CN"/>
              </w:rPr>
              <w:t>（2.2）废气：开展重点行业、重点企业VOCs治理，尽快完成VOCs治理工程，完成挥发性有机物治理重点项目整治。石化、化工等VOCs排放重点源安装污染物排放自动监测设备。</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right="0" w:firstLine="420" w:firstLineChars="200"/>
              <w:jc w:val="both"/>
              <w:textAlignment w:val="auto"/>
              <w:rPr>
                <w:rFonts w:hint="default" w:ascii="Times New Roman" w:hAnsi="Times New Roman" w:eastAsia="宋体" w:cs="Times New Roman"/>
                <w:color w:val="auto"/>
                <w:kern w:val="0"/>
                <w:sz w:val="21"/>
                <w:szCs w:val="21"/>
                <w:u w:val="single"/>
                <w:lang w:val="zh-CN" w:bidi="zh-CN"/>
              </w:rPr>
            </w:pPr>
            <w:r>
              <w:rPr>
                <w:rFonts w:hint="default" w:ascii="Times New Roman" w:hAnsi="Times New Roman" w:eastAsia="宋体" w:cs="Times New Roman"/>
                <w:color w:val="auto"/>
                <w:kern w:val="0"/>
                <w:sz w:val="21"/>
                <w:szCs w:val="21"/>
                <w:u w:val="single"/>
                <w:lang w:val="zh-CN" w:bidi="zh-CN"/>
              </w:rPr>
              <w:t>（2.3）固体废弃物：采取全流程管控措施，建立园区固废规范化管理体系，做好工业固体废物和生活垃圾的分类收集、转运、综合利用和无害化处理。对各类工业企业产生固体废物特别是危险固废严格按照国家有关规定综合利用或妥善处置，强化危险废物产生企业和经营单位日常环境监管。</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u w:val="single"/>
                <w:lang w:val="zh-CN" w:bidi="zh-CN"/>
              </w:rPr>
            </w:pPr>
            <w:r>
              <w:rPr>
                <w:rFonts w:hint="default" w:ascii="Times New Roman" w:hAnsi="Times New Roman" w:eastAsia="宋体" w:cs="Times New Roman"/>
                <w:color w:val="auto"/>
                <w:kern w:val="0"/>
                <w:sz w:val="21"/>
                <w:szCs w:val="21"/>
                <w:u w:val="single"/>
                <w:lang w:val="zh-CN" w:bidi="zh-CN"/>
              </w:rPr>
              <w:t>（2.4）云溪片区：针对园区高浓度渗水污染问题，园区必须长期对企业渗滤液进行收集处理，并完成地下水治理方案编制工作和完成地下水治理工作。</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Cs w:val="0"/>
                <w:color w:val="auto"/>
                <w:kern w:val="0"/>
                <w:sz w:val="21"/>
                <w:szCs w:val="21"/>
                <w:u w:val="single"/>
                <w:lang w:val="en-US" w:eastAsia="zh-CN" w:bidi="zh-CN"/>
              </w:rPr>
            </w:pPr>
            <w:r>
              <w:rPr>
                <w:rFonts w:hint="default" w:ascii="Times New Roman" w:hAnsi="Times New Roman" w:eastAsia="宋体" w:cs="Times New Roman"/>
                <w:color w:val="auto"/>
                <w:kern w:val="0"/>
                <w:sz w:val="21"/>
                <w:szCs w:val="21"/>
                <w:u w:val="single"/>
                <w:lang w:val="zh-CN" w:bidi="zh-CN"/>
              </w:rPr>
              <w:t>（2.</w:t>
            </w:r>
            <w:r>
              <w:rPr>
                <w:rFonts w:hint="default" w:ascii="Times New Roman" w:hAnsi="Times New Roman" w:eastAsia="宋体" w:cs="Times New Roman"/>
                <w:color w:val="auto"/>
                <w:kern w:val="0"/>
                <w:sz w:val="21"/>
                <w:szCs w:val="21"/>
                <w:u w:val="single"/>
                <w:lang w:val="en-US" w:bidi="zh-CN"/>
              </w:rPr>
              <w:t>5</w:t>
            </w:r>
            <w:r>
              <w:rPr>
                <w:rFonts w:hint="default" w:ascii="Times New Roman" w:hAnsi="Times New Roman" w:eastAsia="宋体" w:cs="Times New Roman"/>
                <w:color w:val="auto"/>
                <w:kern w:val="0"/>
                <w:sz w:val="21"/>
                <w:szCs w:val="21"/>
                <w:u w:val="single"/>
                <w:lang w:val="zh-CN" w:bidi="zh-CN"/>
              </w:rPr>
              <w:t>）园区内相关行业及锅炉废气污染物排放标准满足《湖南省生态环境厅关于执行污染物特别排放限值（第一批）的公告》中的要求。</w:t>
            </w:r>
          </w:p>
        </w:tc>
        <w:tc>
          <w:tcPr>
            <w:tcW w:w="224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u w:val="single"/>
                <w:lang w:val="en-US" w:eastAsia="zh-CN" w:bidi="zh-CN"/>
              </w:rPr>
            </w:pPr>
            <w:r>
              <w:rPr>
                <w:rFonts w:hint="default" w:ascii="Times New Roman" w:hAnsi="Times New Roman" w:eastAsia="宋体" w:cs="Times New Roman"/>
                <w:color w:val="auto"/>
                <w:kern w:val="0"/>
                <w:sz w:val="21"/>
                <w:szCs w:val="21"/>
                <w:u w:val="single"/>
                <w:lang w:val="zh-CN" w:eastAsia="zh-CN" w:bidi="zh-CN"/>
              </w:rPr>
              <w:t>（</w:t>
            </w:r>
            <w:r>
              <w:rPr>
                <w:rFonts w:hint="default" w:ascii="Times New Roman" w:hAnsi="Times New Roman" w:eastAsia="宋体" w:cs="Times New Roman"/>
                <w:color w:val="auto"/>
                <w:kern w:val="0"/>
                <w:sz w:val="21"/>
                <w:szCs w:val="21"/>
                <w:u w:val="single"/>
                <w:lang w:val="en-US" w:eastAsia="zh-CN" w:bidi="zh-CN"/>
              </w:rPr>
              <w:t>2.1</w:t>
            </w:r>
            <w:r>
              <w:rPr>
                <w:rFonts w:hint="default" w:ascii="Times New Roman" w:hAnsi="Times New Roman" w:eastAsia="宋体" w:cs="Times New Roman"/>
                <w:color w:val="auto"/>
                <w:kern w:val="0"/>
                <w:sz w:val="21"/>
                <w:szCs w:val="21"/>
                <w:u w:val="single"/>
                <w:lang w:val="zh-CN" w:eastAsia="zh-CN" w:bidi="zh-CN"/>
              </w:rPr>
              <w:t>）废水：项目污水先经过</w:t>
            </w:r>
            <w:r>
              <w:rPr>
                <w:rFonts w:hint="eastAsia" w:ascii="Times New Roman" w:hAnsi="Times New Roman" w:cs="Times New Roman"/>
                <w:color w:val="auto"/>
                <w:kern w:val="0"/>
                <w:sz w:val="21"/>
                <w:szCs w:val="21"/>
                <w:u w:val="single"/>
                <w:lang w:val="zh-CN" w:eastAsia="zh-CN" w:bidi="zh-CN"/>
              </w:rPr>
              <w:t>厂区二期工程污水处理厂</w:t>
            </w:r>
            <w:r>
              <w:rPr>
                <w:rFonts w:hint="default" w:ascii="Times New Roman" w:hAnsi="Times New Roman" w:eastAsia="宋体" w:cs="Times New Roman"/>
                <w:color w:val="auto"/>
                <w:kern w:val="0"/>
                <w:sz w:val="21"/>
                <w:szCs w:val="21"/>
                <w:u w:val="single"/>
                <w:lang w:val="zh-CN" w:eastAsia="zh-CN" w:bidi="zh-CN"/>
              </w:rPr>
              <w:t>与处理后，再通过园区污水管网进入云溪污水处理厂处理达标后排入长江；项目雨水通过园区雨水管网排入</w:t>
            </w:r>
            <w:r>
              <w:rPr>
                <w:rFonts w:hint="eastAsia" w:ascii="Times New Roman" w:hAnsi="Times New Roman" w:eastAsia="宋体" w:cs="Times New Roman"/>
                <w:color w:val="auto"/>
                <w:kern w:val="0"/>
                <w:sz w:val="21"/>
                <w:szCs w:val="21"/>
                <w:u w:val="single"/>
                <w:lang w:val="zh-CN" w:eastAsia="zh-CN" w:bidi="zh-CN"/>
              </w:rPr>
              <w:t>松杨湖</w:t>
            </w:r>
            <w:r>
              <w:rPr>
                <w:rFonts w:hint="default" w:ascii="Times New Roman" w:hAnsi="Times New Roman" w:eastAsia="宋体" w:cs="Times New Roman"/>
                <w:color w:val="auto"/>
                <w:kern w:val="0"/>
                <w:sz w:val="21"/>
                <w:szCs w:val="21"/>
                <w:u w:val="single"/>
                <w:lang w:val="zh-CN" w:eastAsia="zh-CN" w:bidi="zh-CN"/>
              </w:rPr>
              <w:t>。</w:t>
            </w:r>
          </w:p>
          <w:p>
            <w:pPr>
              <w:pStyle w:val="42"/>
              <w:keepNext w:val="0"/>
              <w:keepLines w:val="0"/>
              <w:pageBreakBefore w:val="0"/>
              <w:kinsoku/>
              <w:wordWrap/>
              <w:overflowPunct/>
              <w:topLinePunct w:val="0"/>
              <w:bidi w:val="0"/>
              <w:adjustRightInd/>
              <w:snapToGrid/>
              <w:ind w:firstLine="420" w:firstLineChars="200"/>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rPr>
              <w:t>（2.2）废气：</w:t>
            </w:r>
            <w:r>
              <w:rPr>
                <w:rFonts w:hint="default" w:ascii="Times New Roman" w:hAnsi="Times New Roman" w:eastAsia="宋体" w:cs="Times New Roman"/>
                <w:color w:val="auto"/>
                <w:sz w:val="21"/>
                <w:szCs w:val="21"/>
                <w:u w:val="single"/>
                <w:lang w:eastAsia="zh-CN"/>
              </w:rPr>
              <w:t>本项目定期对厂区污染源进行监测，本项目属于VOCs排放重点企业。</w:t>
            </w:r>
            <w:r>
              <w:rPr>
                <w:rFonts w:hint="eastAsia" w:ascii="Times New Roman" w:eastAsia="宋体" w:cs="Times New Roman"/>
                <w:color w:val="auto"/>
                <w:sz w:val="21"/>
                <w:szCs w:val="21"/>
                <w:u w:val="single"/>
                <w:lang w:eastAsia="zh-CN"/>
              </w:rPr>
              <w:t>项目计划建成后安装污染物排放自动监测设备。</w:t>
            </w:r>
          </w:p>
          <w:p>
            <w:pPr>
              <w:pStyle w:val="47"/>
              <w:keepNext w:val="0"/>
              <w:keepLines w:val="0"/>
              <w:pageBreakBefore w:val="0"/>
              <w:kinsoku/>
              <w:wordWrap/>
              <w:overflowPunct/>
              <w:topLinePunct w:val="0"/>
              <w:bidi w:val="0"/>
              <w:adjustRightInd/>
              <w:snapToGrid/>
              <w:ind w:firstLine="420" w:firstLineChars="200"/>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sz w:val="21"/>
                <w:szCs w:val="21"/>
                <w:u w:val="single"/>
                <w:lang w:val="en-US" w:eastAsia="zh-CN"/>
              </w:rPr>
              <w:t>2.3</w:t>
            </w:r>
            <w:r>
              <w:rPr>
                <w:rFonts w:hint="default"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sz w:val="21"/>
                <w:szCs w:val="21"/>
                <w:u w:val="single"/>
              </w:rPr>
              <w:t>固体废弃物：</w:t>
            </w:r>
            <w:r>
              <w:rPr>
                <w:rFonts w:hint="default" w:ascii="Times New Roman" w:hAnsi="Times New Roman" w:eastAsia="宋体" w:cs="Times New Roman"/>
                <w:color w:val="auto"/>
                <w:sz w:val="21"/>
                <w:szCs w:val="21"/>
                <w:u w:val="single"/>
                <w:lang w:eastAsia="zh-CN"/>
              </w:rPr>
              <w:t>企业已做好</w:t>
            </w:r>
            <w:r>
              <w:rPr>
                <w:rFonts w:hint="default" w:ascii="Times New Roman" w:hAnsi="Times New Roman" w:eastAsia="宋体" w:cs="Times New Roman"/>
                <w:color w:val="auto"/>
                <w:sz w:val="21"/>
                <w:szCs w:val="21"/>
                <w:u w:val="single"/>
              </w:rPr>
              <w:t>工业固体废物和生活垃圾的分类收集、转运、综合利用和无害化处理，</w:t>
            </w:r>
            <w:r>
              <w:rPr>
                <w:rFonts w:hint="default" w:ascii="Times New Roman" w:hAnsi="Times New Roman" w:eastAsia="宋体" w:cs="Times New Roman"/>
                <w:color w:val="auto"/>
                <w:sz w:val="21"/>
                <w:szCs w:val="21"/>
                <w:u w:val="single"/>
                <w:lang w:eastAsia="zh-CN"/>
              </w:rPr>
              <w:t>已</w:t>
            </w:r>
            <w:r>
              <w:rPr>
                <w:rFonts w:hint="default" w:ascii="Times New Roman" w:hAnsi="Times New Roman" w:eastAsia="宋体" w:cs="Times New Roman"/>
                <w:color w:val="auto"/>
                <w:sz w:val="21"/>
                <w:szCs w:val="21"/>
                <w:u w:val="single"/>
              </w:rPr>
              <w:t>建立完善的固废管理体系。</w:t>
            </w:r>
          </w:p>
          <w:p>
            <w:pPr>
              <w:pStyle w:val="47"/>
              <w:keepNext w:val="0"/>
              <w:keepLines w:val="0"/>
              <w:pageBreakBefore w:val="0"/>
              <w:kinsoku/>
              <w:wordWrap/>
              <w:overflowPunct/>
              <w:topLinePunct w:val="0"/>
              <w:bidi w:val="0"/>
              <w:adjustRightInd/>
              <w:snapToGrid/>
              <w:ind w:firstLine="420" w:firstLineChars="200"/>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sz w:val="21"/>
                <w:szCs w:val="21"/>
                <w:u w:val="single"/>
                <w:lang w:val="en-US" w:eastAsia="zh-CN"/>
              </w:rPr>
              <w:t>2.4</w:t>
            </w:r>
            <w:r>
              <w:rPr>
                <w:rFonts w:hint="default" w:ascii="Times New Roman" w:hAnsi="Times New Roman" w:eastAsia="宋体" w:cs="Times New Roman"/>
                <w:color w:val="auto"/>
                <w:sz w:val="21"/>
                <w:szCs w:val="21"/>
                <w:u w:val="single"/>
                <w:lang w:eastAsia="zh-CN"/>
              </w:rPr>
              <w:t>）针对园区高浓度渗水污染问题，园区将长期对企业渗滤液进行收集处理，并完成地下水治理方案编制工作和完成地下水治理工作。</w:t>
            </w:r>
          </w:p>
          <w:p>
            <w:pPr>
              <w:pStyle w:val="47"/>
              <w:keepNext w:val="0"/>
              <w:keepLines w:val="0"/>
              <w:pageBreakBefore w:val="0"/>
              <w:kinsoku/>
              <w:wordWrap/>
              <w:overflowPunct/>
              <w:topLinePunct w:val="0"/>
              <w:bidi w:val="0"/>
              <w:adjustRightInd/>
              <w:snapToGrid/>
              <w:ind w:firstLine="420" w:firstLineChars="200"/>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kern w:val="0"/>
                <w:sz w:val="21"/>
                <w:szCs w:val="21"/>
                <w:u w:val="single"/>
                <w:lang w:val="zh-CN" w:bidi="zh-CN"/>
              </w:rPr>
              <w:t>（2.</w:t>
            </w:r>
            <w:r>
              <w:rPr>
                <w:rFonts w:hint="default" w:ascii="Times New Roman" w:hAnsi="Times New Roman" w:eastAsia="宋体" w:cs="Times New Roman"/>
                <w:color w:val="auto"/>
                <w:kern w:val="0"/>
                <w:sz w:val="21"/>
                <w:szCs w:val="21"/>
                <w:u w:val="single"/>
                <w:lang w:val="en-US" w:bidi="zh-CN"/>
              </w:rPr>
              <w:t>5</w:t>
            </w:r>
            <w:r>
              <w:rPr>
                <w:rFonts w:hint="default" w:ascii="Times New Roman" w:hAnsi="Times New Roman" w:eastAsia="宋体" w:cs="Times New Roman"/>
                <w:color w:val="auto"/>
                <w:kern w:val="0"/>
                <w:sz w:val="21"/>
                <w:szCs w:val="21"/>
                <w:u w:val="single"/>
                <w:lang w:val="zh-CN" w:bidi="zh-CN"/>
              </w:rPr>
              <w:t>）本项目未产生锅炉废气，污染物不参照《湖南省生态环境厅关于执行污染物特别排放限值（第一批）的公告》的排放标准要求。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1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val="0"/>
                <w:color w:val="auto"/>
                <w:kern w:val="0"/>
                <w:sz w:val="21"/>
                <w:szCs w:val="21"/>
                <w:u w:val="single"/>
                <w:lang w:val="en-US" w:eastAsia="zh-CN" w:bidi="zh-CN"/>
              </w:rPr>
            </w:pPr>
            <w:r>
              <w:rPr>
                <w:rFonts w:hint="default" w:ascii="Times New Roman" w:hAnsi="Times New Roman" w:eastAsia="宋体" w:cs="Times New Roman"/>
                <w:bCs w:val="0"/>
                <w:color w:val="auto"/>
                <w:kern w:val="0"/>
                <w:sz w:val="21"/>
                <w:szCs w:val="21"/>
                <w:u w:val="single"/>
                <w:lang w:val="en-US" w:eastAsia="zh-CN" w:bidi="zh-CN"/>
              </w:rPr>
              <w:t>环境风险防控</w:t>
            </w:r>
          </w:p>
        </w:tc>
        <w:tc>
          <w:tcPr>
            <w:tcW w:w="23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u w:val="single"/>
                <w:lang w:val="zh-CN" w:bidi="zh-CN"/>
              </w:rPr>
            </w:pPr>
            <w:r>
              <w:rPr>
                <w:rFonts w:hint="default" w:ascii="Times New Roman" w:hAnsi="Times New Roman" w:eastAsia="宋体" w:cs="Times New Roman"/>
                <w:color w:val="auto"/>
                <w:kern w:val="0"/>
                <w:sz w:val="21"/>
                <w:szCs w:val="21"/>
                <w:u w:val="single"/>
                <w:lang w:val="zh-CN" w:bidi="zh-CN"/>
              </w:rPr>
              <w:t>（3.1）园区应建立健全环境风险防控体系，严格落实《湖南岳阳绿色化工产业园突发环境事件应急预案》中相关要求，严防突发环境事件发生，提高应急处置能力。</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u w:val="single"/>
                <w:lang w:val="zh-CN" w:bidi="zh-CN"/>
              </w:rPr>
            </w:pPr>
            <w:r>
              <w:rPr>
                <w:rFonts w:hint="default" w:ascii="Times New Roman" w:hAnsi="Times New Roman" w:eastAsia="宋体" w:cs="Times New Roman"/>
                <w:color w:val="auto"/>
                <w:kern w:val="0"/>
                <w:sz w:val="21"/>
                <w:szCs w:val="21"/>
                <w:u w:val="single"/>
                <w:lang w:val="zh-CN" w:bidi="zh-CN"/>
              </w:rPr>
              <w:t>（3.2）园区可能发生突发环境事件的污染物排放企业，生产、储存、运输、使用危险化学品的企业，产生、收集、贮存、运输危险废物的企业，应当编制和实施环境应急预案；鼓励其他企业制定单独的环境应急预案，或在突发事件应急预案中制定环境应急预案专章，并备案。</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u w:val="single"/>
                <w:lang w:val="zh-CN" w:bidi="zh-CN"/>
              </w:rPr>
            </w:pPr>
            <w:r>
              <w:rPr>
                <w:rFonts w:hint="default" w:ascii="Times New Roman" w:hAnsi="Times New Roman" w:eastAsia="宋体" w:cs="Times New Roman"/>
                <w:color w:val="auto"/>
                <w:kern w:val="0"/>
                <w:sz w:val="21"/>
                <w:szCs w:val="21"/>
                <w:u w:val="single"/>
                <w:lang w:val="zh-CN" w:bidi="zh-CN"/>
              </w:rPr>
              <w:t>（3.3）建设用地土壤风险防控：对拟收回土地使用权的辖区内的土壤环境重点监管区域、地块、企业等用地，以及用途拟变更为居住和商业、学校、医疗、养老机构等公共设施的用地开展土壤环境状况调查评估。</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Cs w:val="0"/>
                <w:color w:val="auto"/>
                <w:kern w:val="0"/>
                <w:sz w:val="21"/>
                <w:szCs w:val="21"/>
                <w:u w:val="single"/>
                <w:lang w:val="en-US" w:eastAsia="zh-CN" w:bidi="zh-CN"/>
              </w:rPr>
            </w:pPr>
            <w:r>
              <w:rPr>
                <w:rFonts w:hint="default" w:ascii="Times New Roman" w:hAnsi="Times New Roman" w:eastAsia="宋体" w:cs="Times New Roman"/>
                <w:color w:val="auto"/>
                <w:kern w:val="0"/>
                <w:sz w:val="21"/>
                <w:szCs w:val="21"/>
                <w:u w:val="single"/>
                <w:lang w:val="zh-CN" w:bidi="zh-CN"/>
              </w:rPr>
              <w:t>（3.4）加强环境风险防控和应急管理。开展全市生态隐患和环境风险调查评估，从严实施环境风险防控措施；深化全市范围内化工等重点企业环境风险评估，提升风险防控和突发环境事件应急处理处置能力。</w:t>
            </w:r>
          </w:p>
        </w:tc>
        <w:tc>
          <w:tcPr>
            <w:tcW w:w="22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420" w:firstLineChars="200"/>
              <w:jc w:val="left"/>
              <w:textAlignment w:val="auto"/>
              <w:rPr>
                <w:rFonts w:hint="default" w:ascii="Times New Roman" w:hAnsi="Times New Roman" w:eastAsia="宋体" w:cs="Times New Roman"/>
                <w:color w:val="auto"/>
                <w:kern w:val="0"/>
                <w:sz w:val="21"/>
                <w:szCs w:val="21"/>
                <w:u w:val="single"/>
                <w:lang w:val="zh-CN" w:eastAsia="zh-CN" w:bidi="zh-CN"/>
              </w:rPr>
            </w:pPr>
            <w:r>
              <w:rPr>
                <w:rFonts w:hint="default" w:ascii="Times New Roman" w:hAnsi="Times New Roman" w:eastAsia="宋体" w:cs="Times New Roman"/>
                <w:color w:val="auto"/>
                <w:kern w:val="0"/>
                <w:sz w:val="21"/>
                <w:szCs w:val="21"/>
                <w:u w:val="single"/>
                <w:lang w:val="zh-CN" w:bidi="zh-CN"/>
              </w:rPr>
              <w:t>（3.1）园区</w:t>
            </w:r>
            <w:r>
              <w:rPr>
                <w:rFonts w:hint="default" w:ascii="Times New Roman" w:hAnsi="Times New Roman" w:eastAsia="宋体" w:cs="Times New Roman"/>
                <w:color w:val="auto"/>
                <w:kern w:val="0"/>
                <w:sz w:val="21"/>
                <w:szCs w:val="21"/>
                <w:u w:val="single"/>
                <w:lang w:val="zh-CN" w:eastAsia="zh-CN" w:bidi="zh-CN"/>
              </w:rPr>
              <w:t>已</w:t>
            </w:r>
            <w:r>
              <w:rPr>
                <w:rFonts w:hint="default" w:ascii="Times New Roman" w:hAnsi="Times New Roman" w:eastAsia="宋体" w:cs="Times New Roman"/>
                <w:color w:val="auto"/>
                <w:kern w:val="0"/>
                <w:sz w:val="21"/>
                <w:szCs w:val="21"/>
                <w:u w:val="single"/>
                <w:lang w:val="zh-CN" w:bidi="zh-CN"/>
              </w:rPr>
              <w:t>建立健全环境风险防控体系，</w:t>
            </w:r>
            <w:r>
              <w:rPr>
                <w:rFonts w:hint="default" w:ascii="Times New Roman" w:hAnsi="Times New Roman" w:eastAsia="宋体" w:cs="Times New Roman"/>
                <w:color w:val="auto"/>
                <w:kern w:val="0"/>
                <w:sz w:val="21"/>
                <w:szCs w:val="21"/>
                <w:u w:val="single"/>
                <w:lang w:val="zh-CN" w:eastAsia="zh-CN" w:bidi="zh-CN"/>
              </w:rPr>
              <w:t>已</w:t>
            </w:r>
            <w:r>
              <w:rPr>
                <w:rFonts w:hint="default" w:ascii="Times New Roman" w:hAnsi="Times New Roman" w:eastAsia="宋体" w:cs="Times New Roman"/>
                <w:color w:val="auto"/>
                <w:kern w:val="0"/>
                <w:sz w:val="21"/>
                <w:szCs w:val="21"/>
                <w:u w:val="single"/>
                <w:lang w:val="zh-CN" w:bidi="zh-CN"/>
              </w:rPr>
              <w:t>严格落实《湖南岳阳绿色化工产业园突发环境事件应急预案》的相关要求，</w:t>
            </w:r>
            <w:r>
              <w:rPr>
                <w:rFonts w:hint="default" w:ascii="Times New Roman" w:hAnsi="Times New Roman" w:eastAsia="宋体" w:cs="Times New Roman"/>
                <w:color w:val="auto"/>
                <w:kern w:val="0"/>
                <w:sz w:val="21"/>
                <w:szCs w:val="21"/>
                <w:u w:val="single"/>
                <w:lang w:val="zh-CN" w:eastAsia="zh-CN" w:bidi="zh-CN"/>
              </w:rPr>
              <w:t>已</w:t>
            </w:r>
            <w:r>
              <w:rPr>
                <w:rFonts w:hint="default" w:ascii="Times New Roman" w:hAnsi="Times New Roman" w:eastAsia="宋体" w:cs="Times New Roman"/>
                <w:color w:val="auto"/>
                <w:kern w:val="0"/>
                <w:sz w:val="21"/>
                <w:szCs w:val="21"/>
                <w:u w:val="single"/>
                <w:lang w:val="zh-CN" w:bidi="zh-CN"/>
              </w:rPr>
              <w:t>严防环境风险事故发生，提高应急处置能力。</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420" w:firstLineChars="200"/>
              <w:jc w:val="left"/>
              <w:textAlignment w:val="auto"/>
              <w:rPr>
                <w:rFonts w:hint="default" w:ascii="Times New Roman" w:hAnsi="Times New Roman" w:eastAsia="宋体" w:cs="Times New Roman"/>
                <w:color w:val="auto"/>
                <w:kern w:val="0"/>
                <w:sz w:val="21"/>
                <w:szCs w:val="21"/>
                <w:u w:val="single"/>
                <w:lang w:val="en-US" w:eastAsia="zh-CN" w:bidi="zh-CN"/>
              </w:rPr>
            </w:pPr>
            <w:r>
              <w:rPr>
                <w:rFonts w:hint="default" w:ascii="Times New Roman" w:hAnsi="Times New Roman" w:eastAsia="宋体" w:cs="Times New Roman"/>
                <w:color w:val="auto"/>
                <w:kern w:val="0"/>
                <w:sz w:val="21"/>
                <w:szCs w:val="21"/>
                <w:u w:val="single"/>
                <w:lang w:val="zh-CN" w:eastAsia="zh-CN" w:bidi="zh-CN"/>
              </w:rPr>
              <w:t>（</w:t>
            </w:r>
            <w:r>
              <w:rPr>
                <w:rFonts w:hint="default" w:ascii="Times New Roman" w:hAnsi="Times New Roman" w:eastAsia="宋体" w:cs="Times New Roman"/>
                <w:color w:val="auto"/>
                <w:kern w:val="0"/>
                <w:sz w:val="21"/>
                <w:szCs w:val="21"/>
                <w:u w:val="single"/>
                <w:lang w:val="en-US" w:eastAsia="zh-CN" w:bidi="zh-CN"/>
              </w:rPr>
              <w:t>3.2</w:t>
            </w:r>
            <w:r>
              <w:rPr>
                <w:rFonts w:hint="default" w:ascii="Times New Roman" w:hAnsi="Times New Roman" w:eastAsia="宋体" w:cs="Times New Roman"/>
                <w:color w:val="auto"/>
                <w:kern w:val="0"/>
                <w:sz w:val="21"/>
                <w:szCs w:val="21"/>
                <w:u w:val="single"/>
                <w:lang w:val="zh-CN" w:eastAsia="zh-CN" w:bidi="zh-CN"/>
              </w:rPr>
              <w:t>）本项目对照《建设项目环境风险评价技术导则》(HJ169-2018)，</w:t>
            </w:r>
            <w:r>
              <w:rPr>
                <w:rFonts w:hint="default" w:ascii="Times New Roman" w:hAnsi="Times New Roman" w:eastAsia="宋体" w:cs="Times New Roman"/>
                <w:color w:val="auto"/>
                <w:kern w:val="0"/>
                <w:sz w:val="21"/>
                <w:szCs w:val="21"/>
                <w:u w:val="single"/>
                <w:lang w:val="en-US" w:eastAsia="zh-CN" w:bidi="zh-CN"/>
              </w:rPr>
              <w:t>将编制应急预案，并在投产前完成应急预案备案。</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420" w:firstLineChars="200"/>
              <w:jc w:val="left"/>
              <w:textAlignment w:val="auto"/>
              <w:rPr>
                <w:rFonts w:hint="default" w:ascii="Times New Roman" w:hAnsi="Times New Roman" w:eastAsia="宋体" w:cs="Times New Roman"/>
                <w:color w:val="auto"/>
                <w:kern w:val="0"/>
                <w:sz w:val="21"/>
                <w:szCs w:val="21"/>
                <w:u w:val="single"/>
                <w:lang w:val="zh-CN" w:eastAsia="zh-CN" w:bidi="zh-CN"/>
              </w:rPr>
            </w:pPr>
            <w:r>
              <w:rPr>
                <w:rFonts w:hint="default" w:ascii="Times New Roman" w:hAnsi="Times New Roman" w:eastAsia="宋体" w:cs="Times New Roman"/>
                <w:color w:val="auto"/>
                <w:kern w:val="0"/>
                <w:sz w:val="21"/>
                <w:szCs w:val="21"/>
                <w:u w:val="single"/>
                <w:lang w:val="en-US" w:eastAsia="zh-CN" w:bidi="zh-CN"/>
              </w:rPr>
              <w:t>（3.3）本项目用地不属于土壤环境重点监管区域、地块、企业等用地，无需开展土壤环境状况调查评估。</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420" w:firstLineChars="200"/>
              <w:jc w:val="left"/>
              <w:textAlignment w:val="auto"/>
              <w:rPr>
                <w:rFonts w:hint="default" w:ascii="Times New Roman" w:hAnsi="Times New Roman" w:eastAsia="宋体" w:cs="Times New Roman"/>
                <w:color w:val="auto"/>
                <w:kern w:val="0"/>
                <w:sz w:val="21"/>
                <w:szCs w:val="21"/>
                <w:u w:val="single"/>
                <w:lang w:val="zh-CN" w:eastAsia="zh-CN" w:bidi="zh-CN"/>
              </w:rPr>
            </w:pPr>
            <w:r>
              <w:rPr>
                <w:rFonts w:hint="default" w:ascii="Times New Roman" w:hAnsi="Times New Roman" w:eastAsia="宋体" w:cs="Times New Roman"/>
                <w:color w:val="auto"/>
                <w:kern w:val="0"/>
                <w:sz w:val="21"/>
                <w:szCs w:val="21"/>
                <w:u w:val="single"/>
                <w:lang w:val="zh-CN" w:eastAsia="zh-CN" w:bidi="zh-CN"/>
              </w:rPr>
              <w:t>（</w:t>
            </w:r>
            <w:r>
              <w:rPr>
                <w:rFonts w:hint="default" w:ascii="Times New Roman" w:hAnsi="Times New Roman" w:eastAsia="宋体" w:cs="Times New Roman"/>
                <w:color w:val="auto"/>
                <w:kern w:val="0"/>
                <w:sz w:val="21"/>
                <w:szCs w:val="21"/>
                <w:u w:val="single"/>
                <w:lang w:val="en-US" w:eastAsia="zh-CN" w:bidi="zh-CN"/>
              </w:rPr>
              <w:t>3.4</w:t>
            </w:r>
            <w:r>
              <w:rPr>
                <w:rFonts w:hint="default" w:ascii="Times New Roman" w:hAnsi="Times New Roman" w:eastAsia="宋体" w:cs="Times New Roman"/>
                <w:color w:val="auto"/>
                <w:kern w:val="0"/>
                <w:sz w:val="21"/>
                <w:szCs w:val="21"/>
                <w:u w:val="single"/>
                <w:lang w:val="zh-CN" w:eastAsia="zh-CN" w:bidi="zh-CN"/>
              </w:rPr>
              <w:t>）已</w:t>
            </w:r>
            <w:r>
              <w:rPr>
                <w:rFonts w:hint="default" w:ascii="Times New Roman" w:hAnsi="Times New Roman" w:eastAsia="宋体" w:cs="Times New Roman"/>
                <w:color w:val="auto"/>
                <w:kern w:val="0"/>
                <w:sz w:val="21"/>
                <w:szCs w:val="21"/>
                <w:u w:val="single"/>
                <w:lang w:val="zh-CN" w:bidi="zh-CN"/>
              </w:rPr>
              <w:t>加强环境风险防控和应急管理。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1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val="0"/>
                <w:color w:val="auto"/>
                <w:kern w:val="0"/>
                <w:sz w:val="21"/>
                <w:szCs w:val="21"/>
                <w:u w:val="single"/>
                <w:lang w:val="en-US" w:eastAsia="zh-CN" w:bidi="zh-CN"/>
              </w:rPr>
            </w:pPr>
            <w:r>
              <w:rPr>
                <w:rFonts w:hint="default" w:ascii="Times New Roman" w:hAnsi="Times New Roman" w:eastAsia="宋体" w:cs="Times New Roman"/>
                <w:bCs w:val="0"/>
                <w:color w:val="auto"/>
                <w:kern w:val="0"/>
                <w:sz w:val="21"/>
                <w:szCs w:val="21"/>
                <w:u w:val="single"/>
                <w:lang w:val="en-US" w:eastAsia="zh-CN" w:bidi="zh-CN"/>
              </w:rPr>
              <w:t>资源开发要求</w:t>
            </w:r>
          </w:p>
        </w:tc>
        <w:tc>
          <w:tcPr>
            <w:tcW w:w="233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Cs w:val="0"/>
                <w:color w:val="auto"/>
                <w:kern w:val="0"/>
                <w:sz w:val="21"/>
                <w:szCs w:val="21"/>
                <w:u w:val="single"/>
                <w:lang w:val="en-US" w:eastAsia="zh-CN" w:bidi="zh-CN"/>
              </w:rPr>
            </w:pPr>
            <w:r>
              <w:rPr>
                <w:rFonts w:hint="default" w:ascii="Times New Roman" w:hAnsi="Times New Roman" w:eastAsia="宋体" w:cs="Times New Roman"/>
                <w:bCs w:val="0"/>
                <w:color w:val="auto"/>
                <w:kern w:val="0"/>
                <w:sz w:val="21"/>
                <w:szCs w:val="21"/>
                <w:u w:val="single"/>
                <w:lang w:val="en-US" w:eastAsia="zh-CN" w:bidi="zh-CN"/>
              </w:rPr>
              <w:t>（4.1）能源：提高园区清洁能源使用效率，2020年的区域综合能耗消费量预测当量值为517.54万吨标煤，区域单位GDP能耗预测值为1.8713吨标煤/万元。园区2025年区域综合能耗消费量预测当量值为668.05万吨标煤，区域单位GDP能耗预测值为1.6093吨标煤/万元，区域“十四五”期间能耗消耗增量控制在150.51万吨标煤。</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Cs w:val="0"/>
                <w:color w:val="auto"/>
                <w:kern w:val="0"/>
                <w:sz w:val="21"/>
                <w:szCs w:val="21"/>
                <w:u w:val="single"/>
                <w:lang w:val="en-US" w:eastAsia="zh-CN" w:bidi="zh-CN"/>
              </w:rPr>
            </w:pPr>
            <w:r>
              <w:rPr>
                <w:rFonts w:hint="default" w:ascii="Times New Roman" w:hAnsi="Times New Roman" w:eastAsia="宋体" w:cs="Times New Roman"/>
                <w:bCs w:val="0"/>
                <w:color w:val="auto"/>
                <w:kern w:val="0"/>
                <w:sz w:val="21"/>
                <w:szCs w:val="21"/>
                <w:u w:val="single"/>
                <w:lang w:val="en-US" w:eastAsia="zh-CN" w:bidi="zh-CN"/>
              </w:rPr>
              <w:t>（4.2）水资源：强化工业节水，根据国家统一要求和部署，重点开展化工等行业节水技术改造，逐步淘汰高耗水的落后产能，积极推广工业水循环利用，推进节水型工业园区建设。云溪区2020年万元工业增加值用水量控制指标为29立方米/万元，万元国内生产总值用水量34立方米/万元。</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Cs w:val="0"/>
                <w:color w:val="auto"/>
                <w:kern w:val="0"/>
                <w:sz w:val="21"/>
                <w:szCs w:val="21"/>
                <w:u w:val="single"/>
                <w:lang w:val="en-US" w:eastAsia="zh-CN" w:bidi="zh-CN"/>
              </w:rPr>
            </w:pPr>
            <w:r>
              <w:rPr>
                <w:rFonts w:hint="default" w:ascii="Times New Roman" w:hAnsi="Times New Roman" w:eastAsia="宋体" w:cs="Times New Roman"/>
                <w:bCs w:val="0"/>
                <w:color w:val="auto"/>
                <w:kern w:val="0"/>
                <w:sz w:val="21"/>
                <w:szCs w:val="21"/>
                <w:u w:val="single"/>
                <w:lang w:val="en-US" w:eastAsia="zh-CN" w:bidi="zh-CN"/>
              </w:rPr>
              <w:t>（4.3）土地资源：以国家产业发展政策为导向，合理制定区域产业用地政策，优先保障主导产业发展用地，严禁向禁止类工业项目供地，严格控制限制类工业项目用地，重点支持发展与区域资源环境条件相适应的产业。园区石油炼制及石油化工产业、化工新材料产业、精细化工产业、医药制造产业土地投资强度标准分别为220万元/亩、240万元/亩、220万元/亩、280万元/亩。</w:t>
            </w:r>
          </w:p>
        </w:tc>
        <w:tc>
          <w:tcPr>
            <w:tcW w:w="224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u w:val="single"/>
                <w:lang w:val="en-US" w:eastAsia="zh-CN" w:bidi="zh-CN"/>
              </w:rPr>
            </w:pPr>
            <w:r>
              <w:rPr>
                <w:rFonts w:hint="default" w:ascii="Times New Roman" w:hAnsi="Times New Roman" w:eastAsia="宋体" w:cs="Times New Roman"/>
                <w:color w:val="auto"/>
                <w:kern w:val="0"/>
                <w:sz w:val="21"/>
                <w:szCs w:val="21"/>
                <w:u w:val="single"/>
                <w:lang w:val="en-US" w:eastAsia="zh-CN" w:bidi="zh-CN"/>
              </w:rPr>
              <w:t>（4.1）生产过程用到的能源主要为</w:t>
            </w:r>
            <w:r>
              <w:rPr>
                <w:rFonts w:hint="eastAsia" w:ascii="Times New Roman" w:hAnsi="Times New Roman" w:cs="Times New Roman"/>
                <w:color w:val="auto"/>
                <w:kern w:val="0"/>
                <w:sz w:val="21"/>
                <w:szCs w:val="21"/>
                <w:u w:val="single"/>
                <w:lang w:val="en-US" w:eastAsia="zh-CN" w:bidi="zh-CN"/>
              </w:rPr>
              <w:t>水、电、蒸气</w:t>
            </w:r>
            <w:r>
              <w:rPr>
                <w:rFonts w:hint="default" w:ascii="Times New Roman" w:hAnsi="Times New Roman" w:eastAsia="宋体" w:cs="Times New Roman"/>
                <w:color w:val="auto"/>
                <w:kern w:val="0"/>
                <w:sz w:val="21"/>
                <w:szCs w:val="21"/>
                <w:u w:val="single"/>
                <w:lang w:val="en-US" w:eastAsia="zh-CN" w:bidi="zh-CN"/>
              </w:rPr>
              <w:t>，为清洁能源。</w:t>
            </w:r>
          </w:p>
          <w:p>
            <w:pPr>
              <w:pStyle w:val="42"/>
              <w:keepNext w:val="0"/>
              <w:keepLines w:val="0"/>
              <w:pageBreakBefore w:val="0"/>
              <w:kinsoku/>
              <w:wordWrap/>
              <w:overflowPunct/>
              <w:topLinePunct w:val="0"/>
              <w:bidi w:val="0"/>
              <w:adjustRightInd/>
              <w:snapToGrid/>
              <w:ind w:firstLine="420" w:firstLineChars="200"/>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（4.2）项目使用</w:t>
            </w:r>
            <w:r>
              <w:rPr>
                <w:rFonts w:hint="eastAsia" w:ascii="Times New Roman" w:eastAsia="宋体" w:cs="Times New Roman"/>
                <w:color w:val="auto"/>
                <w:sz w:val="21"/>
                <w:szCs w:val="21"/>
                <w:u w:val="single"/>
                <w:lang w:val="en-US" w:eastAsia="zh-CN"/>
              </w:rPr>
              <w:t>选用节水设备，对水资源利用率高</w:t>
            </w:r>
            <w:r>
              <w:rPr>
                <w:rFonts w:hint="default" w:ascii="Times New Roman" w:hAnsi="Times New Roman" w:eastAsia="宋体" w:cs="Times New Roman"/>
                <w:color w:val="auto"/>
                <w:sz w:val="21"/>
                <w:szCs w:val="21"/>
                <w:u w:val="single"/>
                <w:lang w:val="en-US" w:eastAsia="zh-CN"/>
              </w:rPr>
              <w:t>。</w:t>
            </w:r>
          </w:p>
          <w:p>
            <w:pPr>
              <w:pStyle w:val="47"/>
              <w:keepNext w:val="0"/>
              <w:keepLines w:val="0"/>
              <w:pageBreakBefore w:val="0"/>
              <w:kinsoku/>
              <w:wordWrap/>
              <w:overflowPunct/>
              <w:topLinePunct w:val="0"/>
              <w:bidi w:val="0"/>
              <w:adjustRightInd/>
              <w:snapToGrid/>
              <w:ind w:firstLine="420" w:firstLineChars="200"/>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（4.3）</w:t>
            </w:r>
            <w:r>
              <w:rPr>
                <w:rFonts w:hint="default" w:ascii="Times New Roman" w:hAnsi="Times New Roman" w:eastAsia="宋体" w:cs="Times New Roman"/>
                <w:color w:val="auto"/>
                <w:sz w:val="21"/>
                <w:szCs w:val="21"/>
                <w:u w:val="single"/>
              </w:rPr>
              <w:t>项目所在地位于</w:t>
            </w:r>
            <w:r>
              <w:rPr>
                <w:rFonts w:hint="default" w:ascii="Times New Roman" w:hAnsi="Times New Roman" w:eastAsia="宋体" w:cs="Times New Roman"/>
                <w:color w:val="auto"/>
                <w:sz w:val="21"/>
                <w:szCs w:val="21"/>
                <w:u w:val="single"/>
                <w:lang w:eastAsia="zh-CN"/>
              </w:rPr>
              <w:t>岳阳市绿色产业化工园云溪片区</w:t>
            </w:r>
            <w:r>
              <w:rPr>
                <w:rFonts w:hint="default" w:ascii="Times New Roman" w:hAnsi="Times New Roman" w:eastAsia="宋体" w:cs="Times New Roman"/>
                <w:color w:val="auto"/>
                <w:sz w:val="21"/>
                <w:szCs w:val="21"/>
                <w:u w:val="single"/>
              </w:rPr>
              <w:t>，用地性质为工业用地。</w:t>
            </w:r>
            <w:r>
              <w:rPr>
                <w:rFonts w:hint="default" w:ascii="Times New Roman" w:hAnsi="Times New Roman" w:eastAsia="宋体" w:cs="Times New Roman"/>
                <w:color w:val="auto"/>
                <w:sz w:val="21"/>
                <w:szCs w:val="21"/>
                <w:u w:val="single"/>
                <w:lang w:eastAsia="zh-CN"/>
              </w:rPr>
              <w:t>符合土地总体规划。</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ascii="Times New Roman" w:hAnsi="Times New Roman" w:eastAsia="宋体" w:cs="Times New Roman"/>
          <w:color w:val="auto"/>
          <w:kern w:val="2"/>
          <w:sz w:val="24"/>
          <w:szCs w:val="24"/>
          <w:u w:val="single"/>
          <w:lang w:val="en-US" w:eastAsia="zh-CN" w:bidi="ar-SA"/>
        </w:rPr>
        <w:t>综上项目与《湖南省“三线一单”生态环境总体管控要求暨省级以上产业园区生态环境准入清单》相符。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olor w:val="auto"/>
          <w:sz w:val="24"/>
          <w:szCs w:val="24"/>
          <w:u w:val="single"/>
          <w:lang w:val="en-US" w:eastAsia="zh-CN"/>
        </w:rPr>
      </w:pPr>
      <w:r>
        <w:rPr>
          <w:rFonts w:hint="eastAsia" w:ascii="Calibri" w:hAnsi="Calibri" w:eastAsia="宋体"/>
          <w:color w:val="auto"/>
          <w:sz w:val="24"/>
          <w:szCs w:val="24"/>
          <w:u w:val="single"/>
          <w:lang w:val="en-US" w:eastAsia="zh-CN"/>
        </w:rPr>
        <w:t>项目与《湖南省关于实施“三线一单”生态环境分区管控的意见》相符性分析。</w:t>
      </w:r>
    </w:p>
    <w:p>
      <w:pPr>
        <w:widowControl w:val="0"/>
        <w:bidi w:val="0"/>
        <w:spacing w:line="360" w:lineRule="auto"/>
        <w:jc w:val="center"/>
        <w:rPr>
          <w:rFonts w:hint="default" w:ascii="Times New Roman" w:hAnsi="Times New Roman" w:eastAsia="宋体" w:cs="Times New Roman"/>
          <w:b/>
          <w:color w:val="auto"/>
          <w:kern w:val="2"/>
          <w:sz w:val="24"/>
          <w:szCs w:val="22"/>
          <w:lang w:val="en-US" w:eastAsia="zh-CN" w:bidi="ar-SA"/>
        </w:rPr>
      </w:pPr>
      <w:r>
        <w:rPr>
          <w:rFonts w:hint="eastAsia" w:ascii="Times New Roman" w:hAnsi="Times New Roman" w:eastAsia="宋体" w:cs="Times New Roman"/>
          <w:b/>
          <w:color w:val="auto"/>
          <w:kern w:val="2"/>
          <w:sz w:val="24"/>
          <w:szCs w:val="22"/>
          <w:u w:val="single"/>
          <w:lang w:val="en-US" w:eastAsia="zh-CN" w:bidi="ar-SA"/>
        </w:rPr>
        <w:t>表1.5-3《湖南省关于实施“三线一单”生态环境分区管控的意见》符合性分析</w:t>
      </w: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5108"/>
        <w:gridCol w:w="28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0" w:type="auto"/>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内容</w:t>
            </w:r>
          </w:p>
        </w:tc>
        <w:tc>
          <w:tcPr>
            <w:tcW w:w="0" w:type="auto"/>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0" w:type="auto"/>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环境管控单元</w:t>
            </w:r>
          </w:p>
        </w:tc>
        <w:tc>
          <w:tcPr>
            <w:tcW w:w="0" w:type="auto"/>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环境管控单元划分。环境管控单元包括优先保护、重点管控和一般管控单元三类。优先保护单元指以生态环境保护为主的区域，主要包括各类自然保护地、饮用水源保护区、环境空气一类功能区、永久基本农田保护区等。重点管控单元指涉及水、大气、土壤、自然资源等资源环境要素重点管控的区域，主要包括城镇规划区、省级以上产业园区和开发强度大、污染物排放强度高的区域等。一般管控单元指优先保护单元和重点管控单元之外的其他区域。</w:t>
            </w:r>
          </w:p>
        </w:tc>
        <w:tc>
          <w:tcPr>
            <w:tcW w:w="0" w:type="auto"/>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本项目位于云溪区</w:t>
            </w:r>
            <w:r>
              <w:rPr>
                <w:rFonts w:hint="default" w:ascii="Times New Roman" w:hAnsi="Times New Roman" w:eastAsia="宋体" w:cs="Times New Roman"/>
                <w:color w:val="auto"/>
                <w:kern w:val="2"/>
                <w:sz w:val="21"/>
                <w:szCs w:val="20"/>
                <w:u w:val="single"/>
                <w:lang w:val="en-US" w:eastAsia="zh-CN" w:bidi="ar-SA"/>
              </w:rPr>
              <w:t>湖南岳阳绿色化工产业园</w:t>
            </w:r>
            <w:r>
              <w:rPr>
                <w:rFonts w:hint="eastAsia" w:ascii="Times New Roman" w:hAnsi="Times New Roman" w:eastAsia="宋体" w:cs="Times New Roman"/>
                <w:color w:val="auto"/>
                <w:kern w:val="2"/>
                <w:sz w:val="21"/>
                <w:szCs w:val="20"/>
                <w:u w:val="single"/>
                <w:lang w:val="en-US" w:eastAsia="zh-CN" w:bidi="ar-SA"/>
              </w:rPr>
              <w:t>，属于省级化工园区。根据划分属于重点环境管控单元。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0" w:type="auto"/>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生态环境准入清单</w:t>
            </w:r>
          </w:p>
        </w:tc>
        <w:tc>
          <w:tcPr>
            <w:tcW w:w="0" w:type="auto"/>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以环境管控单元为基础，从空间布局约束、污染物排放管控、环境风险防控和资源利用效率等方面明确准入、限制和禁止的要求，建立“1+14+860”生态环境准入清单管控体系。</w:t>
            </w:r>
          </w:p>
        </w:tc>
        <w:tc>
          <w:tcPr>
            <w:tcW w:w="0" w:type="auto"/>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经上述分析项目与《湖南省“三线一单”生态环境总体管控要求暨省级以上产业园区生态环境准入清单》相符。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0" w:type="auto"/>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分区管控要求</w:t>
            </w:r>
          </w:p>
        </w:tc>
        <w:tc>
          <w:tcPr>
            <w:tcW w:w="0" w:type="auto"/>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优先保护单元应依法禁止或限制大规模、高强度的工业和城镇建设，在功能受损的优先保护单元优先开展生态保护修复活动，恢复生态系统服务功能。重点管控单元应优化空间布局，加强污染物排放控制和环境风险防控，不断提升资源利用效率，解决生态环境质量不达标、生态环境风险高等问题。一般管控单元主要落实生态环境保护基本要求。</w:t>
            </w:r>
          </w:p>
        </w:tc>
        <w:tc>
          <w:tcPr>
            <w:tcW w:w="0" w:type="auto"/>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本项目属于重点管控单元，根据项目平面布置分析项目平面布局合理；项目能源利用力高；经过环境影响预测本项目对环境影响小；经过对项目风险评估，项目完善风险防范措施后，环境风险影响较小。</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ascii="Times New Roman" w:hAnsi="Times New Roman" w:eastAsia="宋体" w:cs="Times New Roman"/>
          <w:color w:val="auto"/>
          <w:kern w:val="2"/>
          <w:sz w:val="24"/>
          <w:szCs w:val="24"/>
          <w:u w:val="single"/>
          <w:lang w:val="en-US" w:eastAsia="zh-CN" w:bidi="ar-SA"/>
        </w:rPr>
        <w:t>综上项目符合《湖南省</w:t>
      </w:r>
      <w:r>
        <w:rPr>
          <w:rFonts w:hint="eastAsia" w:ascii="Calibri" w:hAnsi="Calibri" w:eastAsia="宋体"/>
          <w:color w:val="auto"/>
          <w:sz w:val="24"/>
          <w:szCs w:val="24"/>
          <w:u w:val="single"/>
          <w:lang w:val="en-US" w:eastAsia="zh-CN"/>
        </w:rPr>
        <w:t>关于实施“三线一单”生态环境分区管控的意见</w:t>
      </w:r>
      <w:r>
        <w:rPr>
          <w:rFonts w:hint="eastAsia" w:ascii="Times New Roman" w:hAnsi="Times New Roman" w:eastAsia="宋体" w:cs="Times New Roman"/>
          <w:color w:val="auto"/>
          <w:kern w:val="2"/>
          <w:sz w:val="24"/>
          <w:szCs w:val="24"/>
          <w:u w:val="single"/>
          <w:lang w:val="en-US" w:eastAsia="zh-CN" w:bidi="ar-SA"/>
        </w:rPr>
        <w:t>》。</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ascii="Times New Roman" w:hAnsi="Times New Roman" w:eastAsia="宋体" w:cs="Times New Roman"/>
          <w:b/>
          <w:color w:val="auto"/>
          <w:kern w:val="2"/>
          <w:sz w:val="30"/>
          <w:szCs w:val="22"/>
          <w:lang w:val="en-US" w:eastAsia="zh-CN" w:bidi="ar-SA"/>
        </w:rPr>
      </w:pPr>
      <w:bookmarkStart w:id="27" w:name="_Toc18816"/>
      <w:r>
        <w:rPr>
          <w:rFonts w:hint="eastAsia" w:ascii="Times New Roman" w:hAnsi="Times New Roman" w:eastAsia="宋体" w:cs="Times New Roman"/>
          <w:b/>
          <w:color w:val="auto"/>
          <w:kern w:val="2"/>
          <w:sz w:val="30"/>
          <w:szCs w:val="22"/>
          <w:lang w:val="en-US" w:eastAsia="zh-CN" w:bidi="ar-SA"/>
        </w:rPr>
        <w:t>1.6主要评价结论</w:t>
      </w:r>
      <w:bookmarkEnd w:id="25"/>
      <w:bookmarkEnd w:id="26"/>
      <w:bookmarkEnd w:id="27"/>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符合相关产业政策、选址合理。项目运营后产生一定的废气、废水、噪声、固体废物，在落实清洁生产、严格采取本评价提出的环保措施、实施环境管理与监测计划以及主要污染物总量控制方案以后，项目对周围环境的影响可以控制在国家有关标准和要求的允许范围以内，并将产生较好的社会、经济和环境效益。</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虽然项目运营过程中不可避免</w:t>
      </w:r>
      <w:r>
        <w:rPr>
          <w:rFonts w:hint="eastAsia" w:ascii="Times New Roman" w:hAnsi="Times New Roman" w:cs="Times New Roman"/>
          <w:color w:val="auto"/>
          <w:kern w:val="2"/>
          <w:sz w:val="24"/>
          <w:szCs w:val="20"/>
          <w:lang w:val="en-US" w:eastAsia="zh-CN" w:bidi="ar-SA"/>
        </w:rPr>
        <w:t>的</w:t>
      </w:r>
      <w:r>
        <w:rPr>
          <w:rFonts w:hint="eastAsia" w:ascii="Times New Roman" w:hAnsi="Times New Roman" w:eastAsia="宋体" w:cs="Times New Roman"/>
          <w:color w:val="auto"/>
          <w:kern w:val="2"/>
          <w:sz w:val="24"/>
          <w:szCs w:val="20"/>
          <w:lang w:val="en-US" w:eastAsia="zh-CN" w:bidi="ar-SA"/>
        </w:rPr>
        <w:t>对周围环境造成一定不利影响，但只要建设单位严格按照环境保护相关要求，对项目产生的污染采取相应的污染防治措施，管理到位，环保设施运行正常的情况下，项目运营对环境的不利影响可降至环境可接受程度。在此前提下，从环境影响角度分析，项目建设可行。</w:t>
      </w:r>
    </w:p>
    <w:p>
      <w:pPr>
        <w:adjustRightInd w:val="0"/>
        <w:snapToGrid w:val="0"/>
        <w:spacing w:line="360" w:lineRule="auto"/>
        <w:jc w:val="center"/>
        <w:outlineLvl w:val="0"/>
        <w:rPr>
          <w:rFonts w:hint="eastAsia" w:ascii="Times New Roman" w:hAnsi="Times New Roman" w:eastAsia="宋体" w:cs="Times New Roman"/>
          <w:b/>
          <w:color w:val="auto"/>
          <w:kern w:val="44"/>
          <w:sz w:val="32"/>
          <w:szCs w:val="32"/>
          <w:lang w:val="en-US" w:eastAsia="zh-CN" w:bidi="ar-SA"/>
        </w:rPr>
      </w:pPr>
      <w:r>
        <w:rPr>
          <w:rFonts w:ascii="Calibri" w:hAnsi="宋体" w:eastAsia="宋体"/>
          <w:color w:val="auto"/>
          <w:sz w:val="24"/>
        </w:rPr>
        <w:br w:type="page"/>
      </w:r>
      <w:bookmarkStart w:id="28" w:name="_Toc21617"/>
      <w:r>
        <w:rPr>
          <w:rFonts w:hint="eastAsia" w:ascii="Times New Roman" w:hAnsi="Times New Roman" w:eastAsia="宋体" w:cs="Times New Roman"/>
          <w:b/>
          <w:color w:val="auto"/>
          <w:kern w:val="44"/>
          <w:sz w:val="32"/>
          <w:szCs w:val="32"/>
          <w:lang w:val="en-US" w:eastAsia="zh-CN" w:bidi="ar-SA"/>
        </w:rPr>
        <w:t>2、总则</w:t>
      </w:r>
      <w:bookmarkEnd w:id="28"/>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ascii="Times New Roman" w:hAnsi="Times New Roman" w:eastAsia="宋体" w:cs="Times New Roman"/>
          <w:b/>
          <w:color w:val="auto"/>
          <w:kern w:val="2"/>
          <w:sz w:val="30"/>
          <w:szCs w:val="22"/>
          <w:lang w:val="en-US" w:eastAsia="zh-CN" w:bidi="ar-SA"/>
        </w:rPr>
      </w:pPr>
      <w:bookmarkStart w:id="29" w:name="_Toc10083"/>
      <w:r>
        <w:rPr>
          <w:rFonts w:hint="eastAsia" w:ascii="Times New Roman" w:hAnsi="Times New Roman" w:eastAsia="宋体" w:cs="Times New Roman"/>
          <w:b/>
          <w:color w:val="auto"/>
          <w:kern w:val="2"/>
          <w:sz w:val="30"/>
          <w:szCs w:val="22"/>
          <w:lang w:val="en-US" w:eastAsia="zh-CN" w:bidi="ar-SA"/>
        </w:rPr>
        <w:t>2.1</w:t>
      </w:r>
      <w:r>
        <w:rPr>
          <w:rFonts w:ascii="Times New Roman" w:hAnsi="Times New Roman" w:eastAsia="宋体" w:cs="Times New Roman"/>
          <w:b/>
          <w:color w:val="auto"/>
          <w:kern w:val="2"/>
          <w:sz w:val="30"/>
          <w:szCs w:val="22"/>
          <w:lang w:val="en-US" w:eastAsia="zh-CN" w:bidi="ar-SA"/>
        </w:rPr>
        <w:t>评价</w:t>
      </w:r>
      <w:r>
        <w:rPr>
          <w:rFonts w:hint="eastAsia" w:ascii="Times New Roman" w:hAnsi="Times New Roman" w:eastAsia="宋体" w:cs="Times New Roman"/>
          <w:b/>
          <w:color w:val="auto"/>
          <w:kern w:val="2"/>
          <w:sz w:val="30"/>
          <w:szCs w:val="22"/>
          <w:lang w:val="en-US" w:eastAsia="zh-CN" w:bidi="ar-SA"/>
        </w:rPr>
        <w:t>目的与原则</w:t>
      </w:r>
      <w:bookmarkEnd w:id="29"/>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2.1.1评价目的</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环境影响评价作为建设项目基本管理制度，其目的是贯彻“环境保护”基本国策，实施“以防为主、防治结合、综合利用”的环境管理方针。通过对拟建项目的环境影响评价工作，以达到如下目的：</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（1）通过现场调查与现状监测，了解和掌握评价区域的环境质量现状；</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（2）通过工程分析确定拟建项目的主要污染源和排污特征，分析预测项目各类污染物对环境影响的程度和范围；</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（3）论证项目拟采取的环保设施和污染防治措施的可行性和可靠性，并针对性地提出防治措施及对策；</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（4）从环境保护的角度论证项目选址的合理性，避免重大决策失误</w:t>
      </w:r>
      <w:r>
        <w:rPr>
          <w:rFonts w:hint="eastAsia" w:ascii="Times New Roman" w:hAnsi="Times New Roman"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论证项目的环境可行性，提出项目环境管理监管计划；</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（5）从环境保护</w:t>
      </w:r>
      <w:r>
        <w:rPr>
          <w:rFonts w:hint="eastAsia" w:ascii="Times New Roman" w:hAnsi="Times New Roman" w:cs="Times New Roman"/>
          <w:color w:val="auto"/>
          <w:kern w:val="2"/>
          <w:sz w:val="24"/>
          <w:szCs w:val="20"/>
          <w:lang w:val="en-US" w:eastAsia="zh-CN" w:bidi="ar-SA"/>
        </w:rPr>
        <w:t>的</w:t>
      </w:r>
      <w:r>
        <w:rPr>
          <w:rFonts w:hint="eastAsia" w:ascii="Times New Roman" w:hAnsi="Times New Roman" w:eastAsia="宋体" w:cs="Times New Roman"/>
          <w:color w:val="auto"/>
          <w:kern w:val="2"/>
          <w:sz w:val="24"/>
          <w:szCs w:val="20"/>
          <w:lang w:val="en-US" w:eastAsia="zh-CN" w:bidi="ar-SA"/>
        </w:rPr>
        <w:t>角度论证该项目的可行性，为项目的初步设计和有关部门进行环境管理和污染防治提供科学依据。</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2.1.2评价原则</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在认真贯彻《中华人民共和国环境影响评价法》</w:t>
      </w:r>
      <w:r>
        <w:rPr>
          <w:rFonts w:hint="eastAsia" w:ascii="Times New Roman" w:hAnsi="Times New Roman" w:cs="Times New Roman"/>
          <w:color w:val="auto"/>
          <w:kern w:val="2"/>
          <w:sz w:val="24"/>
          <w:szCs w:val="20"/>
          <w:lang w:val="en-US" w:eastAsia="zh-CN" w:bidi="ar-SA"/>
        </w:rPr>
        <w:t>的</w:t>
      </w:r>
      <w:r>
        <w:rPr>
          <w:rFonts w:hint="eastAsia" w:ascii="Times New Roman" w:hAnsi="Times New Roman" w:eastAsia="宋体" w:cs="Times New Roman"/>
          <w:color w:val="auto"/>
          <w:kern w:val="2"/>
          <w:sz w:val="24"/>
          <w:szCs w:val="20"/>
          <w:lang w:val="en-US" w:eastAsia="zh-CN" w:bidi="ar-SA"/>
        </w:rPr>
        <w:t>基础上，坚持环境影响评价为环境管理服务；同时结合城市总体规划、环境功能区划及其它相关规划，科学、客观、公正地开展环评工作。本次环评遵循以下原则：</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（1）相关资料的收集应该全面、充分，现状调查和类比调查分析应具有代表性；</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（2）污染调查与工程分析力求准确；</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（3）环境影响预测与评价方法要具有合理性、数据可信；</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（4）提出的环境保护措施、污染防治措施应该具有很强的可操作性，提出的环境管理和监理计划要切实可行。</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ascii="Times New Roman" w:hAnsi="Times New Roman" w:eastAsia="宋体" w:cs="Times New Roman"/>
          <w:b/>
          <w:color w:val="auto"/>
          <w:kern w:val="2"/>
          <w:sz w:val="28"/>
          <w:szCs w:val="28"/>
          <w:lang w:val="en-US" w:eastAsia="zh-CN" w:bidi="ar-SA"/>
        </w:rPr>
      </w:pPr>
      <w:bookmarkStart w:id="30" w:name="_Toc23407"/>
      <w:r>
        <w:rPr>
          <w:rFonts w:hint="eastAsia" w:ascii="Times New Roman" w:hAnsi="Times New Roman" w:eastAsia="宋体" w:cs="Times New Roman"/>
          <w:b/>
          <w:color w:val="auto"/>
          <w:kern w:val="2"/>
          <w:sz w:val="28"/>
          <w:szCs w:val="28"/>
          <w:lang w:val="en-US" w:eastAsia="zh-CN" w:bidi="ar-SA"/>
        </w:rPr>
        <w:t>2.2</w:t>
      </w:r>
      <w:r>
        <w:rPr>
          <w:rFonts w:ascii="Times New Roman" w:hAnsi="宋体" w:eastAsia="宋体" w:cs="Times New Roman"/>
          <w:b/>
          <w:color w:val="auto"/>
          <w:kern w:val="2"/>
          <w:sz w:val="28"/>
          <w:szCs w:val="28"/>
          <w:lang w:val="en-US" w:eastAsia="zh-CN" w:bidi="ar-SA"/>
        </w:rPr>
        <w:t>编制依据</w:t>
      </w:r>
      <w:bookmarkEnd w:id="30"/>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2.2.1环境保护有关法律法规条例</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（1）《中华人民共和国环境保护法》</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2015年1月1日</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（2）《中华人民共和国水污染防治法》</w:t>
      </w:r>
      <w:r>
        <w:rPr>
          <w:rFonts w:hint="eastAsia" w:ascii="Times New Roman" w:hAnsi="Times New Roman" w:eastAsia="宋体" w:cs="Times New Roman"/>
          <w:color w:val="auto"/>
          <w:kern w:val="2"/>
          <w:sz w:val="24"/>
          <w:szCs w:val="20"/>
          <w:lang w:val="en-US" w:eastAsia="zh-CN" w:bidi="ar-SA"/>
        </w:rPr>
        <w:t>（2018年1月1日实施）</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（3）《中华人民共和国大气污染防治法》</w:t>
      </w:r>
      <w:r>
        <w:rPr>
          <w:rFonts w:hint="eastAsia" w:ascii="Times New Roman" w:hAnsi="Times New Roman" w:eastAsia="宋体" w:cs="Times New Roman"/>
          <w:color w:val="auto"/>
          <w:kern w:val="2"/>
          <w:sz w:val="24"/>
          <w:szCs w:val="20"/>
          <w:lang w:val="en-US" w:eastAsia="zh-CN" w:bidi="ar-SA"/>
        </w:rPr>
        <w:t>（2018年10月26日修订并实施）</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（4）《中华人民共和国环境噪声污染防治法》</w:t>
      </w:r>
      <w:r>
        <w:rPr>
          <w:rFonts w:hint="eastAsia" w:ascii="Times New Roman" w:hAnsi="Times New Roman" w:eastAsia="宋体" w:cs="Times New Roman"/>
          <w:color w:val="auto"/>
          <w:kern w:val="2"/>
          <w:sz w:val="24"/>
          <w:szCs w:val="20"/>
          <w:lang w:val="en-US" w:eastAsia="zh-CN" w:bidi="ar-SA"/>
        </w:rPr>
        <w:t>（2018年12月29日修订）</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（5）《中华人民共和国固体废物污染环境防治法》</w:t>
      </w:r>
      <w:r>
        <w:rPr>
          <w:rFonts w:hint="eastAsia" w:ascii="Times New Roman" w:hAnsi="Times New Roman" w:eastAsia="宋体" w:cs="Times New Roman"/>
          <w:color w:val="auto"/>
          <w:kern w:val="2"/>
          <w:sz w:val="24"/>
          <w:szCs w:val="20"/>
          <w:lang w:val="en-US" w:eastAsia="zh-CN" w:bidi="ar-SA"/>
        </w:rPr>
        <w:t>（2020年9月1日实施）</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（6）</w:t>
      </w:r>
      <w:r>
        <w:rPr>
          <w:rFonts w:hint="eastAsia" w:ascii="Times New Roman" w:hAnsi="Times New Roman" w:eastAsia="宋体" w:cs="Times New Roman"/>
          <w:color w:val="auto"/>
          <w:kern w:val="2"/>
          <w:sz w:val="24"/>
          <w:szCs w:val="20"/>
          <w:lang w:val="en-US" w:eastAsia="zh-CN" w:bidi="ar-SA"/>
        </w:rPr>
        <w:t>《中华人民共和国环境影响评价法》(2018年12月29日修订)</w:t>
      </w:r>
      <w:r>
        <w:rPr>
          <w:rFonts w:ascii="Times New Roman" w:hAnsi="Times New Roman" w:eastAsia="宋体" w:cs="Times New Roman"/>
          <w:color w:val="auto"/>
          <w:kern w:val="2"/>
          <w:sz w:val="24"/>
          <w:szCs w:val="20"/>
          <w:lang w:val="en-US" w:eastAsia="zh-CN" w:bidi="ar-SA"/>
        </w:rPr>
        <w:t>；</w:t>
      </w:r>
    </w:p>
    <w:p>
      <w:pPr>
        <w:spacing w:before="20" w:line="360" w:lineRule="auto"/>
        <w:ind w:firstLine="480" w:firstLineChars="200"/>
        <w:rPr>
          <w:rFonts w:hint="eastAsia" w:ascii="Times New Roman" w:hAnsi="Times New Roman"/>
          <w:color w:val="auto"/>
          <w:sz w:val="24"/>
          <w:szCs w:val="20"/>
          <w:lang w:val="en-US" w:eastAsia="zh-CN"/>
        </w:rPr>
      </w:pPr>
      <w:r>
        <w:rPr>
          <w:rFonts w:hint="eastAsia" w:ascii="Times New Roman" w:hAnsi="Times New Roman" w:cs="Times New Roman"/>
          <w:color w:val="auto"/>
          <w:kern w:val="2"/>
          <w:sz w:val="24"/>
          <w:szCs w:val="20"/>
          <w:lang w:val="en-US" w:eastAsia="zh-CN" w:bidi="ar-SA"/>
        </w:rPr>
        <w:t>（7）</w:t>
      </w:r>
      <w:r>
        <w:rPr>
          <w:rFonts w:ascii="Times New Roman" w:hAnsi="Times New Roman" w:eastAsia="宋体" w:cs="Times New Roman"/>
          <w:color w:val="auto"/>
          <w:kern w:val="2"/>
          <w:sz w:val="24"/>
          <w:szCs w:val="20"/>
          <w:lang w:val="en-US" w:eastAsia="zh-CN" w:bidi="ar-SA"/>
        </w:rPr>
        <w:t>《</w:t>
      </w:r>
      <w:r>
        <w:rPr>
          <w:rFonts w:hint="default" w:ascii="Times New Roman" w:hAnsi="Times New Roman"/>
          <w:color w:val="auto"/>
          <w:sz w:val="24"/>
          <w:szCs w:val="20"/>
          <w:lang w:eastAsia="zh-CN"/>
        </w:rPr>
        <w:t>中华人民共和国土壤污染防治法</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（20</w:t>
      </w:r>
      <w:r>
        <w:rPr>
          <w:rFonts w:hint="eastAsia" w:ascii="Times New Roman" w:hAnsi="Times New Roman" w:cs="Times New Roman"/>
          <w:color w:val="auto"/>
          <w:kern w:val="2"/>
          <w:sz w:val="24"/>
          <w:szCs w:val="20"/>
          <w:lang w:val="en-US" w:eastAsia="zh-CN" w:bidi="ar-SA"/>
        </w:rPr>
        <w:t>19</w:t>
      </w:r>
      <w:r>
        <w:rPr>
          <w:rFonts w:hint="eastAsia" w:ascii="Times New Roman" w:hAnsi="Times New Roman" w:eastAsia="宋体" w:cs="Times New Roman"/>
          <w:color w:val="auto"/>
          <w:kern w:val="2"/>
          <w:sz w:val="24"/>
          <w:szCs w:val="20"/>
          <w:lang w:val="en-US" w:eastAsia="zh-CN" w:bidi="ar-SA"/>
        </w:rPr>
        <w:t>年</w:t>
      </w:r>
      <w:r>
        <w:rPr>
          <w:rFonts w:hint="eastAsia" w:ascii="Times New Roman" w:hAnsi="Times New Roman" w:cs="Times New Roman"/>
          <w:color w:val="auto"/>
          <w:kern w:val="2"/>
          <w:sz w:val="24"/>
          <w:szCs w:val="20"/>
          <w:lang w:val="en-US" w:eastAsia="zh-CN" w:bidi="ar-SA"/>
        </w:rPr>
        <w:t>1</w:t>
      </w:r>
      <w:r>
        <w:rPr>
          <w:rFonts w:hint="eastAsia" w:ascii="Times New Roman" w:hAnsi="Times New Roman" w:eastAsia="宋体" w:cs="Times New Roman"/>
          <w:color w:val="auto"/>
          <w:kern w:val="2"/>
          <w:sz w:val="24"/>
          <w:szCs w:val="20"/>
          <w:lang w:val="en-US" w:eastAsia="zh-CN" w:bidi="ar-SA"/>
        </w:rPr>
        <w:t>月1日实施）</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8</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《中华人民共和国清洁生产促进法》(2012年7月1日)</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9</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《中华人民共和国水土保持法》（2011年3月1日）</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10</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《建设项目环境保护管理条例》(中华人民共和国国务院第682号令，2017年10月1日)</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（1</w:t>
      </w:r>
      <w:r>
        <w:rPr>
          <w:rFonts w:hint="eastAsia" w:ascii="Times New Roman" w:hAnsi="Times New Roman" w:cs="Times New Roman"/>
          <w:color w:val="auto"/>
          <w:kern w:val="2"/>
          <w:sz w:val="24"/>
          <w:szCs w:val="20"/>
          <w:lang w:val="en-US" w:eastAsia="zh-CN" w:bidi="ar-SA"/>
        </w:rPr>
        <w:t>1</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《建设项目环境保护分类管理名录》(生态环保部令第1号，20</w:t>
      </w:r>
      <w:r>
        <w:rPr>
          <w:rFonts w:hint="eastAsia" w:ascii="Times New Roman" w:hAnsi="Times New Roman" w:cs="Times New Roman"/>
          <w:color w:val="auto"/>
          <w:kern w:val="2"/>
          <w:sz w:val="24"/>
          <w:szCs w:val="20"/>
          <w:lang w:val="en-US" w:eastAsia="zh-CN" w:bidi="ar-SA"/>
        </w:rPr>
        <w:t>21</w:t>
      </w:r>
      <w:r>
        <w:rPr>
          <w:rFonts w:hint="eastAsia" w:ascii="Times New Roman" w:hAnsi="Times New Roman" w:eastAsia="宋体" w:cs="Times New Roman"/>
          <w:color w:val="auto"/>
          <w:kern w:val="2"/>
          <w:sz w:val="24"/>
          <w:szCs w:val="20"/>
          <w:lang w:val="en-US" w:eastAsia="zh-CN" w:bidi="ar-SA"/>
        </w:rPr>
        <w:t>年</w:t>
      </w:r>
      <w:r>
        <w:rPr>
          <w:rFonts w:hint="eastAsia" w:ascii="Times New Roman" w:hAnsi="Times New Roman" w:cs="Times New Roman"/>
          <w:color w:val="auto"/>
          <w:kern w:val="2"/>
          <w:sz w:val="24"/>
          <w:szCs w:val="20"/>
          <w:lang w:val="en-US" w:eastAsia="zh-CN" w:bidi="ar-SA"/>
        </w:rPr>
        <w:t>1</w:t>
      </w:r>
      <w:r>
        <w:rPr>
          <w:rFonts w:hint="eastAsia" w:ascii="Times New Roman" w:hAnsi="Times New Roman" w:eastAsia="宋体" w:cs="Times New Roman"/>
          <w:color w:val="auto"/>
          <w:kern w:val="2"/>
          <w:sz w:val="24"/>
          <w:szCs w:val="20"/>
          <w:lang w:val="en-US" w:eastAsia="zh-CN" w:bidi="ar-SA"/>
        </w:rPr>
        <w:t>月</w:t>
      </w:r>
      <w:r>
        <w:rPr>
          <w:rFonts w:hint="eastAsia" w:ascii="Times New Roman" w:hAnsi="Times New Roman" w:cs="Times New Roman"/>
          <w:color w:val="auto"/>
          <w:kern w:val="2"/>
          <w:sz w:val="24"/>
          <w:szCs w:val="20"/>
          <w:lang w:val="en-US" w:eastAsia="zh-CN" w:bidi="ar-SA"/>
        </w:rPr>
        <w:t>1</w:t>
      </w:r>
      <w:r>
        <w:rPr>
          <w:rFonts w:hint="eastAsia" w:ascii="Times New Roman" w:hAnsi="Times New Roman" w:eastAsia="宋体" w:cs="Times New Roman"/>
          <w:color w:val="auto"/>
          <w:kern w:val="2"/>
          <w:sz w:val="24"/>
          <w:szCs w:val="20"/>
          <w:lang w:val="en-US" w:eastAsia="zh-CN" w:bidi="ar-SA"/>
        </w:rPr>
        <w:t>日施行)</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（1</w:t>
      </w:r>
      <w:r>
        <w:rPr>
          <w:rFonts w:hint="eastAsia" w:ascii="Times New Roman" w:hAnsi="Times New Roman" w:cs="Times New Roman"/>
          <w:color w:val="auto"/>
          <w:kern w:val="2"/>
          <w:sz w:val="24"/>
          <w:szCs w:val="20"/>
          <w:lang w:val="en-US" w:eastAsia="zh-CN" w:bidi="ar-SA"/>
        </w:rPr>
        <w:t>2</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《产业结构调整指导目录（2019年本）》国家发改委令第29号</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（1</w:t>
      </w:r>
      <w:r>
        <w:rPr>
          <w:rFonts w:hint="eastAsia" w:ascii="Times New Roman" w:hAnsi="Times New Roman" w:cs="Times New Roman"/>
          <w:color w:val="auto"/>
          <w:kern w:val="2"/>
          <w:sz w:val="24"/>
          <w:szCs w:val="20"/>
          <w:lang w:val="en-US" w:eastAsia="zh-CN" w:bidi="ar-SA"/>
        </w:rPr>
        <w:t>3</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《国家危险废物名录》(2016年8月1日)</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（1</w:t>
      </w:r>
      <w:r>
        <w:rPr>
          <w:rFonts w:hint="eastAsia" w:ascii="Times New Roman" w:hAnsi="Times New Roman" w:cs="Times New Roman"/>
          <w:color w:val="auto"/>
          <w:kern w:val="2"/>
          <w:sz w:val="24"/>
          <w:szCs w:val="20"/>
          <w:lang w:val="en-US" w:eastAsia="zh-CN" w:bidi="ar-SA"/>
        </w:rPr>
        <w:t>4</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《关于进一步加强环境影响评价管理防范环境风险的通知》（2012年7月3日实施）</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1</w:t>
      </w:r>
      <w:r>
        <w:rPr>
          <w:rFonts w:hint="eastAsia" w:ascii="Times New Roman" w:hAnsi="Times New Roman" w:cs="Times New Roman"/>
          <w:color w:val="auto"/>
          <w:kern w:val="2"/>
          <w:sz w:val="24"/>
          <w:szCs w:val="20"/>
          <w:lang w:val="en-US" w:eastAsia="zh-CN" w:bidi="ar-SA"/>
        </w:rPr>
        <w:t>5</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《关于进一步加强环境监督管理严防发生污染事故的紧急通知》（2005年11月28日实施）</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single"/>
          <w:lang w:val="en-US" w:eastAsia="zh-CN" w:bidi="ar-SA"/>
        </w:rPr>
      </w:pPr>
      <w:r>
        <w:rPr>
          <w:rFonts w:hint="eastAsia" w:ascii="Times New Roman" w:hAnsi="Times New Roman" w:eastAsia="宋体" w:cs="Times New Roman"/>
          <w:color w:val="auto"/>
          <w:kern w:val="2"/>
          <w:sz w:val="24"/>
          <w:szCs w:val="20"/>
          <w:u w:val="single"/>
          <w:lang w:val="en-US" w:eastAsia="zh-CN" w:bidi="ar-SA"/>
        </w:rPr>
        <w:t>（16）《</w:t>
      </w:r>
      <w:r>
        <w:rPr>
          <w:rFonts w:hint="eastAsia" w:ascii="Times New Roman" w:hAnsi="Times New Roman" w:cs="Times New Roman"/>
          <w:color w:val="auto"/>
          <w:kern w:val="2"/>
          <w:sz w:val="24"/>
          <w:szCs w:val="20"/>
          <w:u w:val="single"/>
          <w:lang w:val="en-US" w:eastAsia="zh-CN" w:bidi="ar-SA"/>
        </w:rPr>
        <w:t>湖南省</w:t>
      </w:r>
      <w:r>
        <w:rPr>
          <w:rFonts w:hint="eastAsia" w:ascii="Times New Roman" w:hAnsi="Times New Roman" w:eastAsia="宋体" w:cs="Times New Roman"/>
          <w:color w:val="auto"/>
          <w:kern w:val="2"/>
          <w:sz w:val="24"/>
          <w:szCs w:val="20"/>
          <w:u w:val="single"/>
          <w:lang w:val="en-US" w:eastAsia="zh-CN" w:bidi="ar-SA"/>
        </w:rPr>
        <w:t>关于实施“三线一单”生态环境分区管控的意见》</w:t>
      </w:r>
      <w:r>
        <w:rPr>
          <w:rFonts w:hint="eastAsia" w:ascii="Times New Roman" w:hAnsi="Times New Roman" w:cs="Times New Roman"/>
          <w:color w:val="auto"/>
          <w:kern w:val="2"/>
          <w:sz w:val="24"/>
          <w:szCs w:val="20"/>
          <w:u w:val="single"/>
          <w:lang w:val="en-US" w:eastAsia="zh-CN" w:bidi="ar-SA"/>
        </w:rPr>
        <w:t>（湘政发[2020]12号）；</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single"/>
          <w:lang w:val="en-US" w:eastAsia="zh-CN" w:bidi="ar-SA"/>
        </w:rPr>
      </w:pPr>
      <w:r>
        <w:rPr>
          <w:rFonts w:hint="eastAsia" w:ascii="Times New Roman" w:hAnsi="Times New Roman" w:eastAsia="宋体" w:cs="Times New Roman"/>
          <w:color w:val="auto"/>
          <w:kern w:val="2"/>
          <w:sz w:val="24"/>
          <w:szCs w:val="20"/>
          <w:u w:val="single"/>
          <w:lang w:val="en-US" w:eastAsia="zh-CN" w:bidi="ar-SA"/>
        </w:rPr>
        <w:t>（17）《</w:t>
      </w:r>
      <w:r>
        <w:rPr>
          <w:rFonts w:hint="eastAsia" w:ascii="Times New Roman" w:hAnsi="Times New Roman" w:cs="Times New Roman"/>
          <w:color w:val="auto"/>
          <w:kern w:val="2"/>
          <w:sz w:val="24"/>
          <w:szCs w:val="20"/>
          <w:u w:val="single"/>
          <w:lang w:val="en-US" w:eastAsia="zh-CN" w:bidi="ar-SA"/>
        </w:rPr>
        <w:t>湖南省</w:t>
      </w:r>
      <w:r>
        <w:rPr>
          <w:rFonts w:hint="eastAsia" w:ascii="Times New Roman" w:hAnsi="Times New Roman" w:eastAsia="宋体" w:cs="Times New Roman"/>
          <w:color w:val="auto"/>
          <w:kern w:val="2"/>
          <w:sz w:val="24"/>
          <w:szCs w:val="20"/>
          <w:u w:val="single"/>
          <w:lang w:val="en-US" w:eastAsia="zh-CN" w:bidi="ar-SA"/>
        </w:rPr>
        <w:t>长江经济</w:t>
      </w:r>
      <w:r>
        <w:rPr>
          <w:rFonts w:hint="eastAsia" w:ascii="Times New Roman" w:hAnsi="Times New Roman" w:cs="Times New Roman"/>
          <w:color w:val="auto"/>
          <w:kern w:val="2"/>
          <w:sz w:val="24"/>
          <w:szCs w:val="20"/>
          <w:u w:val="single"/>
          <w:lang w:val="en-US" w:eastAsia="zh-CN" w:bidi="ar-SA"/>
        </w:rPr>
        <w:t>带</w:t>
      </w:r>
      <w:r>
        <w:rPr>
          <w:rFonts w:hint="eastAsia" w:ascii="Times New Roman" w:hAnsi="Times New Roman" w:eastAsia="宋体" w:cs="Times New Roman"/>
          <w:color w:val="auto"/>
          <w:kern w:val="2"/>
          <w:sz w:val="24"/>
          <w:szCs w:val="20"/>
          <w:u w:val="single"/>
          <w:lang w:val="en-US" w:eastAsia="zh-CN" w:bidi="ar-SA"/>
        </w:rPr>
        <w:t>发展负面清单指南（试行）》</w:t>
      </w:r>
      <w:r>
        <w:rPr>
          <w:rFonts w:hint="eastAsia" w:ascii="Times New Roman" w:hAnsi="Times New Roman" w:eastAsia="宋体" w:cs="Times New Roman"/>
          <w:color w:val="auto"/>
          <w:kern w:val="2"/>
          <w:sz w:val="24"/>
          <w:szCs w:val="20"/>
          <w:lang w:val="en-US" w:eastAsia="zh-CN" w:bidi="ar-SA"/>
        </w:rPr>
        <w:t>（200</w:t>
      </w:r>
      <w:r>
        <w:rPr>
          <w:rFonts w:hint="eastAsia" w:ascii="Times New Roman" w:hAnsi="Times New Roman" w:cs="Times New Roman"/>
          <w:color w:val="auto"/>
          <w:kern w:val="2"/>
          <w:sz w:val="24"/>
          <w:szCs w:val="20"/>
          <w:lang w:val="en-US" w:eastAsia="zh-CN" w:bidi="ar-SA"/>
        </w:rPr>
        <w:t>9</w:t>
      </w:r>
      <w:r>
        <w:rPr>
          <w:rFonts w:hint="eastAsia" w:ascii="Times New Roman" w:hAnsi="Times New Roman" w:eastAsia="宋体" w:cs="Times New Roman"/>
          <w:color w:val="auto"/>
          <w:kern w:val="2"/>
          <w:sz w:val="24"/>
          <w:szCs w:val="20"/>
          <w:lang w:val="en-US" w:eastAsia="zh-CN" w:bidi="ar-SA"/>
        </w:rPr>
        <w:t>年1月</w:t>
      </w:r>
      <w:r>
        <w:rPr>
          <w:rFonts w:hint="eastAsia" w:ascii="Times New Roman" w:hAnsi="Times New Roman" w:cs="Times New Roman"/>
          <w:color w:val="auto"/>
          <w:kern w:val="2"/>
          <w:sz w:val="24"/>
          <w:szCs w:val="20"/>
          <w:lang w:val="en-US" w:eastAsia="zh-CN" w:bidi="ar-SA"/>
        </w:rPr>
        <w:t>12</w:t>
      </w:r>
      <w:r>
        <w:rPr>
          <w:rFonts w:hint="eastAsia" w:ascii="Times New Roman" w:hAnsi="Times New Roman" w:eastAsia="宋体" w:cs="Times New Roman"/>
          <w:color w:val="auto"/>
          <w:kern w:val="2"/>
          <w:sz w:val="24"/>
          <w:szCs w:val="20"/>
          <w:lang w:val="en-US" w:eastAsia="zh-CN" w:bidi="ar-SA"/>
        </w:rPr>
        <w:t>日</w:t>
      </w:r>
      <w:r>
        <w:rPr>
          <w:rFonts w:hint="eastAsia" w:ascii="Times New Roman" w:hAnsi="Times New Roman" w:cs="Times New Roman"/>
          <w:color w:val="auto"/>
          <w:kern w:val="2"/>
          <w:sz w:val="24"/>
          <w:szCs w:val="20"/>
          <w:lang w:val="en-US" w:eastAsia="zh-CN" w:bidi="ar-SA"/>
        </w:rPr>
        <w:t>印发</w:t>
      </w:r>
      <w:r>
        <w:rPr>
          <w:rFonts w:hint="eastAsia"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single"/>
          <w:lang w:val="en-US" w:eastAsia="zh-CN" w:bidi="ar-SA"/>
        </w:rPr>
      </w:pPr>
      <w:r>
        <w:rPr>
          <w:rFonts w:hint="eastAsia" w:ascii="Times New Roman" w:hAnsi="Times New Roman" w:eastAsia="宋体" w:cs="Times New Roman"/>
          <w:color w:val="auto"/>
          <w:kern w:val="2"/>
          <w:sz w:val="24"/>
          <w:szCs w:val="20"/>
          <w:u w:val="single"/>
          <w:lang w:val="en-US" w:eastAsia="zh-CN" w:bidi="ar-SA"/>
        </w:rPr>
        <w:t>（18）《湖南省</w:t>
      </w:r>
      <w:r>
        <w:rPr>
          <w:rFonts w:hint="eastAsia" w:ascii="Times New Roman" w:hAnsi="Times New Roman" w:cs="Times New Roman"/>
          <w:color w:val="auto"/>
          <w:kern w:val="2"/>
          <w:sz w:val="24"/>
          <w:szCs w:val="20"/>
          <w:u w:val="single"/>
          <w:lang w:val="en-US" w:eastAsia="zh-CN" w:bidi="ar-SA"/>
        </w:rPr>
        <w:t>重点</w:t>
      </w:r>
      <w:r>
        <w:rPr>
          <w:rFonts w:hint="eastAsia" w:ascii="Times New Roman" w:hAnsi="Times New Roman" w:eastAsia="宋体" w:cs="Times New Roman"/>
          <w:color w:val="auto"/>
          <w:kern w:val="2"/>
          <w:sz w:val="24"/>
          <w:szCs w:val="20"/>
          <w:u w:val="single"/>
          <w:lang w:val="en-US" w:eastAsia="zh-CN" w:bidi="ar-SA"/>
        </w:rPr>
        <w:t>建设项目管理</w:t>
      </w:r>
      <w:r>
        <w:rPr>
          <w:rFonts w:hint="eastAsia" w:ascii="Times New Roman" w:hAnsi="Times New Roman" w:cs="Times New Roman"/>
          <w:color w:val="auto"/>
          <w:kern w:val="2"/>
          <w:sz w:val="24"/>
          <w:szCs w:val="20"/>
          <w:u w:val="single"/>
          <w:lang w:val="en-US" w:eastAsia="zh-CN" w:bidi="ar-SA"/>
        </w:rPr>
        <w:t>规定</w:t>
      </w:r>
      <w:r>
        <w:rPr>
          <w:rFonts w:hint="eastAsia" w:ascii="Times New Roman" w:hAnsi="Times New Roman" w:eastAsia="宋体" w:cs="Times New Roman"/>
          <w:color w:val="auto"/>
          <w:kern w:val="2"/>
          <w:sz w:val="24"/>
          <w:szCs w:val="20"/>
          <w:u w:val="single"/>
          <w:lang w:val="en-US" w:eastAsia="zh-CN" w:bidi="ar-SA"/>
        </w:rPr>
        <w:t>》</w:t>
      </w:r>
      <w:r>
        <w:rPr>
          <w:rFonts w:hint="eastAsia" w:ascii="Times New Roman" w:hAnsi="Times New Roman" w:cs="Times New Roman"/>
          <w:color w:val="auto"/>
          <w:kern w:val="2"/>
          <w:sz w:val="24"/>
          <w:szCs w:val="20"/>
          <w:u w:val="single"/>
          <w:lang w:val="en-US" w:eastAsia="zh-CN" w:bidi="ar-SA"/>
        </w:rPr>
        <w:t>（湘政发[2017]285号）；</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single"/>
          <w:lang w:val="en-US" w:eastAsia="zh-CN" w:bidi="ar-SA"/>
        </w:rPr>
      </w:pPr>
      <w:r>
        <w:rPr>
          <w:rFonts w:hint="eastAsia" w:ascii="Times New Roman" w:hAnsi="Times New Roman" w:eastAsia="宋体" w:cs="Times New Roman"/>
          <w:color w:val="auto"/>
          <w:kern w:val="2"/>
          <w:sz w:val="24"/>
          <w:szCs w:val="20"/>
          <w:u w:val="single"/>
          <w:lang w:val="en-US" w:eastAsia="zh-CN" w:bidi="ar-SA"/>
        </w:rPr>
        <w:t>（19）《湖南省VOCs污染防治攻坚战三年行动计划》</w:t>
      </w:r>
      <w:r>
        <w:rPr>
          <w:rFonts w:hint="eastAsia" w:ascii="Times New Roman" w:hAnsi="Times New Roman" w:cs="Times New Roman"/>
          <w:color w:val="auto"/>
          <w:kern w:val="2"/>
          <w:sz w:val="24"/>
          <w:szCs w:val="20"/>
          <w:u w:val="single"/>
          <w:lang w:val="en-US" w:eastAsia="zh-CN" w:bidi="ar-SA"/>
        </w:rPr>
        <w:t>（湘环发2018 17号）；</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single"/>
          <w:lang w:val="en-US" w:eastAsia="zh-CN" w:bidi="ar-SA"/>
        </w:rPr>
      </w:pPr>
      <w:r>
        <w:rPr>
          <w:rFonts w:hint="eastAsia" w:ascii="Times New Roman" w:hAnsi="Times New Roman" w:eastAsia="宋体" w:cs="Times New Roman"/>
          <w:color w:val="auto"/>
          <w:kern w:val="2"/>
          <w:sz w:val="24"/>
          <w:szCs w:val="20"/>
          <w:u w:val="single"/>
          <w:lang w:val="en-US" w:eastAsia="zh-CN" w:bidi="ar-SA"/>
        </w:rPr>
        <w:t>（20）《湖南省VOCs污染防治三年行动实施方案（2018-2020）》</w:t>
      </w:r>
      <w:r>
        <w:rPr>
          <w:rFonts w:hint="eastAsia" w:ascii="Times New Roman" w:hAnsi="Times New Roman" w:cs="Times New Roman"/>
          <w:color w:val="auto"/>
          <w:kern w:val="2"/>
          <w:sz w:val="24"/>
          <w:szCs w:val="20"/>
          <w:u w:val="single"/>
          <w:lang w:val="en-US" w:eastAsia="zh-CN" w:bidi="ar-SA"/>
        </w:rPr>
        <w:t>（湘环发2018 11号）；</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21</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《环境影响评价公众参与办法》（生态环境部令4号，2019年1月1日）；</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22</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《水污染防治行动计划》，国发（2015）17号；</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23</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《大气污染防治行动计划》，国发（2013）37号</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24</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《土壤污染防治行动计划》，国发（2016）31号</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25</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《湖南省“十</w:t>
      </w:r>
      <w:r>
        <w:rPr>
          <w:rFonts w:hint="eastAsia" w:ascii="Times New Roman" w:hAnsi="Times New Roman" w:cs="Times New Roman"/>
          <w:color w:val="auto"/>
          <w:kern w:val="2"/>
          <w:sz w:val="24"/>
          <w:szCs w:val="20"/>
          <w:lang w:val="en-US" w:eastAsia="zh-CN" w:bidi="ar-SA"/>
        </w:rPr>
        <w:t>四</w:t>
      </w:r>
      <w:r>
        <w:rPr>
          <w:rFonts w:hint="eastAsia" w:ascii="Times New Roman" w:hAnsi="Times New Roman" w:eastAsia="宋体" w:cs="Times New Roman"/>
          <w:color w:val="auto"/>
          <w:kern w:val="2"/>
          <w:sz w:val="24"/>
          <w:szCs w:val="20"/>
          <w:lang w:val="en-US" w:eastAsia="zh-CN" w:bidi="ar-SA"/>
        </w:rPr>
        <w:t>五”环境保护规划》</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2</w:t>
      </w:r>
      <w:r>
        <w:rPr>
          <w:rFonts w:hint="eastAsia" w:ascii="Times New Roman" w:hAnsi="Times New Roman" w:cs="Times New Roman"/>
          <w:color w:val="auto"/>
          <w:kern w:val="2"/>
          <w:sz w:val="24"/>
          <w:szCs w:val="20"/>
          <w:lang w:val="en-US" w:eastAsia="zh-CN" w:bidi="ar-SA"/>
        </w:rPr>
        <w:t>6</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《湖南省主要水系地表水环境功能区划》(DB43/023-2005，2005年4月1日)</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w:t>
      </w:r>
      <w:r>
        <w:rPr>
          <w:rFonts w:hint="eastAsia" w:ascii="Times New Roman" w:hAnsi="Times New Roman" w:cs="Times New Roman"/>
          <w:color w:val="auto"/>
          <w:kern w:val="2"/>
          <w:sz w:val="24"/>
          <w:szCs w:val="20"/>
          <w:lang w:val="en-US" w:eastAsia="zh-CN" w:bidi="ar-SA"/>
        </w:rPr>
        <w:t>7</w:t>
      </w:r>
      <w:r>
        <w:rPr>
          <w:rFonts w:hint="eastAsia" w:ascii="Times New Roman" w:hAnsi="Times New Roman" w:eastAsia="宋体" w:cs="Times New Roman"/>
          <w:color w:val="auto"/>
          <w:kern w:val="2"/>
          <w:sz w:val="24"/>
          <w:szCs w:val="20"/>
          <w:lang w:val="en-US" w:eastAsia="zh-CN" w:bidi="ar-SA"/>
        </w:rPr>
        <w:t>）《岳阳市人民政府关于印发&lt;岳阳市生态保护红线&gt;的通知》（岳政发[2019]23号）；</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w:t>
      </w:r>
      <w:r>
        <w:rPr>
          <w:rFonts w:hint="eastAsia" w:ascii="Times New Roman" w:hAnsi="Times New Roman" w:cs="Times New Roman"/>
          <w:color w:val="auto"/>
          <w:kern w:val="2"/>
          <w:sz w:val="24"/>
          <w:szCs w:val="20"/>
          <w:lang w:val="en-US" w:eastAsia="zh-CN" w:bidi="ar-SA"/>
        </w:rPr>
        <w:t>8</w:t>
      </w:r>
      <w:r>
        <w:rPr>
          <w:rFonts w:hint="eastAsia" w:ascii="Times New Roman" w:hAnsi="Times New Roman" w:eastAsia="宋体" w:cs="Times New Roman"/>
          <w:color w:val="auto"/>
          <w:kern w:val="2"/>
          <w:sz w:val="24"/>
          <w:szCs w:val="20"/>
          <w:lang w:val="en-US" w:eastAsia="zh-CN" w:bidi="ar-SA"/>
        </w:rPr>
        <w:t>）《危险化学品安全管理条例》(国务院令第344号)；</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w:t>
      </w:r>
      <w:r>
        <w:rPr>
          <w:rFonts w:hint="eastAsia" w:ascii="Times New Roman" w:hAnsi="Times New Roman" w:cs="Times New Roman"/>
          <w:color w:val="auto"/>
          <w:kern w:val="2"/>
          <w:sz w:val="24"/>
          <w:szCs w:val="20"/>
          <w:lang w:val="en-US" w:eastAsia="zh-CN" w:bidi="ar-SA"/>
        </w:rPr>
        <w:t>9</w:t>
      </w:r>
      <w:r>
        <w:rPr>
          <w:rFonts w:hint="eastAsia" w:ascii="Times New Roman" w:hAnsi="Times New Roman" w:eastAsia="宋体" w:cs="Times New Roman"/>
          <w:color w:val="auto"/>
          <w:kern w:val="2"/>
          <w:sz w:val="24"/>
          <w:szCs w:val="20"/>
          <w:lang w:val="en-US" w:eastAsia="zh-CN" w:bidi="ar-SA"/>
        </w:rPr>
        <w:t>）《关于切实加强风险防范严格环境影响评价管理的通知》（环发[2012]98号）；</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30</w:t>
      </w:r>
      <w:r>
        <w:rPr>
          <w:rFonts w:hint="eastAsia" w:ascii="Times New Roman" w:hAnsi="Times New Roman" w:eastAsia="宋体" w:cs="Times New Roman"/>
          <w:color w:val="auto"/>
          <w:kern w:val="2"/>
          <w:sz w:val="24"/>
          <w:szCs w:val="20"/>
          <w:lang w:val="en-US" w:eastAsia="zh-CN" w:bidi="ar-SA"/>
        </w:rPr>
        <w:t>）《湖南省贯彻落实&lt;水污染防治行动计划实施方案（2016-2020年）&gt;》（湘政发[2015]53号）；</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31</w:t>
      </w:r>
      <w:r>
        <w:rPr>
          <w:rFonts w:hint="eastAsia" w:ascii="Times New Roman" w:hAnsi="Times New Roman" w:eastAsia="宋体" w:cs="Times New Roman"/>
          <w:color w:val="auto"/>
          <w:kern w:val="2"/>
          <w:sz w:val="24"/>
          <w:szCs w:val="20"/>
          <w:lang w:val="en-US" w:eastAsia="zh-CN" w:bidi="ar-SA"/>
        </w:rPr>
        <w:t>）《湖南省人民政府关于印发&lt;湖南省土壤污染治理工作方案&gt;的通知》（湘政发[2017]4号）；</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32</w:t>
      </w:r>
      <w:r>
        <w:rPr>
          <w:rFonts w:hint="eastAsia" w:ascii="Times New Roman" w:hAnsi="Times New Roman" w:eastAsia="宋体" w:cs="Times New Roman"/>
          <w:color w:val="auto"/>
          <w:kern w:val="2"/>
          <w:sz w:val="24"/>
          <w:szCs w:val="20"/>
          <w:lang w:val="en-US" w:eastAsia="zh-CN" w:bidi="ar-SA"/>
        </w:rPr>
        <w:t>）《湖南省生态环境厅关于执行污染物特别排放限值（第一批）的公告》（2018年10月29日）</w:t>
      </w:r>
      <w:r>
        <w:rPr>
          <w:rFonts w:hint="eastAsia" w:ascii="Times New Roman" w:hAnsi="Times New Roman" w:cs="Times New Roman"/>
          <w:color w:val="auto"/>
          <w:kern w:val="2"/>
          <w:sz w:val="24"/>
          <w:szCs w:val="20"/>
          <w:lang w:val="en-US" w:eastAsia="zh-CN" w:bidi="ar-SA"/>
        </w:rPr>
        <w:t>。</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2.2.2有关</w:t>
      </w:r>
      <w:r>
        <w:rPr>
          <w:rFonts w:ascii="Times New Roman" w:hAnsi="Times New Roman" w:eastAsia="宋体" w:cs="Times New Roman"/>
          <w:b/>
          <w:color w:val="auto"/>
          <w:kern w:val="2"/>
          <w:sz w:val="28"/>
          <w:szCs w:val="22"/>
          <w:lang w:val="en-US" w:eastAsia="zh-CN" w:bidi="ar-SA"/>
        </w:rPr>
        <w:t>技术规范</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（1）《</w:t>
      </w:r>
      <w:r>
        <w:rPr>
          <w:rFonts w:hint="eastAsia" w:ascii="Times New Roman" w:hAnsi="Times New Roman" w:eastAsia="宋体" w:cs="Times New Roman"/>
          <w:color w:val="auto"/>
          <w:kern w:val="2"/>
          <w:sz w:val="24"/>
          <w:szCs w:val="20"/>
          <w:lang w:val="en-US" w:eastAsia="zh-CN" w:bidi="ar-SA"/>
        </w:rPr>
        <w:t>建设项目</w:t>
      </w:r>
      <w:r>
        <w:rPr>
          <w:rFonts w:ascii="Times New Roman" w:hAnsi="Times New Roman" w:eastAsia="宋体" w:cs="Times New Roman"/>
          <w:color w:val="auto"/>
          <w:kern w:val="2"/>
          <w:sz w:val="24"/>
          <w:szCs w:val="20"/>
          <w:lang w:val="en-US" w:eastAsia="zh-CN" w:bidi="ar-SA"/>
        </w:rPr>
        <w:t>环境影响评价技术导则—总纲》（HJ2.1-</w:t>
      </w:r>
      <w:r>
        <w:rPr>
          <w:rFonts w:hint="eastAsia" w:ascii="Times New Roman" w:hAnsi="Times New Roman" w:eastAsia="宋体" w:cs="Times New Roman"/>
          <w:color w:val="auto"/>
          <w:kern w:val="2"/>
          <w:sz w:val="24"/>
          <w:szCs w:val="20"/>
          <w:lang w:val="en-US" w:eastAsia="zh-CN" w:bidi="ar-SA"/>
        </w:rPr>
        <w:t>2016</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（2）《环境影响评价技术导则—大气环境》（HJ2.2-20</w:t>
      </w:r>
      <w:r>
        <w:rPr>
          <w:rFonts w:hint="eastAsia" w:ascii="Times New Roman" w:hAnsi="Times New Roman" w:eastAsia="宋体" w:cs="Times New Roman"/>
          <w:color w:val="auto"/>
          <w:kern w:val="2"/>
          <w:sz w:val="24"/>
          <w:szCs w:val="20"/>
          <w:lang w:val="en-US" w:eastAsia="zh-CN" w:bidi="ar-SA"/>
        </w:rPr>
        <w:t>1</w:t>
      </w:r>
      <w:r>
        <w:rPr>
          <w:rFonts w:ascii="Times New Roman" w:hAnsi="Times New Roman" w:eastAsia="宋体" w:cs="Times New Roman"/>
          <w:color w:val="auto"/>
          <w:kern w:val="2"/>
          <w:sz w:val="24"/>
          <w:szCs w:val="20"/>
          <w:lang w:val="en-US" w:eastAsia="zh-CN" w:bidi="ar-SA"/>
        </w:rPr>
        <w:t>8）；</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（3）《环境影响评价技术导则—</w:t>
      </w:r>
      <w:r>
        <w:rPr>
          <w:rFonts w:hint="eastAsia" w:ascii="Times New Roman" w:hAnsi="Times New Roman" w:eastAsia="宋体" w:cs="Times New Roman"/>
          <w:color w:val="auto"/>
          <w:kern w:val="2"/>
          <w:sz w:val="24"/>
          <w:szCs w:val="20"/>
          <w:lang w:val="en-US" w:eastAsia="zh-CN" w:bidi="ar-SA"/>
        </w:rPr>
        <w:t>地表</w:t>
      </w:r>
      <w:r>
        <w:rPr>
          <w:rFonts w:ascii="Times New Roman" w:hAnsi="Times New Roman" w:eastAsia="宋体" w:cs="Times New Roman"/>
          <w:color w:val="auto"/>
          <w:kern w:val="2"/>
          <w:sz w:val="24"/>
          <w:szCs w:val="20"/>
          <w:lang w:val="en-US" w:eastAsia="zh-CN" w:bidi="ar-SA"/>
        </w:rPr>
        <w:t>水环境》（HJ2.3-</w:t>
      </w:r>
      <w:r>
        <w:rPr>
          <w:rFonts w:hint="eastAsia" w:ascii="Times New Roman" w:hAnsi="Times New Roman" w:eastAsia="宋体" w:cs="Times New Roman"/>
          <w:color w:val="auto"/>
          <w:kern w:val="2"/>
          <w:sz w:val="24"/>
          <w:szCs w:val="20"/>
          <w:lang w:val="en-US" w:eastAsia="zh-CN" w:bidi="ar-SA"/>
        </w:rPr>
        <w:t>2018</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（4）《环境影响评价技术导则—声环境》（HJ2.4-2009）；</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（5）《环境影响评价技术导则—地下水环境》（HJ610-201</w:t>
      </w:r>
      <w:r>
        <w:rPr>
          <w:rFonts w:hint="eastAsia" w:ascii="Times New Roman" w:hAnsi="Times New Roman" w:eastAsia="宋体" w:cs="Times New Roman"/>
          <w:color w:val="auto"/>
          <w:kern w:val="2"/>
          <w:sz w:val="24"/>
          <w:szCs w:val="20"/>
          <w:lang w:val="en-US" w:eastAsia="zh-CN" w:bidi="ar-SA"/>
        </w:rPr>
        <w:t>6</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（6）</w:t>
      </w:r>
      <w:r>
        <w:rPr>
          <w:rFonts w:hint="eastAsia" w:ascii="Times New Roman" w:hAnsi="Times New Roman" w:eastAsia="宋体" w:cs="Times New Roman"/>
          <w:color w:val="auto"/>
          <w:kern w:val="2"/>
          <w:sz w:val="24"/>
          <w:szCs w:val="20"/>
          <w:lang w:val="en-US" w:eastAsia="zh-CN" w:bidi="ar-SA"/>
        </w:rPr>
        <w:t>《环境影响评价技术导则—土壤环境（试行）》（HJ964-2018）；</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7</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《环境影响评价技术导则—生态环境》（HJ19-2011）；</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（8）《建设项目环境风险评价技术导则》（HJ/T169-2018）；</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9</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《危险化学品重大危险源辨识》（GB18218-2018）（2019年3月1日）</w:t>
      </w:r>
      <w:r>
        <w:rPr>
          <w:rFonts w:hint="eastAsia" w:ascii="Times New Roman" w:hAnsi="Times New Roman" w:cs="Times New Roman"/>
          <w:color w:val="auto"/>
          <w:kern w:val="2"/>
          <w:sz w:val="24"/>
          <w:szCs w:val="20"/>
          <w:lang w:val="en-US" w:eastAsia="zh-CN" w:bidi="ar-SA"/>
        </w:rPr>
        <w:t>。</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2.2.3</w:t>
      </w:r>
      <w:r>
        <w:rPr>
          <w:rFonts w:ascii="Times New Roman" w:hAnsi="Times New Roman" w:eastAsia="宋体" w:cs="Times New Roman"/>
          <w:b/>
          <w:color w:val="auto"/>
          <w:kern w:val="2"/>
          <w:sz w:val="28"/>
          <w:szCs w:val="22"/>
          <w:lang w:val="en-US" w:eastAsia="zh-CN" w:bidi="ar-SA"/>
        </w:rPr>
        <w:t>项目有关</w:t>
      </w:r>
      <w:r>
        <w:rPr>
          <w:rFonts w:hint="eastAsia" w:ascii="Times New Roman" w:hAnsi="Times New Roman" w:eastAsia="宋体" w:cs="Times New Roman"/>
          <w:b/>
          <w:color w:val="auto"/>
          <w:kern w:val="2"/>
          <w:sz w:val="28"/>
          <w:szCs w:val="22"/>
          <w:lang w:val="en-US" w:eastAsia="zh-CN" w:bidi="ar-SA"/>
        </w:rPr>
        <w:t>技术</w:t>
      </w:r>
      <w:r>
        <w:rPr>
          <w:rFonts w:ascii="Times New Roman" w:hAnsi="Times New Roman" w:eastAsia="宋体" w:cs="Times New Roman"/>
          <w:b/>
          <w:color w:val="auto"/>
          <w:kern w:val="2"/>
          <w:sz w:val="28"/>
          <w:szCs w:val="22"/>
          <w:lang w:val="en-US" w:eastAsia="zh-CN" w:bidi="ar-SA"/>
        </w:rPr>
        <w:t>文件</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（1）《</w:t>
      </w:r>
      <w:r>
        <w:rPr>
          <w:rFonts w:hint="eastAsia" w:ascii="Times New Roman" w:hAnsi="Times New Roman" w:eastAsia="宋体" w:cs="Times New Roman"/>
          <w:color w:val="auto"/>
          <w:kern w:val="2"/>
          <w:sz w:val="24"/>
          <w:szCs w:val="20"/>
          <w:lang w:val="en-US" w:eastAsia="zh-CN" w:bidi="ar-SA"/>
        </w:rPr>
        <w:t>1.5万吨/年碳酸二甲酯及1万吨/醋酸甲脂项目可行性研究报告</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（2）</w:t>
      </w:r>
      <w:r>
        <w:rPr>
          <w:rFonts w:hint="eastAsia" w:ascii="Times New Roman" w:hAnsi="Times New Roman" w:eastAsia="宋体" w:cs="Times New Roman"/>
          <w:color w:val="auto"/>
          <w:kern w:val="2"/>
          <w:sz w:val="24"/>
          <w:szCs w:val="20"/>
          <w:lang w:val="en-US" w:eastAsia="zh-CN" w:bidi="ar-SA"/>
        </w:rPr>
        <w:t>《岳阳市凌峰化工有限公司二期工程项目环境影响报告书》及其批复，2018年7月</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3</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《岳阳市凌峰化工有限公司一期工程项目环境影响报告书》及其批复，2014年7月</w:t>
      </w:r>
      <w:r>
        <w:rPr>
          <w:rFonts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4</w:t>
      </w:r>
      <w:r>
        <w:rPr>
          <w:rFonts w:ascii="Times New Roman" w:hAnsi="Times New Roman" w:eastAsia="宋体" w:cs="Times New Roman"/>
          <w:color w:val="auto"/>
          <w:kern w:val="2"/>
          <w:sz w:val="24"/>
          <w:szCs w:val="20"/>
          <w:lang w:val="en-US" w:eastAsia="zh-CN" w:bidi="ar-SA"/>
        </w:rPr>
        <w:t>）建设方提供的其他相关资料。</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ascii="Times New Roman" w:hAnsi="Times New Roman" w:eastAsia="宋体" w:cs="Times New Roman"/>
          <w:b/>
          <w:color w:val="auto"/>
          <w:kern w:val="2"/>
          <w:sz w:val="28"/>
          <w:szCs w:val="28"/>
          <w:lang w:val="en-US" w:eastAsia="zh-CN" w:bidi="ar-SA"/>
        </w:rPr>
      </w:pPr>
      <w:bookmarkStart w:id="31" w:name="_Toc24593"/>
      <w:r>
        <w:rPr>
          <w:rFonts w:hint="eastAsia" w:ascii="Times New Roman" w:hAnsi="Times New Roman" w:eastAsia="宋体" w:cs="Times New Roman"/>
          <w:b/>
          <w:color w:val="auto"/>
          <w:kern w:val="2"/>
          <w:sz w:val="28"/>
          <w:szCs w:val="28"/>
          <w:lang w:val="en-US" w:eastAsia="zh-CN" w:bidi="ar-SA"/>
        </w:rPr>
        <w:t>2.3</w:t>
      </w:r>
      <w:r>
        <w:rPr>
          <w:rFonts w:ascii="Times New Roman" w:hAnsi="宋体" w:eastAsia="宋体" w:cs="Times New Roman"/>
          <w:b/>
          <w:color w:val="auto"/>
          <w:kern w:val="2"/>
          <w:sz w:val="28"/>
          <w:szCs w:val="28"/>
          <w:lang w:val="en-US" w:eastAsia="zh-CN" w:bidi="ar-SA"/>
        </w:rPr>
        <w:t>评价</w:t>
      </w:r>
      <w:r>
        <w:rPr>
          <w:rFonts w:hint="eastAsia" w:ascii="Times New Roman" w:hAnsi="宋体" w:eastAsia="宋体" w:cs="Times New Roman"/>
          <w:b/>
          <w:color w:val="auto"/>
          <w:kern w:val="2"/>
          <w:sz w:val="28"/>
          <w:szCs w:val="28"/>
          <w:lang w:val="en-US" w:eastAsia="zh-CN" w:bidi="ar-SA"/>
        </w:rPr>
        <w:t>重点与</w:t>
      </w:r>
      <w:r>
        <w:rPr>
          <w:rFonts w:ascii="Times New Roman" w:hAnsi="宋体" w:eastAsia="宋体" w:cs="Times New Roman"/>
          <w:b/>
          <w:color w:val="auto"/>
          <w:kern w:val="2"/>
          <w:sz w:val="28"/>
          <w:szCs w:val="28"/>
          <w:lang w:val="en-US" w:eastAsia="zh-CN" w:bidi="ar-SA"/>
        </w:rPr>
        <w:t>评价</w:t>
      </w:r>
      <w:r>
        <w:rPr>
          <w:rFonts w:hint="eastAsia" w:ascii="Times New Roman" w:hAnsi="宋体" w:eastAsia="宋体" w:cs="Times New Roman"/>
          <w:b/>
          <w:color w:val="auto"/>
          <w:kern w:val="2"/>
          <w:sz w:val="28"/>
          <w:szCs w:val="28"/>
          <w:lang w:val="en-US" w:eastAsia="zh-CN" w:bidi="ar-SA"/>
        </w:rPr>
        <w:t>因子</w:t>
      </w:r>
      <w:bookmarkEnd w:id="31"/>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hint="eastAsia"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2.3.1环境影响因素识别</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根据现场勘察、工程分析，结合环境项目特点，本项目环境影响因子识别和筛选见下表。</w:t>
      </w:r>
    </w:p>
    <w:p>
      <w:pPr>
        <w:widowControl w:val="0"/>
        <w:bidi w:val="0"/>
        <w:spacing w:line="360" w:lineRule="auto"/>
        <w:jc w:val="center"/>
        <w:rPr>
          <w:rFonts w:hint="eastAsia"/>
          <w:color w:val="auto"/>
          <w:lang w:val="en-US" w:eastAsia="zh-CN"/>
        </w:rPr>
      </w:pPr>
      <w:r>
        <w:rPr>
          <w:rFonts w:hint="eastAsia" w:ascii="Times New Roman" w:hAnsi="Times New Roman" w:eastAsia="宋体" w:cs="Times New Roman"/>
          <w:b/>
          <w:color w:val="auto"/>
          <w:kern w:val="2"/>
          <w:sz w:val="24"/>
          <w:szCs w:val="22"/>
          <w:lang w:val="en-US" w:eastAsia="zh-CN" w:bidi="ar-SA"/>
        </w:rPr>
        <w:t>表2.3</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1  环境影响评价表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115"/>
        <w:gridCol w:w="832"/>
        <w:gridCol w:w="984"/>
        <w:gridCol w:w="984"/>
        <w:gridCol w:w="984"/>
        <w:gridCol w:w="984"/>
        <w:gridCol w:w="984"/>
        <w:gridCol w:w="9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46"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630" w:firstLineChars="300"/>
              <w:jc w:val="both"/>
              <w:textAlignment w:val="auto"/>
              <w:rPr>
                <w:rFonts w:hint="eastAsia" w:ascii="Times New Roman" w:hAnsi="Times New Roman" w:eastAsia="宋体" w:cs="Times New Roman"/>
                <w:color w:val="auto"/>
                <w:kern w:val="2"/>
                <w:sz w:val="21"/>
                <w:szCs w:val="16"/>
                <w:vertAlign w:val="baseline"/>
                <w:lang w:val="en-US" w:eastAsia="zh-CN" w:bidi="ar-SA"/>
              </w:rPr>
            </w:pP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-83820</wp:posOffset>
                      </wp:positionH>
                      <wp:positionV relativeFrom="paragraph">
                        <wp:posOffset>-8255</wp:posOffset>
                      </wp:positionV>
                      <wp:extent cx="1278255" cy="405130"/>
                      <wp:effectExtent l="1270" t="4445" r="15875" b="9525"/>
                      <wp:wrapNone/>
                      <wp:docPr id="7" name="直线 121"/>
                      <wp:cNvGraphicFramePr/>
                      <a:graphic xmlns:a="http://schemas.openxmlformats.org/drawingml/2006/main">
                        <a:graphicData uri="http://schemas.microsoft.com/office/word/2010/wordprocessingShape">
                          <wps:wsp>
                            <wps:cNvCnPr/>
                            <wps:spPr>
                              <a:xfrm>
                                <a:off x="0" y="0"/>
                                <a:ext cx="1278255" cy="405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1" o:spid="_x0000_s1026" o:spt="20" style="position:absolute;left:0pt;margin-left:-6.6pt;margin-top:-0.65pt;height:31.9pt;width:100.65pt;z-index:251666432;mso-width-relative:page;mso-height-relative:page;" filled="f" stroked="t" coordsize="21600,21600" o:gfxdata="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pOD&#10;VtcAAAAJAQAADwAAAAAAAAABACAAAAA4AAAAZHJzL2Rvd25yZXYueG1sUEsBAhQAFAAAAAgAh07i&#10;QFSPUbzUAQAAlAMAAA4AAAAAAAAAAQAgAAAAPAEAAGRycy9lMm9Eb2MueG1sUEsFBgAAAAAGAAYA&#10;WQEAAIIFAAAAAA==&#10;">
                      <v:fill on="f" focussize="0,0"/>
                      <v:stroke color="#000000" joinstyle="round"/>
                      <v:imagedata o:title=""/>
                      <o:lock v:ext="edit" aspectratio="f"/>
                    </v:line>
                  </w:pict>
                </mc:Fallback>
              </mc:AlternateContent>
            </w:r>
            <w:r>
              <w:rPr>
                <w:rFonts w:hint="eastAsia" w:ascii="Times New Roman" w:hAnsi="Times New Roman" w:eastAsia="宋体" w:cs="Times New Roman"/>
                <w:color w:val="auto"/>
                <w:kern w:val="2"/>
                <w:sz w:val="21"/>
                <w:szCs w:val="16"/>
                <w:vertAlign w:val="baseline"/>
                <w:lang w:val="en-US" w:eastAsia="zh-CN" w:bidi="ar-SA"/>
              </w:rPr>
              <w:t>影响因素</w:t>
            </w:r>
          </w:p>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both"/>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类别</w:t>
            </w:r>
          </w:p>
        </w:tc>
        <w:tc>
          <w:tcPr>
            <w:tcW w:w="4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施工期</w:t>
            </w:r>
          </w:p>
        </w:tc>
        <w:tc>
          <w:tcPr>
            <w:tcW w:w="3465"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运营期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46"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4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废水</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废气</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固废</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噪声</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运输</w:t>
            </w: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both"/>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自然生态环境</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地表水</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default"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-1SP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default"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地下水</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-1SP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大气环境</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-1SP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声环境</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-1SP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地表</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-1SP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土壤</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-1SP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植被</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社会经济环境</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工业</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农业</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交通</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-1SP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公众健康</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-1SP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生活质量</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就业</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+1SP</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420" w:firstLineChars="200"/>
              <w:jc w:val="center"/>
              <w:textAlignment w:val="auto"/>
              <w:rPr>
                <w:rFonts w:hint="eastAsia" w:ascii="Times New Roman" w:hAnsi="Times New Roman" w:eastAsia="宋体" w:cs="Times New Roman"/>
                <w:color w:val="auto"/>
                <w:kern w:val="2"/>
                <w:sz w:val="21"/>
                <w:szCs w:val="16"/>
                <w:vertAlign w:val="baseline"/>
                <w:lang w:val="en-US" w:eastAsia="zh-CN" w:bidi="ar-SA"/>
              </w:rPr>
            </w:pPr>
          </w:p>
        </w:tc>
        <w:tc>
          <w:tcPr>
            <w:tcW w:w="5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+1LP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27" w:hRule="atLeast"/>
        </w:trPr>
        <w:tc>
          <w:tcPr>
            <w:tcW w:w="5000"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both"/>
              <w:textAlignment w:val="auto"/>
              <w:rPr>
                <w:rFonts w:hint="eastAsia"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备注：影响程度：1轻微；2一般；3显著   影响时段：S短期； L长期</w:t>
            </w:r>
          </w:p>
          <w:p>
            <w:pPr>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both"/>
              <w:textAlignment w:val="auto"/>
              <w:rPr>
                <w:rFonts w:hint="default" w:ascii="Times New Roman" w:hAnsi="Times New Roman" w:eastAsia="宋体" w:cs="Times New Roman"/>
                <w:color w:val="auto"/>
                <w:kern w:val="2"/>
                <w:sz w:val="21"/>
                <w:szCs w:val="16"/>
                <w:vertAlign w:val="baseline"/>
                <w:lang w:val="en-US" w:eastAsia="zh-CN" w:bidi="ar-SA"/>
              </w:rPr>
            </w:pPr>
            <w:r>
              <w:rPr>
                <w:rFonts w:hint="eastAsia" w:ascii="Times New Roman" w:hAnsi="Times New Roman" w:eastAsia="宋体" w:cs="Times New Roman"/>
                <w:color w:val="auto"/>
                <w:kern w:val="2"/>
                <w:sz w:val="21"/>
                <w:szCs w:val="16"/>
                <w:vertAlign w:val="baseline"/>
                <w:lang w:val="en-US" w:eastAsia="zh-CN" w:bidi="ar-SA"/>
              </w:rPr>
              <w:t xml:space="preserve">      影响范围：P局部；W大范围    影响性质：+有利；-不利</w:t>
            </w:r>
          </w:p>
        </w:tc>
      </w:tr>
    </w:tbl>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2.3.2评价因子</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根据本项目生产工艺、污染物排放特点及所在区域环境特征，确定项目评价因子如下：</w:t>
      </w:r>
    </w:p>
    <w:p>
      <w:pPr>
        <w:widowControl w:val="0"/>
        <w:bidi w:val="0"/>
        <w:spacing w:line="360" w:lineRule="auto"/>
        <w:jc w:val="center"/>
        <w:rPr>
          <w:rFonts w:ascii="Times New Roman" w:hAnsi="Times New Roman" w:eastAsia="宋体" w:cs="Times New Roman"/>
          <w:b/>
          <w:color w:val="auto"/>
          <w:kern w:val="2"/>
          <w:sz w:val="24"/>
          <w:szCs w:val="22"/>
          <w:lang w:val="en-US" w:eastAsia="zh-CN" w:bidi="ar-SA"/>
        </w:rPr>
      </w:pPr>
      <w:r>
        <w:rPr>
          <w:rFonts w:hint="eastAsia" w:ascii="Times New Roman" w:hAnsi="Times New Roman" w:eastAsia="宋体" w:cs="Times New Roman"/>
          <w:b/>
          <w:color w:val="auto"/>
          <w:kern w:val="2"/>
          <w:sz w:val="24"/>
          <w:szCs w:val="22"/>
          <w:lang w:val="en-US" w:eastAsia="zh-CN" w:bidi="ar-SA"/>
        </w:rPr>
        <w:t>表2.3</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cs="Times New Roman"/>
          <w:b/>
          <w:color w:val="auto"/>
          <w:kern w:val="2"/>
          <w:sz w:val="24"/>
          <w:szCs w:val="22"/>
          <w:lang w:val="en-US" w:eastAsia="zh-CN" w:bidi="ar-SA"/>
        </w:rPr>
        <w:t>2</w:t>
      </w:r>
      <w:r>
        <w:rPr>
          <w:rFonts w:hint="eastAsia" w:ascii="Times New Roman" w:hAnsi="Times New Roman" w:eastAsia="宋体" w:cs="Times New Roman"/>
          <w:b/>
          <w:color w:val="auto"/>
          <w:kern w:val="2"/>
          <w:sz w:val="24"/>
          <w:szCs w:val="22"/>
          <w:lang w:val="en-US" w:eastAsia="zh-CN" w:bidi="ar-SA"/>
        </w:rPr>
        <w:t xml:space="preserve">  环境影响评价因子识别表</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4892"/>
        <w:gridCol w:w="2311"/>
      </w:tblGrid>
      <w:tr>
        <w:trPr>
          <w:cantSplit/>
          <w:trHeight w:val="310" w:hRule="atLeast"/>
          <w:jc w:val="center"/>
        </w:trPr>
        <w:tc>
          <w:tcPr>
            <w:tcW w:w="77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要素</w:t>
            </w:r>
          </w:p>
        </w:tc>
        <w:tc>
          <w:tcPr>
            <w:tcW w:w="28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现状评价因子</w:t>
            </w:r>
          </w:p>
        </w:tc>
        <w:tc>
          <w:tcPr>
            <w:tcW w:w="1355"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影响评价因子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77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环境空气</w:t>
            </w:r>
          </w:p>
        </w:tc>
        <w:tc>
          <w:tcPr>
            <w:tcW w:w="28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PM</w:t>
            </w:r>
            <w:r>
              <w:rPr>
                <w:rFonts w:ascii="Times New Roman" w:hAnsi="Times New Roman" w:eastAsia="宋体" w:cs="Times New Roman"/>
                <w:color w:val="auto"/>
                <w:kern w:val="2"/>
                <w:sz w:val="21"/>
                <w:szCs w:val="20"/>
                <w:u w:val="single"/>
                <w:vertAlign w:val="subscript"/>
                <w:lang w:val="en-US" w:eastAsia="zh-CN" w:bidi="ar-SA"/>
              </w:rPr>
              <w:t>10</w:t>
            </w:r>
            <w:r>
              <w:rPr>
                <w:rFonts w:ascii="Times New Roman" w:hAnsi="Times New Roman" w:eastAsia="宋体" w:cs="Times New Roman"/>
                <w:color w:val="auto"/>
                <w:kern w:val="2"/>
                <w:sz w:val="21"/>
                <w:szCs w:val="20"/>
                <w:u w:val="single"/>
                <w:lang w:val="en-US" w:eastAsia="zh-CN" w:bidi="ar-SA"/>
              </w:rPr>
              <w:t>、PM</w:t>
            </w:r>
            <w:r>
              <w:rPr>
                <w:rFonts w:ascii="Times New Roman" w:hAnsi="Times New Roman" w:eastAsia="宋体" w:cs="Times New Roman"/>
                <w:color w:val="auto"/>
                <w:kern w:val="2"/>
                <w:sz w:val="21"/>
                <w:szCs w:val="20"/>
                <w:u w:val="single"/>
                <w:vertAlign w:val="subscript"/>
                <w:lang w:val="en-US" w:eastAsia="zh-CN" w:bidi="ar-SA"/>
              </w:rPr>
              <w:t>2.5</w:t>
            </w:r>
            <w:r>
              <w:rPr>
                <w:rFonts w:ascii="Times New Roman" w:hAnsi="Times New Roman" w:eastAsia="宋体" w:cs="Times New Roman"/>
                <w:color w:val="auto"/>
                <w:kern w:val="2"/>
                <w:sz w:val="21"/>
                <w:szCs w:val="20"/>
                <w:u w:val="single"/>
                <w:lang w:val="en-US" w:eastAsia="zh-CN" w:bidi="ar-SA"/>
              </w:rPr>
              <w:t>、SO</w:t>
            </w:r>
            <w:r>
              <w:rPr>
                <w:rFonts w:ascii="Times New Roman" w:hAnsi="Times New Roman" w:eastAsia="宋体" w:cs="Times New Roman"/>
                <w:color w:val="auto"/>
                <w:kern w:val="2"/>
                <w:sz w:val="21"/>
                <w:szCs w:val="20"/>
                <w:u w:val="single"/>
                <w:vertAlign w:val="subscript"/>
                <w:lang w:val="en-US" w:eastAsia="zh-CN" w:bidi="ar-SA"/>
              </w:rPr>
              <w:t>2</w:t>
            </w:r>
            <w:r>
              <w:rPr>
                <w:rFonts w:ascii="Times New Roman" w:hAnsi="Times New Roman" w:eastAsia="宋体" w:cs="Times New Roman"/>
                <w:color w:val="auto"/>
                <w:kern w:val="2"/>
                <w:sz w:val="21"/>
                <w:szCs w:val="20"/>
                <w:u w:val="single"/>
                <w:lang w:val="en-US" w:eastAsia="zh-CN" w:bidi="ar-SA"/>
              </w:rPr>
              <w:t>、NO</w:t>
            </w:r>
            <w:r>
              <w:rPr>
                <w:rFonts w:ascii="Times New Roman" w:hAnsi="Times New Roman" w:eastAsia="宋体" w:cs="Times New Roman"/>
                <w:color w:val="auto"/>
                <w:kern w:val="2"/>
                <w:sz w:val="21"/>
                <w:szCs w:val="20"/>
                <w:u w:val="single"/>
                <w:vertAlign w:val="subscript"/>
                <w:lang w:val="en-US" w:eastAsia="zh-CN" w:bidi="ar-SA"/>
              </w:rPr>
              <w:t>2</w:t>
            </w:r>
            <w:r>
              <w:rPr>
                <w:rFonts w:ascii="Times New Roman" w:hAnsi="Times New Roman" w:eastAsia="宋体" w:cs="Times New Roman"/>
                <w:color w:val="auto"/>
                <w:kern w:val="2"/>
                <w:sz w:val="21"/>
                <w:szCs w:val="20"/>
                <w:u w:val="single"/>
                <w:lang w:val="en-US" w:eastAsia="zh-CN" w:bidi="ar-SA"/>
              </w:rPr>
              <w:t>、CO、O</w:t>
            </w:r>
            <w:r>
              <w:rPr>
                <w:rFonts w:ascii="Times New Roman" w:hAnsi="Times New Roman" w:eastAsia="宋体" w:cs="Times New Roman"/>
                <w:color w:val="auto"/>
                <w:kern w:val="2"/>
                <w:sz w:val="21"/>
                <w:szCs w:val="20"/>
                <w:u w:val="single"/>
                <w:vertAlign w:val="subscript"/>
                <w:lang w:val="en-US" w:eastAsia="zh-CN" w:bidi="ar-SA"/>
              </w:rPr>
              <w:t>3</w:t>
            </w:r>
            <w:r>
              <w:rPr>
                <w:rFonts w:hint="eastAsia" w:ascii="Times New Roman" w:hAnsi="Times New Roman" w:cs="Times New Roman"/>
                <w:color w:val="auto"/>
                <w:kern w:val="2"/>
                <w:sz w:val="21"/>
                <w:szCs w:val="20"/>
                <w:u w:val="single"/>
                <w:vertAlign w:val="baseline"/>
                <w:lang w:val="en-US" w:eastAsia="zh-CN" w:bidi="ar-SA"/>
              </w:rPr>
              <w:t>、</w:t>
            </w:r>
            <w:r>
              <w:rPr>
                <w:rFonts w:hint="eastAsia" w:ascii="Times New Roman" w:hAnsi="Times New Roman" w:cs="Times New Roman"/>
                <w:color w:val="auto"/>
                <w:kern w:val="2"/>
                <w:sz w:val="21"/>
                <w:szCs w:val="20"/>
                <w:u w:val="single"/>
                <w:lang w:val="en-US" w:eastAsia="zh-CN" w:bidi="ar-SA"/>
              </w:rPr>
              <w:t>TVOC、</w:t>
            </w:r>
            <w:r>
              <w:rPr>
                <w:rFonts w:hint="eastAsia" w:ascii="Times New Roman" w:hAnsi="Times New Roman" w:eastAsia="宋体" w:cs="Times New Roman"/>
                <w:color w:val="auto"/>
                <w:kern w:val="2"/>
                <w:sz w:val="21"/>
                <w:szCs w:val="20"/>
                <w:u w:val="single"/>
                <w:lang w:val="en-US" w:eastAsia="zh-CN" w:bidi="ar-SA"/>
              </w:rPr>
              <w:t>甲醇</w:t>
            </w:r>
          </w:p>
        </w:tc>
        <w:tc>
          <w:tcPr>
            <w:tcW w:w="13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TVOC、</w:t>
            </w:r>
            <w:r>
              <w:rPr>
                <w:rFonts w:hint="eastAsia" w:ascii="Times New Roman" w:hAnsi="Times New Roman" w:eastAsia="宋体" w:cs="Times New Roman"/>
                <w:color w:val="auto"/>
                <w:kern w:val="2"/>
                <w:sz w:val="21"/>
                <w:szCs w:val="20"/>
                <w:u w:val="single"/>
                <w:lang w:val="en-US" w:eastAsia="zh-CN" w:bidi="ar-SA"/>
              </w:rPr>
              <w:t>甲醇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756" w:hRule="atLeast"/>
          <w:jc w:val="center"/>
        </w:trPr>
        <w:tc>
          <w:tcPr>
            <w:tcW w:w="77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地表水</w:t>
            </w:r>
          </w:p>
        </w:tc>
        <w:tc>
          <w:tcPr>
            <w:tcW w:w="286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pH</w:t>
            </w:r>
            <w:r>
              <w:rPr>
                <w:rFonts w:hint="eastAsia" w:ascii="Times New Roman" w:hAnsi="Times New Roman" w:eastAsia="宋体" w:cs="Times New Roman"/>
                <w:color w:val="auto"/>
                <w:kern w:val="2"/>
                <w:sz w:val="21"/>
                <w:szCs w:val="20"/>
                <w:u w:val="single"/>
                <w:lang w:val="en-US" w:eastAsia="zh-CN" w:bidi="ar-SA"/>
              </w:rPr>
              <w:t>、CODcr、</w:t>
            </w:r>
            <w:r>
              <w:rPr>
                <w:rFonts w:ascii="Times New Roman" w:hAnsi="Times New Roman" w:eastAsia="宋体" w:cs="Times New Roman"/>
                <w:color w:val="auto"/>
                <w:kern w:val="2"/>
                <w:sz w:val="21"/>
                <w:szCs w:val="20"/>
                <w:u w:val="single"/>
                <w:lang w:val="en-US" w:eastAsia="zh-CN" w:bidi="ar-SA"/>
              </w:rPr>
              <w:t>BOD</w:t>
            </w:r>
            <w:r>
              <w:rPr>
                <w:rFonts w:ascii="Times New Roman" w:hAnsi="Times New Roman" w:eastAsia="宋体" w:cs="Times New Roman"/>
                <w:color w:val="auto"/>
                <w:kern w:val="2"/>
                <w:sz w:val="21"/>
                <w:szCs w:val="20"/>
                <w:u w:val="single"/>
                <w:vertAlign w:val="subscript"/>
                <w:lang w:val="en-US" w:eastAsia="zh-CN" w:bidi="ar-SA"/>
              </w:rPr>
              <w:t>5</w:t>
            </w:r>
            <w:r>
              <w:rPr>
                <w:rFonts w:hint="eastAsia" w:ascii="Times New Roman" w:hAnsi="Times New Roman" w:eastAsia="宋体" w:cs="Times New Roman"/>
                <w:color w:val="auto"/>
                <w:kern w:val="2"/>
                <w:sz w:val="21"/>
                <w:szCs w:val="20"/>
                <w:u w:val="single"/>
                <w:lang w:val="en-US" w:eastAsia="zh-CN" w:bidi="ar-SA"/>
              </w:rPr>
              <w:t>、</w:t>
            </w:r>
            <w:r>
              <w:rPr>
                <w:rFonts w:ascii="Times New Roman" w:hAnsi="Times New Roman" w:eastAsia="宋体" w:cs="Times New Roman"/>
                <w:color w:val="auto"/>
                <w:kern w:val="2"/>
                <w:sz w:val="21"/>
                <w:szCs w:val="20"/>
                <w:u w:val="single"/>
                <w:lang w:val="en-US" w:eastAsia="zh-CN" w:bidi="ar-SA"/>
              </w:rPr>
              <w:t>NH</w:t>
            </w:r>
            <w:r>
              <w:rPr>
                <w:rFonts w:ascii="Times New Roman" w:hAnsi="Times New Roman" w:eastAsia="宋体" w:cs="Times New Roman"/>
                <w:color w:val="auto"/>
                <w:kern w:val="2"/>
                <w:sz w:val="21"/>
                <w:szCs w:val="20"/>
                <w:u w:val="single"/>
                <w:vertAlign w:val="subscript"/>
                <w:lang w:val="en-US" w:eastAsia="zh-CN" w:bidi="ar-SA"/>
              </w:rPr>
              <w:t>3</w:t>
            </w:r>
            <w:r>
              <w:rPr>
                <w:rFonts w:ascii="Times New Roman" w:hAnsi="Times New Roman" w:eastAsia="宋体" w:cs="Times New Roman"/>
                <w:color w:val="auto"/>
                <w:kern w:val="2"/>
                <w:sz w:val="21"/>
                <w:szCs w:val="20"/>
                <w:u w:val="single"/>
                <w:lang w:val="en-US" w:eastAsia="zh-CN" w:bidi="ar-SA"/>
              </w:rPr>
              <w:t>-N</w:t>
            </w:r>
            <w:r>
              <w:rPr>
                <w:rFonts w:hint="eastAsia" w:ascii="Times New Roman" w:hAnsi="Times New Roman" w:eastAsia="宋体" w:cs="Times New Roman"/>
                <w:color w:val="auto"/>
                <w:kern w:val="2"/>
                <w:sz w:val="21"/>
                <w:szCs w:val="20"/>
                <w:u w:val="single"/>
                <w:lang w:val="en-US" w:eastAsia="zh-CN" w:bidi="ar-SA"/>
              </w:rPr>
              <w:t>、石油类、DO、总氮、总磷</w:t>
            </w:r>
          </w:p>
        </w:tc>
        <w:tc>
          <w:tcPr>
            <w:tcW w:w="135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77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地下水</w:t>
            </w:r>
          </w:p>
        </w:tc>
        <w:tc>
          <w:tcPr>
            <w:tcW w:w="28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default" w:ascii="Times New Roman" w:hAnsi="Times New Roman" w:eastAsia="宋体" w:cs="Times New Roman"/>
                <w:color w:val="auto"/>
                <w:kern w:val="0"/>
                <w:szCs w:val="24"/>
                <w:u w:val="single"/>
                <w:lang w:bidi="ar"/>
              </w:rPr>
              <w:t>K(钾)、Na(钠)、Ca(钙)、Mg(镁)、CO</w:t>
            </w:r>
            <w:r>
              <w:rPr>
                <w:rFonts w:hint="default" w:ascii="Times New Roman" w:hAnsi="Times New Roman" w:eastAsia="宋体" w:cs="Times New Roman"/>
                <w:color w:val="auto"/>
                <w:kern w:val="0"/>
                <w:szCs w:val="24"/>
                <w:u w:val="single"/>
                <w:vertAlign w:val="subscript"/>
                <w:lang w:bidi="ar"/>
              </w:rPr>
              <w:t>3</w:t>
            </w:r>
            <w:r>
              <w:rPr>
                <w:rFonts w:hint="default" w:ascii="Times New Roman" w:hAnsi="Times New Roman" w:eastAsia="宋体" w:cs="Times New Roman"/>
                <w:color w:val="auto"/>
                <w:kern w:val="0"/>
                <w:szCs w:val="24"/>
                <w:u w:val="single"/>
                <w:vertAlign w:val="superscript"/>
                <w:lang w:bidi="ar"/>
              </w:rPr>
              <w:t>2-</w:t>
            </w:r>
            <w:r>
              <w:rPr>
                <w:rFonts w:hint="default" w:ascii="Times New Roman" w:hAnsi="Times New Roman" w:eastAsia="宋体" w:cs="Times New Roman"/>
                <w:color w:val="auto"/>
                <w:kern w:val="0"/>
                <w:szCs w:val="24"/>
                <w:u w:val="single"/>
                <w:lang w:bidi="ar"/>
              </w:rPr>
              <w:t>(碳酸根)、HCO</w:t>
            </w:r>
            <w:r>
              <w:rPr>
                <w:rFonts w:hint="default" w:ascii="Times New Roman" w:hAnsi="Times New Roman" w:eastAsia="宋体" w:cs="Times New Roman"/>
                <w:color w:val="auto"/>
                <w:kern w:val="0"/>
                <w:szCs w:val="24"/>
                <w:u w:val="single"/>
                <w:vertAlign w:val="subscript"/>
                <w:lang w:bidi="ar"/>
              </w:rPr>
              <w:t>3</w:t>
            </w:r>
            <w:r>
              <w:rPr>
                <w:rFonts w:hint="default" w:ascii="Times New Roman" w:hAnsi="Times New Roman" w:eastAsia="宋体" w:cs="Times New Roman"/>
                <w:color w:val="auto"/>
                <w:kern w:val="0"/>
                <w:szCs w:val="24"/>
                <w:u w:val="single"/>
                <w:vertAlign w:val="superscript"/>
                <w:lang w:bidi="ar"/>
              </w:rPr>
              <w:t>-</w:t>
            </w:r>
            <w:r>
              <w:rPr>
                <w:rFonts w:hint="default" w:ascii="Times New Roman" w:hAnsi="Times New Roman" w:eastAsia="宋体" w:cs="Times New Roman"/>
                <w:color w:val="auto"/>
                <w:kern w:val="0"/>
                <w:szCs w:val="24"/>
                <w:u w:val="single"/>
                <w:lang w:bidi="ar"/>
              </w:rPr>
              <w:t>（</w:t>
            </w:r>
            <w:r>
              <w:rPr>
                <w:rFonts w:hint="default" w:ascii="Times New Roman" w:hAnsi="Times New Roman" w:eastAsia="宋体" w:cs="Times New Roman"/>
                <w:color w:val="auto"/>
                <w:kern w:val="0"/>
                <w:szCs w:val="24"/>
                <w:u w:val="single"/>
                <w:lang w:eastAsia="zh-CN" w:bidi="ar"/>
              </w:rPr>
              <w:t>碳酸氢根</w:t>
            </w:r>
            <w:r>
              <w:rPr>
                <w:rFonts w:hint="default" w:ascii="Times New Roman" w:hAnsi="Times New Roman" w:eastAsia="宋体" w:cs="Times New Roman"/>
                <w:color w:val="auto"/>
                <w:kern w:val="0"/>
                <w:szCs w:val="24"/>
                <w:u w:val="single"/>
                <w:lang w:bidi="ar"/>
              </w:rPr>
              <w:t>）、Cl</w:t>
            </w:r>
            <w:r>
              <w:rPr>
                <w:rFonts w:hint="default" w:ascii="Times New Roman" w:hAnsi="Times New Roman" w:eastAsia="宋体" w:cs="Times New Roman"/>
                <w:color w:val="auto"/>
                <w:kern w:val="0"/>
                <w:szCs w:val="24"/>
                <w:u w:val="single"/>
                <w:vertAlign w:val="superscript"/>
                <w:lang w:bidi="ar"/>
              </w:rPr>
              <w:t>-</w:t>
            </w:r>
            <w:r>
              <w:rPr>
                <w:rFonts w:hint="default" w:ascii="Times New Roman" w:hAnsi="Times New Roman" w:eastAsia="宋体" w:cs="Times New Roman"/>
                <w:color w:val="auto"/>
                <w:kern w:val="0"/>
                <w:szCs w:val="24"/>
                <w:u w:val="single"/>
                <w:lang w:bidi="ar"/>
              </w:rPr>
              <w:t>(氯化物)、SO</w:t>
            </w:r>
            <w:r>
              <w:rPr>
                <w:rFonts w:hint="default" w:ascii="Times New Roman" w:hAnsi="Times New Roman" w:eastAsia="宋体" w:cs="Times New Roman"/>
                <w:color w:val="auto"/>
                <w:kern w:val="0"/>
                <w:szCs w:val="24"/>
                <w:u w:val="single"/>
                <w:vertAlign w:val="subscript"/>
                <w:lang w:bidi="ar"/>
              </w:rPr>
              <w:t>4</w:t>
            </w:r>
            <w:r>
              <w:rPr>
                <w:rFonts w:hint="default" w:ascii="Times New Roman" w:hAnsi="Times New Roman" w:eastAsia="宋体" w:cs="Times New Roman"/>
                <w:color w:val="auto"/>
                <w:kern w:val="0"/>
                <w:szCs w:val="24"/>
                <w:u w:val="single"/>
                <w:vertAlign w:val="superscript"/>
                <w:lang w:bidi="ar"/>
              </w:rPr>
              <w:t>2-</w:t>
            </w:r>
            <w:r>
              <w:rPr>
                <w:rFonts w:hint="default" w:ascii="Times New Roman" w:hAnsi="Times New Roman" w:eastAsia="宋体" w:cs="Times New Roman"/>
                <w:color w:val="auto"/>
                <w:kern w:val="0"/>
                <w:szCs w:val="24"/>
                <w:u w:val="single"/>
                <w:lang w:bidi="ar"/>
              </w:rPr>
              <w:t>(硫酸盐)、pH、氨氮、NO</w:t>
            </w:r>
            <w:r>
              <w:rPr>
                <w:rFonts w:hint="default" w:ascii="Times New Roman" w:hAnsi="Times New Roman" w:eastAsia="宋体" w:cs="Times New Roman"/>
                <w:color w:val="auto"/>
                <w:kern w:val="0"/>
                <w:szCs w:val="24"/>
                <w:u w:val="single"/>
                <w:vertAlign w:val="subscript"/>
                <w:lang w:bidi="ar"/>
              </w:rPr>
              <w:t>3</w:t>
            </w:r>
            <w:r>
              <w:rPr>
                <w:rFonts w:hint="default" w:ascii="Times New Roman" w:hAnsi="Times New Roman" w:eastAsia="宋体" w:cs="Times New Roman"/>
                <w:color w:val="auto"/>
                <w:kern w:val="0"/>
                <w:szCs w:val="24"/>
                <w:u w:val="single"/>
                <w:vertAlign w:val="superscript"/>
                <w:lang w:bidi="ar"/>
              </w:rPr>
              <w:t>-</w:t>
            </w:r>
            <w:r>
              <w:rPr>
                <w:rFonts w:hint="default" w:ascii="Times New Roman" w:hAnsi="Times New Roman" w:eastAsia="宋体" w:cs="Times New Roman"/>
                <w:color w:val="auto"/>
                <w:kern w:val="0"/>
                <w:szCs w:val="24"/>
                <w:u w:val="single"/>
                <w:lang w:bidi="ar"/>
              </w:rPr>
              <w:t>(硝酸盐)、NO</w:t>
            </w:r>
            <w:r>
              <w:rPr>
                <w:rFonts w:hint="default" w:ascii="Times New Roman" w:hAnsi="Times New Roman" w:eastAsia="宋体" w:cs="Times New Roman"/>
                <w:color w:val="auto"/>
                <w:kern w:val="0"/>
                <w:szCs w:val="24"/>
                <w:u w:val="single"/>
                <w:vertAlign w:val="subscript"/>
                <w:lang w:bidi="ar"/>
              </w:rPr>
              <w:t>2</w:t>
            </w:r>
            <w:r>
              <w:rPr>
                <w:rFonts w:hint="default" w:ascii="Times New Roman" w:hAnsi="Times New Roman" w:eastAsia="宋体" w:cs="Times New Roman"/>
                <w:color w:val="auto"/>
                <w:kern w:val="0"/>
                <w:szCs w:val="24"/>
                <w:u w:val="single"/>
                <w:vertAlign w:val="superscript"/>
                <w:lang w:bidi="ar"/>
              </w:rPr>
              <w:t>-</w:t>
            </w:r>
            <w:r>
              <w:rPr>
                <w:rFonts w:hint="default" w:ascii="Times New Roman" w:hAnsi="Times New Roman" w:eastAsia="宋体" w:cs="Times New Roman"/>
                <w:color w:val="auto"/>
                <w:kern w:val="0"/>
                <w:szCs w:val="24"/>
                <w:u w:val="single"/>
                <w:lang w:bidi="ar"/>
              </w:rPr>
              <w:t>(亚硝酸盐)、挥发性酚类、氰化物、As(砷)、Hg(汞)、Cr6</w:t>
            </w:r>
            <w:r>
              <w:rPr>
                <w:rFonts w:hint="default" w:ascii="Times New Roman" w:hAnsi="Times New Roman" w:eastAsia="宋体" w:cs="Times New Roman"/>
                <w:color w:val="auto"/>
                <w:kern w:val="0"/>
                <w:szCs w:val="24"/>
                <w:u w:val="single"/>
                <w:vertAlign w:val="superscript"/>
                <w:lang w:bidi="ar"/>
              </w:rPr>
              <w:t>+</w:t>
            </w:r>
            <w:r>
              <w:rPr>
                <w:rFonts w:hint="default" w:ascii="Times New Roman" w:hAnsi="Times New Roman" w:eastAsia="宋体" w:cs="Times New Roman"/>
                <w:color w:val="auto"/>
                <w:kern w:val="0"/>
                <w:szCs w:val="24"/>
                <w:u w:val="single"/>
                <w:lang w:bidi="ar"/>
              </w:rPr>
              <w:t>(六价铬)、总硬度、Pb（铅）、F-(氟化物)、镉、Fe(铁)、Mn(锰)、溶解性总固体、高锰酸盐指数、总大肠菌群、细菌总数、石油类、甲苯、苯、二氯丙烷</w:t>
            </w:r>
          </w:p>
        </w:tc>
        <w:tc>
          <w:tcPr>
            <w:tcW w:w="1355"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高锰酸盐指数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77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土壤环境</w:t>
            </w:r>
          </w:p>
        </w:tc>
        <w:tc>
          <w:tcPr>
            <w:tcW w:w="28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共</w:t>
            </w:r>
            <w:r>
              <w:rPr>
                <w:rFonts w:hint="eastAsia" w:ascii="Times New Roman" w:hAnsi="Times New Roman" w:cs="Times New Roman"/>
                <w:color w:val="auto"/>
                <w:kern w:val="2"/>
                <w:sz w:val="21"/>
                <w:szCs w:val="20"/>
                <w:u w:val="single"/>
                <w:lang w:val="en-US" w:eastAsia="zh-CN" w:bidi="ar-SA"/>
              </w:rPr>
              <w:t>45</w:t>
            </w:r>
            <w:r>
              <w:rPr>
                <w:rFonts w:hint="eastAsia" w:ascii="Times New Roman" w:hAnsi="Times New Roman" w:eastAsia="宋体" w:cs="Times New Roman"/>
                <w:color w:val="auto"/>
                <w:kern w:val="2"/>
                <w:sz w:val="21"/>
                <w:szCs w:val="20"/>
                <w:u w:val="single"/>
                <w:lang w:val="en-US" w:eastAsia="zh-CN" w:bidi="ar-SA"/>
              </w:rPr>
              <w:t>项</w:t>
            </w:r>
          </w:p>
        </w:tc>
        <w:tc>
          <w:tcPr>
            <w:tcW w:w="13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p</w:t>
            </w:r>
            <w:r>
              <w:rPr>
                <w:rFonts w:hint="eastAsia" w:ascii="Times New Roman" w:hAnsi="Times New Roman" w:eastAsia="宋体" w:cs="Times New Roman"/>
                <w:color w:val="auto"/>
                <w:kern w:val="2"/>
                <w:sz w:val="21"/>
                <w:szCs w:val="20"/>
                <w:u w:val="single"/>
                <w:lang w:val="en-US" w:eastAsia="zh-CN" w:bidi="ar-SA"/>
              </w:rPr>
              <w:t>H、</w:t>
            </w:r>
            <w:r>
              <w:rPr>
                <w:rFonts w:hint="eastAsia" w:ascii="Times New Roman" w:hAnsi="Times New Roman" w:cs="Times New Roman"/>
                <w:color w:val="auto"/>
                <w:kern w:val="2"/>
                <w:sz w:val="21"/>
                <w:szCs w:val="20"/>
                <w:u w:val="single"/>
                <w:lang w:val="en-US" w:eastAsia="zh-CN" w:bidi="ar-SA"/>
              </w:rPr>
              <w:t>石油烃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77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声环境</w:t>
            </w:r>
          </w:p>
        </w:tc>
        <w:tc>
          <w:tcPr>
            <w:tcW w:w="28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等效连续A声级</w:t>
            </w:r>
          </w:p>
        </w:tc>
        <w:tc>
          <w:tcPr>
            <w:tcW w:w="1355"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等效连续A声级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77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固体废物</w:t>
            </w:r>
          </w:p>
        </w:tc>
        <w:tc>
          <w:tcPr>
            <w:tcW w:w="28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w:t>
            </w:r>
          </w:p>
        </w:tc>
        <w:tc>
          <w:tcPr>
            <w:tcW w:w="135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生活垃圾、一般</w:t>
            </w:r>
            <w:r>
              <w:rPr>
                <w:rFonts w:ascii="Times New Roman" w:hAnsi="Times New Roman" w:eastAsia="宋体" w:cs="Times New Roman"/>
                <w:color w:val="auto"/>
                <w:kern w:val="2"/>
                <w:sz w:val="21"/>
                <w:szCs w:val="20"/>
                <w:u w:val="single"/>
                <w:lang w:val="en-US" w:eastAsia="zh-CN" w:bidi="ar-SA"/>
              </w:rPr>
              <w:t>工业固废</w:t>
            </w:r>
            <w:r>
              <w:rPr>
                <w:rFonts w:hint="eastAsia" w:ascii="Calibri" w:hAnsi="Calibri" w:eastAsia="宋体"/>
                <w:color w:val="auto"/>
                <w:u w:val="single"/>
                <w:lang w:eastAsia="zh-CN"/>
              </w:rPr>
              <w:t>、危险废物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77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环境风险</w:t>
            </w:r>
          </w:p>
        </w:tc>
        <w:tc>
          <w:tcPr>
            <w:tcW w:w="28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w:t>
            </w:r>
          </w:p>
        </w:tc>
        <w:tc>
          <w:tcPr>
            <w:tcW w:w="1355"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原辅材料</w:t>
            </w:r>
            <w:r>
              <w:rPr>
                <w:rFonts w:ascii="Times New Roman" w:hAnsi="Times New Roman" w:eastAsia="宋体" w:cs="Times New Roman"/>
                <w:color w:val="auto"/>
                <w:kern w:val="2"/>
                <w:sz w:val="21"/>
                <w:szCs w:val="20"/>
                <w:u w:val="single"/>
                <w:lang w:val="en-US" w:eastAsia="zh-CN" w:bidi="ar-SA"/>
              </w:rPr>
              <w:t>泄漏</w:t>
            </w:r>
            <w:r>
              <w:rPr>
                <w:rFonts w:hint="eastAsia" w:ascii="Times New Roman" w:hAnsi="Times New Roman" w:eastAsia="宋体" w:cs="Times New Roman"/>
                <w:color w:val="auto"/>
                <w:kern w:val="2"/>
                <w:sz w:val="21"/>
                <w:szCs w:val="20"/>
                <w:u w:val="single"/>
                <w:lang w:val="en-US" w:eastAsia="zh-CN" w:bidi="ar-SA"/>
              </w:rPr>
              <w:t>、火灾、废水事故排放、废气事故排放</w:t>
            </w:r>
          </w:p>
        </w:tc>
      </w:tr>
    </w:tbl>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ascii="Times New Roman" w:hAnsi="Times New Roman" w:eastAsia="宋体" w:cs="Times New Roman"/>
          <w:b/>
          <w:color w:val="auto"/>
          <w:kern w:val="2"/>
          <w:sz w:val="30"/>
          <w:szCs w:val="22"/>
          <w:lang w:val="en-US" w:eastAsia="zh-CN" w:bidi="ar-SA"/>
        </w:rPr>
      </w:pPr>
      <w:bookmarkStart w:id="32" w:name="_Toc14728"/>
      <w:r>
        <w:rPr>
          <w:rFonts w:hint="eastAsia" w:ascii="Times New Roman" w:hAnsi="Times New Roman" w:eastAsia="宋体" w:cs="Times New Roman"/>
          <w:b/>
          <w:color w:val="auto"/>
          <w:kern w:val="2"/>
          <w:sz w:val="30"/>
          <w:szCs w:val="22"/>
          <w:lang w:val="en-US" w:eastAsia="zh-CN" w:bidi="ar-SA"/>
        </w:rPr>
        <w:t>2.4评价</w:t>
      </w:r>
      <w:r>
        <w:rPr>
          <w:rFonts w:ascii="Times New Roman" w:hAnsi="Times New Roman" w:eastAsia="宋体" w:cs="Times New Roman"/>
          <w:b/>
          <w:color w:val="auto"/>
          <w:kern w:val="2"/>
          <w:sz w:val="30"/>
          <w:szCs w:val="22"/>
          <w:lang w:val="en-US" w:eastAsia="zh-CN" w:bidi="ar-SA"/>
        </w:rPr>
        <w:t>标准</w:t>
      </w:r>
      <w:bookmarkEnd w:id="32"/>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根据岳阳市生态环境局云溪分局下达的评价标准执行函，本项目所在区域执行的环境质量标准及项目运营期执行的污染物排放标准如下：</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2.4.1环境质量标准</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（1）环境空气</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评价区域常规因子执行《环境空气质量标准》（GB3095-2012）的二级标准，各项污染物浓度限值见表2.4-1。TVOC、甲醇执行《环境影响评价技术导则——大气环境》（HJ2.2-2018）附录D中的浓度参考限值，详见表2.4-2。</w:t>
      </w:r>
    </w:p>
    <w:p>
      <w:pPr>
        <w:widowControl w:val="0"/>
        <w:bidi w:val="0"/>
        <w:spacing w:line="360" w:lineRule="auto"/>
        <w:jc w:val="center"/>
        <w:rPr>
          <w:rFonts w:ascii="Times New Roman" w:hAnsi="Times New Roman" w:eastAsia="宋体" w:cs="Times New Roman"/>
          <w:b/>
          <w:color w:val="auto"/>
          <w:kern w:val="2"/>
          <w:sz w:val="24"/>
          <w:szCs w:val="22"/>
          <w:lang w:val="en-US" w:eastAsia="zh-CN" w:bidi="ar-SA"/>
        </w:rPr>
      </w:pPr>
      <w:r>
        <w:rPr>
          <w:rFonts w:ascii="Times New Roman" w:hAnsi="Times New Roman" w:eastAsia="宋体" w:cs="Times New Roman"/>
          <w:b/>
          <w:color w:val="auto"/>
          <w:kern w:val="2"/>
          <w:sz w:val="24"/>
          <w:szCs w:val="22"/>
          <w:lang w:val="en-US" w:eastAsia="zh-CN" w:bidi="ar-SA"/>
        </w:rPr>
        <w:t>表</w:t>
      </w:r>
      <w:r>
        <w:rPr>
          <w:rFonts w:hint="eastAsia" w:ascii="Times New Roman" w:hAnsi="Times New Roman" w:eastAsia="宋体" w:cs="Times New Roman"/>
          <w:b/>
          <w:color w:val="auto"/>
          <w:kern w:val="2"/>
          <w:sz w:val="24"/>
          <w:szCs w:val="22"/>
          <w:lang w:val="en-US" w:eastAsia="zh-CN" w:bidi="ar-SA"/>
        </w:rPr>
        <w:t>2</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4</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1</w:t>
      </w:r>
      <w:r>
        <w:rPr>
          <w:rFonts w:ascii="Times New Roman" w:hAnsi="Times New Roman" w:eastAsia="宋体" w:cs="Times New Roman"/>
          <w:b/>
          <w:color w:val="auto"/>
          <w:kern w:val="2"/>
          <w:sz w:val="24"/>
          <w:szCs w:val="22"/>
          <w:lang w:val="en-US" w:eastAsia="zh-CN" w:bidi="ar-SA"/>
        </w:rPr>
        <w:t xml:space="preserve">  环境空气污染物浓度限值   单位：mg/m</w:t>
      </w:r>
      <w:r>
        <w:rPr>
          <w:rFonts w:ascii="Times New Roman" w:hAnsi="Times New Roman" w:eastAsia="宋体" w:cs="Times New Roman"/>
          <w:b/>
          <w:color w:val="auto"/>
          <w:kern w:val="2"/>
          <w:sz w:val="24"/>
          <w:szCs w:val="22"/>
          <w:vertAlign w:val="superscript"/>
          <w:lang w:val="en-US" w:eastAsia="zh-CN" w:bidi="ar-SA"/>
        </w:rPr>
        <w:t>3</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8"/>
        <w:gridCol w:w="1763"/>
        <w:gridCol w:w="1470"/>
        <w:gridCol w:w="1617"/>
        <w:gridCol w:w="22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6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污染物名称</w:t>
            </w:r>
          </w:p>
        </w:tc>
        <w:tc>
          <w:tcPr>
            <w:tcW w:w="103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年平均</w:t>
            </w:r>
          </w:p>
        </w:tc>
        <w:tc>
          <w:tcPr>
            <w:tcW w:w="86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日平均</w:t>
            </w:r>
          </w:p>
        </w:tc>
        <w:tc>
          <w:tcPr>
            <w:tcW w:w="94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1小时平均</w:t>
            </w:r>
          </w:p>
        </w:tc>
        <w:tc>
          <w:tcPr>
            <w:tcW w:w="129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日最大8小时平均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6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SO</w:t>
            </w:r>
            <w:r>
              <w:rPr>
                <w:rFonts w:ascii="Times New Roman" w:hAnsi="Times New Roman" w:eastAsia="宋体" w:cs="Times New Roman"/>
                <w:color w:val="auto"/>
                <w:kern w:val="2"/>
                <w:sz w:val="21"/>
                <w:szCs w:val="20"/>
                <w:vertAlign w:val="subscript"/>
                <w:lang w:val="en-US" w:eastAsia="zh-CN" w:bidi="ar-SA"/>
              </w:rPr>
              <w:t>2</w:t>
            </w:r>
          </w:p>
        </w:tc>
        <w:tc>
          <w:tcPr>
            <w:tcW w:w="103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0.06</w:t>
            </w:r>
          </w:p>
        </w:tc>
        <w:tc>
          <w:tcPr>
            <w:tcW w:w="86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0.15</w:t>
            </w:r>
          </w:p>
        </w:tc>
        <w:tc>
          <w:tcPr>
            <w:tcW w:w="94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0.5</w:t>
            </w:r>
            <w:r>
              <w:rPr>
                <w:rFonts w:hint="eastAsia" w:ascii="Times New Roman" w:hAnsi="Times New Roman" w:eastAsia="宋体" w:cs="Times New Roman"/>
                <w:color w:val="auto"/>
                <w:kern w:val="2"/>
                <w:sz w:val="21"/>
                <w:szCs w:val="20"/>
                <w:lang w:val="en-US" w:eastAsia="zh-CN" w:bidi="ar-SA"/>
              </w:rPr>
              <w:t>0</w:t>
            </w:r>
          </w:p>
        </w:tc>
        <w:tc>
          <w:tcPr>
            <w:tcW w:w="129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6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NO</w:t>
            </w:r>
            <w:r>
              <w:rPr>
                <w:rFonts w:ascii="Times New Roman" w:hAnsi="Times New Roman" w:eastAsia="宋体" w:cs="Times New Roman"/>
                <w:color w:val="auto"/>
                <w:kern w:val="2"/>
                <w:sz w:val="21"/>
                <w:szCs w:val="20"/>
                <w:vertAlign w:val="subscript"/>
                <w:lang w:val="en-US" w:eastAsia="zh-CN" w:bidi="ar-SA"/>
              </w:rPr>
              <w:t>2</w:t>
            </w:r>
          </w:p>
        </w:tc>
        <w:tc>
          <w:tcPr>
            <w:tcW w:w="103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0.04</w:t>
            </w:r>
          </w:p>
        </w:tc>
        <w:tc>
          <w:tcPr>
            <w:tcW w:w="86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0.08</w:t>
            </w:r>
          </w:p>
        </w:tc>
        <w:tc>
          <w:tcPr>
            <w:tcW w:w="94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0.2</w:t>
            </w:r>
            <w:r>
              <w:rPr>
                <w:rFonts w:hint="eastAsia" w:ascii="Times New Roman" w:hAnsi="Times New Roman" w:eastAsia="宋体" w:cs="Times New Roman"/>
                <w:color w:val="auto"/>
                <w:kern w:val="2"/>
                <w:sz w:val="21"/>
                <w:szCs w:val="20"/>
                <w:lang w:val="en-US" w:eastAsia="zh-CN" w:bidi="ar-SA"/>
              </w:rPr>
              <w:t>0</w:t>
            </w:r>
          </w:p>
        </w:tc>
        <w:tc>
          <w:tcPr>
            <w:tcW w:w="129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6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PM</w:t>
            </w:r>
            <w:r>
              <w:rPr>
                <w:rFonts w:ascii="Times New Roman" w:hAnsi="Times New Roman" w:eastAsia="宋体" w:cs="Times New Roman"/>
                <w:color w:val="auto"/>
                <w:kern w:val="2"/>
                <w:sz w:val="21"/>
                <w:szCs w:val="20"/>
                <w:vertAlign w:val="subscript"/>
                <w:lang w:val="en-US" w:eastAsia="zh-CN" w:bidi="ar-SA"/>
              </w:rPr>
              <w:t>10</w:t>
            </w:r>
          </w:p>
        </w:tc>
        <w:tc>
          <w:tcPr>
            <w:tcW w:w="103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0.07</w:t>
            </w:r>
          </w:p>
        </w:tc>
        <w:tc>
          <w:tcPr>
            <w:tcW w:w="86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0.15</w:t>
            </w:r>
          </w:p>
        </w:tc>
        <w:tc>
          <w:tcPr>
            <w:tcW w:w="94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w:t>
            </w:r>
          </w:p>
        </w:tc>
        <w:tc>
          <w:tcPr>
            <w:tcW w:w="129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6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PM</w:t>
            </w:r>
            <w:r>
              <w:rPr>
                <w:rFonts w:ascii="Times New Roman" w:hAnsi="Times New Roman" w:eastAsia="宋体" w:cs="Times New Roman"/>
                <w:color w:val="auto"/>
                <w:kern w:val="2"/>
                <w:sz w:val="21"/>
                <w:szCs w:val="20"/>
                <w:vertAlign w:val="subscript"/>
                <w:lang w:val="en-US" w:eastAsia="zh-CN" w:bidi="ar-SA"/>
              </w:rPr>
              <w:t>2.5</w:t>
            </w:r>
          </w:p>
        </w:tc>
        <w:tc>
          <w:tcPr>
            <w:tcW w:w="103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0.035</w:t>
            </w:r>
          </w:p>
        </w:tc>
        <w:tc>
          <w:tcPr>
            <w:tcW w:w="86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0.075</w:t>
            </w:r>
          </w:p>
        </w:tc>
        <w:tc>
          <w:tcPr>
            <w:tcW w:w="94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w:t>
            </w:r>
          </w:p>
        </w:tc>
        <w:tc>
          <w:tcPr>
            <w:tcW w:w="129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6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CO</w:t>
            </w:r>
          </w:p>
        </w:tc>
        <w:tc>
          <w:tcPr>
            <w:tcW w:w="103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w:t>
            </w:r>
          </w:p>
        </w:tc>
        <w:tc>
          <w:tcPr>
            <w:tcW w:w="86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w:t>
            </w:r>
          </w:p>
        </w:tc>
        <w:tc>
          <w:tcPr>
            <w:tcW w:w="94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10</w:t>
            </w:r>
          </w:p>
        </w:tc>
        <w:tc>
          <w:tcPr>
            <w:tcW w:w="129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6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O</w:t>
            </w:r>
            <w:r>
              <w:rPr>
                <w:rFonts w:ascii="Times New Roman" w:hAnsi="Times New Roman" w:eastAsia="宋体" w:cs="Times New Roman"/>
                <w:color w:val="auto"/>
                <w:kern w:val="2"/>
                <w:sz w:val="21"/>
                <w:szCs w:val="20"/>
                <w:vertAlign w:val="subscript"/>
                <w:lang w:val="en-US" w:eastAsia="zh-CN" w:bidi="ar-SA"/>
              </w:rPr>
              <w:t>3</w:t>
            </w:r>
          </w:p>
        </w:tc>
        <w:tc>
          <w:tcPr>
            <w:tcW w:w="103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w:t>
            </w:r>
          </w:p>
        </w:tc>
        <w:tc>
          <w:tcPr>
            <w:tcW w:w="86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w:t>
            </w:r>
          </w:p>
        </w:tc>
        <w:tc>
          <w:tcPr>
            <w:tcW w:w="94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0.2</w:t>
            </w:r>
            <w:r>
              <w:rPr>
                <w:rFonts w:hint="eastAsia" w:ascii="Times New Roman" w:hAnsi="Times New Roman" w:eastAsia="宋体" w:cs="Times New Roman"/>
                <w:color w:val="auto"/>
                <w:kern w:val="2"/>
                <w:sz w:val="21"/>
                <w:szCs w:val="20"/>
                <w:lang w:val="en-US" w:eastAsia="zh-CN" w:bidi="ar-SA"/>
              </w:rPr>
              <w:t>0</w:t>
            </w:r>
          </w:p>
        </w:tc>
        <w:tc>
          <w:tcPr>
            <w:tcW w:w="129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0.16</w:t>
            </w:r>
          </w:p>
        </w:tc>
      </w:tr>
    </w:tbl>
    <w:p>
      <w:pPr>
        <w:widowControl w:val="0"/>
        <w:bidi w:val="0"/>
        <w:spacing w:line="360" w:lineRule="auto"/>
        <w:jc w:val="center"/>
        <w:rPr>
          <w:rFonts w:ascii="Times New Roman" w:hAnsi="Times New Roman" w:eastAsia="宋体" w:cs="Times New Roman"/>
          <w:b/>
          <w:color w:val="auto"/>
          <w:kern w:val="2"/>
          <w:sz w:val="24"/>
          <w:szCs w:val="22"/>
          <w:vertAlign w:val="superscript"/>
          <w:lang w:val="en-US" w:eastAsia="zh-CN" w:bidi="ar-SA"/>
        </w:rPr>
      </w:pPr>
      <w:r>
        <w:rPr>
          <w:rFonts w:ascii="Times New Roman" w:hAnsi="宋体" w:eastAsia="宋体" w:cs="Times New Roman"/>
          <w:b/>
          <w:color w:val="auto"/>
          <w:kern w:val="2"/>
          <w:sz w:val="24"/>
          <w:szCs w:val="22"/>
          <w:lang w:val="en-US" w:eastAsia="zh-CN" w:bidi="ar-SA"/>
        </w:rPr>
        <w:t>表</w:t>
      </w:r>
      <w:r>
        <w:rPr>
          <w:rFonts w:hint="eastAsia" w:ascii="Times New Roman" w:hAnsi="Times New Roman" w:eastAsia="宋体" w:cs="Times New Roman"/>
          <w:b/>
          <w:color w:val="auto"/>
          <w:kern w:val="2"/>
          <w:sz w:val="24"/>
          <w:szCs w:val="22"/>
          <w:lang w:val="en-US" w:eastAsia="zh-CN" w:bidi="ar-SA"/>
        </w:rPr>
        <w:t>2.4</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2</w:t>
      </w:r>
      <w:r>
        <w:rPr>
          <w:rFonts w:ascii="Times New Roman" w:hAnsi="Times New Roman" w:eastAsia="宋体" w:cs="Times New Roman"/>
          <w:b/>
          <w:color w:val="auto"/>
          <w:kern w:val="2"/>
          <w:sz w:val="24"/>
          <w:szCs w:val="22"/>
          <w:lang w:val="en-US" w:eastAsia="zh-CN" w:bidi="ar-SA"/>
        </w:rPr>
        <w:t xml:space="preserve">  </w:t>
      </w:r>
      <w:r>
        <w:rPr>
          <w:rFonts w:hint="eastAsia" w:ascii="Times New Roman" w:hAnsi="Times New Roman" w:eastAsia="宋体" w:cs="Times New Roman"/>
          <w:b/>
          <w:color w:val="auto"/>
          <w:kern w:val="2"/>
          <w:sz w:val="24"/>
          <w:szCs w:val="22"/>
          <w:lang w:val="en-US" w:eastAsia="zh-CN" w:bidi="ar-SA"/>
        </w:rPr>
        <w:t>T</w:t>
      </w:r>
      <w:r>
        <w:rPr>
          <w:rFonts w:hint="eastAsia" w:ascii="Times New Roman" w:hAnsi="Times New Roman" w:eastAsia="宋体" w:cs="Times New Roman"/>
          <w:b/>
          <w:color w:val="auto"/>
          <w:kern w:val="0"/>
          <w:sz w:val="24"/>
          <w:szCs w:val="22"/>
          <w:lang w:val="en-US" w:eastAsia="zh-CN" w:bidi="ar-SA"/>
        </w:rPr>
        <w:t xml:space="preserve">VOC、甲醇的浓度限值 </w:t>
      </w:r>
      <w:r>
        <w:rPr>
          <w:rFonts w:hint="eastAsia" w:ascii="Times New Roman" w:hAnsi="Times New Roman" w:eastAsia="宋体" w:cs="Times New Roman"/>
          <w:b/>
          <w:color w:val="auto"/>
          <w:kern w:val="2"/>
          <w:sz w:val="24"/>
          <w:szCs w:val="22"/>
          <w:lang w:val="en-US" w:eastAsia="zh-CN" w:bidi="ar-SA"/>
        </w:rPr>
        <w:t xml:space="preserve"> </w:t>
      </w:r>
      <w:r>
        <w:rPr>
          <w:rFonts w:hint="eastAsia" w:ascii="Times New Roman" w:hAnsi="宋体" w:eastAsia="宋体" w:cs="Times New Roman"/>
          <w:b/>
          <w:color w:val="auto"/>
          <w:kern w:val="2"/>
          <w:sz w:val="24"/>
          <w:szCs w:val="22"/>
          <w:lang w:val="en-US" w:eastAsia="zh-CN" w:bidi="ar-SA"/>
        </w:rPr>
        <w:t xml:space="preserve"> </w:t>
      </w:r>
      <w:r>
        <w:rPr>
          <w:rFonts w:ascii="Times New Roman" w:hAnsi="宋体" w:eastAsia="宋体" w:cs="Times New Roman"/>
          <w:b/>
          <w:color w:val="auto"/>
          <w:kern w:val="2"/>
          <w:sz w:val="24"/>
          <w:szCs w:val="22"/>
          <w:lang w:val="en-US" w:eastAsia="zh-CN" w:bidi="ar-SA"/>
        </w:rPr>
        <w:t>单位：</w:t>
      </w:r>
      <w:r>
        <w:rPr>
          <w:rFonts w:hint="eastAsia" w:ascii="Times New Roman" w:hAnsi="Times New Roman" w:cs="Times New Roman"/>
          <w:b/>
          <w:color w:val="auto"/>
          <w:kern w:val="2"/>
          <w:sz w:val="24"/>
          <w:szCs w:val="22"/>
          <w:lang w:val="en-US" w:eastAsia="zh-CN" w:bidi="ar-SA"/>
        </w:rPr>
        <w:t>m</w:t>
      </w:r>
      <w:r>
        <w:rPr>
          <w:rFonts w:ascii="Times New Roman" w:hAnsi="Times New Roman" w:eastAsia="宋体" w:cs="Times New Roman"/>
          <w:b/>
          <w:color w:val="auto"/>
          <w:kern w:val="2"/>
          <w:sz w:val="24"/>
          <w:szCs w:val="22"/>
          <w:lang w:val="en-US" w:eastAsia="zh-CN" w:bidi="ar-SA"/>
        </w:rPr>
        <w:t>g/m</w:t>
      </w:r>
      <w:r>
        <w:rPr>
          <w:rFonts w:ascii="Times New Roman" w:hAnsi="Times New Roman" w:eastAsia="宋体" w:cs="Times New Roman"/>
          <w:b/>
          <w:color w:val="auto"/>
          <w:kern w:val="2"/>
          <w:sz w:val="24"/>
          <w:szCs w:val="22"/>
          <w:vertAlign w:val="superscript"/>
          <w:lang w:val="en-US" w:eastAsia="zh-CN" w:bidi="ar-SA"/>
        </w:rPr>
        <w:t>3</w:t>
      </w:r>
    </w:p>
    <w:tbl>
      <w:tblPr>
        <w:tblStyle w:val="27"/>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3346"/>
        <w:gridCol w:w="2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exact"/>
        </w:trPr>
        <w:tc>
          <w:tcPr>
            <w:tcW w:w="1295"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污染物名称</w:t>
            </w:r>
          </w:p>
        </w:tc>
        <w:tc>
          <w:tcPr>
            <w:tcW w:w="196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TVOC</w:t>
            </w:r>
          </w:p>
        </w:tc>
        <w:tc>
          <w:tcPr>
            <w:tcW w:w="174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甲醇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exact"/>
        </w:trPr>
        <w:tc>
          <w:tcPr>
            <w:tcW w:w="1295"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1小时平均</w:t>
            </w:r>
          </w:p>
        </w:tc>
        <w:tc>
          <w:tcPr>
            <w:tcW w:w="196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c>
          <w:tcPr>
            <w:tcW w:w="174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exact"/>
        </w:trPr>
        <w:tc>
          <w:tcPr>
            <w:tcW w:w="129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日平均</w:t>
            </w:r>
          </w:p>
        </w:tc>
        <w:tc>
          <w:tcPr>
            <w:tcW w:w="196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c>
          <w:tcPr>
            <w:tcW w:w="174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exact"/>
        </w:trPr>
        <w:tc>
          <w:tcPr>
            <w:tcW w:w="129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8小时平均</w:t>
            </w:r>
          </w:p>
        </w:tc>
        <w:tc>
          <w:tcPr>
            <w:tcW w:w="196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0.6</w:t>
            </w:r>
          </w:p>
        </w:tc>
        <w:tc>
          <w:tcPr>
            <w:tcW w:w="174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bl>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（2）地表水</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区域地表水长江道仁矶段（污水处理厂排放口上游500m）至长江道仁矶段（污水处理厂排放口下游4500米）执行《地表水环境质量标准》（GB3838-2002）中Ⅲ类标准，松阳湖属于景观娱乐用水水域，执行《地表水环境质量标准》（GB3838-2002）中的Ⅳ类标准，各项污染物浓度限值见表2.4-3。</w:t>
      </w:r>
    </w:p>
    <w:p>
      <w:pPr>
        <w:widowControl w:val="0"/>
        <w:bidi w:val="0"/>
        <w:spacing w:line="360" w:lineRule="auto"/>
        <w:jc w:val="center"/>
        <w:rPr>
          <w:rFonts w:hint="eastAsia" w:ascii="Times New Roman" w:hAnsi="Times New Roman" w:eastAsia="宋体" w:cs="Times New Roman"/>
          <w:b/>
          <w:color w:val="auto"/>
          <w:kern w:val="2"/>
          <w:sz w:val="24"/>
          <w:szCs w:val="22"/>
          <w:lang w:val="en-US" w:eastAsia="zh-CN" w:bidi="ar-SA"/>
        </w:rPr>
      </w:pPr>
      <w:r>
        <w:rPr>
          <w:rFonts w:ascii="Times New Roman" w:hAnsi="Times New Roman" w:eastAsia="宋体" w:cs="Times New Roman"/>
          <w:b/>
          <w:color w:val="auto"/>
          <w:kern w:val="2"/>
          <w:sz w:val="24"/>
          <w:szCs w:val="22"/>
          <w:lang w:val="en-US" w:eastAsia="zh-CN" w:bidi="ar-SA"/>
        </w:rPr>
        <w:t>表</w:t>
      </w:r>
      <w:r>
        <w:rPr>
          <w:rFonts w:hint="eastAsia" w:ascii="Times New Roman" w:hAnsi="Times New Roman" w:eastAsia="宋体" w:cs="Times New Roman"/>
          <w:b/>
          <w:color w:val="auto"/>
          <w:kern w:val="2"/>
          <w:sz w:val="24"/>
          <w:szCs w:val="22"/>
          <w:lang w:val="en-US" w:eastAsia="zh-CN" w:bidi="ar-SA"/>
        </w:rPr>
        <w:t>2</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4</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3</w:t>
      </w:r>
      <w:r>
        <w:rPr>
          <w:rFonts w:ascii="Times New Roman" w:hAnsi="Times New Roman" w:eastAsia="宋体" w:cs="Times New Roman"/>
          <w:b/>
          <w:color w:val="auto"/>
          <w:kern w:val="2"/>
          <w:sz w:val="24"/>
          <w:szCs w:val="22"/>
          <w:lang w:val="en-US" w:eastAsia="zh-CN" w:bidi="ar-SA"/>
        </w:rPr>
        <w:t xml:space="preserve">  项目地表水环境质量标准   单位：mg/</w:t>
      </w:r>
      <w:r>
        <w:rPr>
          <w:rFonts w:hint="eastAsia" w:ascii="Times New Roman" w:hAnsi="Times New Roman" w:eastAsia="宋体" w:cs="Times New Roman"/>
          <w:b/>
          <w:color w:val="auto"/>
          <w:kern w:val="2"/>
          <w:sz w:val="24"/>
          <w:szCs w:val="22"/>
          <w:lang w:val="en-US" w:eastAsia="zh-CN" w:bidi="ar-SA"/>
        </w:rPr>
        <w:t>L，</w:t>
      </w:r>
      <w:r>
        <w:rPr>
          <w:rFonts w:ascii="Times New Roman" w:hAnsi="Times New Roman" w:eastAsia="宋体" w:cs="Times New Roman"/>
          <w:b/>
          <w:color w:val="auto"/>
          <w:kern w:val="2"/>
          <w:sz w:val="24"/>
          <w:szCs w:val="22"/>
          <w:lang w:val="en-US" w:eastAsia="zh-CN" w:bidi="ar-SA"/>
        </w:rPr>
        <w:t>pH</w:t>
      </w:r>
      <w:r>
        <w:rPr>
          <w:rFonts w:hint="eastAsia" w:ascii="Times New Roman" w:hAnsi="Times New Roman" w:eastAsia="宋体" w:cs="Times New Roman"/>
          <w:b/>
          <w:color w:val="auto"/>
          <w:kern w:val="2"/>
          <w:sz w:val="24"/>
          <w:szCs w:val="22"/>
          <w:lang w:val="en-US" w:eastAsia="zh-CN" w:bidi="ar-SA"/>
        </w:rPr>
        <w:t>无量纲</w:t>
      </w:r>
    </w:p>
    <w:tbl>
      <w:tblPr>
        <w:tblStyle w:val="27"/>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35"/>
        <w:gridCol w:w="3434"/>
        <w:gridCol w:w="2040"/>
        <w:gridCol w:w="2117"/>
      </w:tblGrid>
      <w:tr>
        <w:trPr>
          <w:trHeight w:val="340" w:hRule="atLeast"/>
          <w:tblHeader/>
        </w:trPr>
        <w:tc>
          <w:tcPr>
            <w:tcW w:w="548"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序号</w:t>
            </w:r>
          </w:p>
        </w:tc>
        <w:tc>
          <w:tcPr>
            <w:tcW w:w="2013"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项 目</w:t>
            </w:r>
          </w:p>
        </w:tc>
        <w:tc>
          <w:tcPr>
            <w:tcW w:w="1196"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Ⅲ类标准</w:t>
            </w:r>
          </w:p>
        </w:tc>
        <w:tc>
          <w:tcPr>
            <w:tcW w:w="1241"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IV类标准</w:t>
            </w:r>
          </w:p>
        </w:tc>
      </w:tr>
      <w:tr>
        <w:trPr>
          <w:trHeight w:val="340" w:hRule="atLeast"/>
        </w:trPr>
        <w:tc>
          <w:tcPr>
            <w:tcW w:w="548"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1</w:t>
            </w:r>
          </w:p>
        </w:tc>
        <w:tc>
          <w:tcPr>
            <w:tcW w:w="2013"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pH（无量纲）</w:t>
            </w:r>
          </w:p>
        </w:tc>
        <w:tc>
          <w:tcPr>
            <w:tcW w:w="1196"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6～9</w:t>
            </w:r>
          </w:p>
        </w:tc>
        <w:tc>
          <w:tcPr>
            <w:tcW w:w="1241"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6～9</w:t>
            </w:r>
          </w:p>
        </w:tc>
      </w:tr>
      <w:tr>
        <w:trPr>
          <w:trHeight w:val="340" w:hRule="atLeast"/>
        </w:trPr>
        <w:tc>
          <w:tcPr>
            <w:tcW w:w="548"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2</w:t>
            </w:r>
          </w:p>
        </w:tc>
        <w:tc>
          <w:tcPr>
            <w:tcW w:w="2013"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溶解氧≥</w:t>
            </w:r>
          </w:p>
        </w:tc>
        <w:tc>
          <w:tcPr>
            <w:tcW w:w="1196"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5</w:t>
            </w:r>
          </w:p>
        </w:tc>
        <w:tc>
          <w:tcPr>
            <w:tcW w:w="1241"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3</w:t>
            </w:r>
          </w:p>
        </w:tc>
      </w:tr>
      <w:tr>
        <w:trPr>
          <w:trHeight w:val="340" w:hRule="atLeast"/>
        </w:trPr>
        <w:tc>
          <w:tcPr>
            <w:tcW w:w="548" w:type="pct"/>
            <w:noWrap w:val="0"/>
            <w:vAlign w:val="center"/>
          </w:tcPr>
          <w:p>
            <w:pPr>
              <w:pStyle w:val="62"/>
              <w:rPr>
                <w:rFonts w:hint="default" w:ascii="Times New Roman" w:hAnsi="Times New Roman" w:eastAsia="宋体" w:cs="Times New Roman"/>
                <w:color w:val="auto"/>
                <w:kern w:val="2"/>
                <w:sz w:val="21"/>
                <w:szCs w:val="20"/>
                <w:lang w:bidi="ar-SA"/>
              </w:rPr>
            </w:pPr>
            <w:r>
              <w:rPr>
                <w:rFonts w:hint="default" w:ascii="Times New Roman" w:hAnsi="Times New Roman" w:eastAsia="宋体" w:cs="Times New Roman"/>
                <w:color w:val="auto"/>
                <w:szCs w:val="20"/>
              </w:rPr>
              <w:t>3</w:t>
            </w:r>
          </w:p>
        </w:tc>
        <w:tc>
          <w:tcPr>
            <w:tcW w:w="2013" w:type="pct"/>
            <w:noWrap w:val="0"/>
            <w:vAlign w:val="center"/>
          </w:tcPr>
          <w:p>
            <w:pPr>
              <w:pStyle w:val="62"/>
              <w:rPr>
                <w:rFonts w:hint="default" w:ascii="Times New Roman" w:hAnsi="Times New Roman" w:eastAsia="宋体" w:cs="Times New Roman"/>
                <w:color w:val="auto"/>
                <w:szCs w:val="20"/>
                <w:lang w:eastAsia="zh-CN"/>
              </w:rPr>
            </w:pPr>
            <w:r>
              <w:rPr>
                <w:rFonts w:hint="default" w:ascii="Times New Roman" w:hAnsi="Times New Roman" w:eastAsia="宋体" w:cs="Times New Roman"/>
                <w:color w:val="auto"/>
                <w:szCs w:val="20"/>
                <w:lang w:eastAsia="zh-CN"/>
              </w:rPr>
              <w:t>高锰酸盐指数</w:t>
            </w:r>
          </w:p>
        </w:tc>
        <w:tc>
          <w:tcPr>
            <w:tcW w:w="1196" w:type="pct"/>
            <w:noWrap w:val="0"/>
            <w:vAlign w:val="center"/>
          </w:tcPr>
          <w:p>
            <w:pPr>
              <w:pStyle w:val="62"/>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6</w:t>
            </w:r>
          </w:p>
        </w:tc>
        <w:tc>
          <w:tcPr>
            <w:tcW w:w="1241" w:type="pct"/>
            <w:noWrap w:val="0"/>
            <w:vAlign w:val="center"/>
          </w:tcPr>
          <w:p>
            <w:pPr>
              <w:pStyle w:val="62"/>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10</w:t>
            </w:r>
          </w:p>
        </w:tc>
      </w:tr>
      <w:tr>
        <w:trPr>
          <w:trHeight w:val="340" w:hRule="atLeast"/>
        </w:trPr>
        <w:tc>
          <w:tcPr>
            <w:tcW w:w="548" w:type="pct"/>
            <w:noWrap w:val="0"/>
            <w:vAlign w:val="center"/>
          </w:tcPr>
          <w:p>
            <w:pPr>
              <w:pStyle w:val="62"/>
              <w:rPr>
                <w:rFonts w:hint="default" w:ascii="Times New Roman" w:hAnsi="Times New Roman" w:eastAsia="宋体" w:cs="Times New Roman"/>
                <w:color w:val="auto"/>
                <w:kern w:val="2"/>
                <w:sz w:val="21"/>
                <w:szCs w:val="20"/>
                <w:lang w:bidi="ar-SA"/>
              </w:rPr>
            </w:pPr>
            <w:r>
              <w:rPr>
                <w:rFonts w:hint="default" w:ascii="Times New Roman" w:hAnsi="Times New Roman" w:eastAsia="宋体" w:cs="Times New Roman"/>
                <w:color w:val="auto"/>
                <w:szCs w:val="20"/>
              </w:rPr>
              <w:t>4</w:t>
            </w:r>
          </w:p>
        </w:tc>
        <w:tc>
          <w:tcPr>
            <w:tcW w:w="2013"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化学需氧量（COD）≤</w:t>
            </w:r>
          </w:p>
        </w:tc>
        <w:tc>
          <w:tcPr>
            <w:tcW w:w="1196"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20</w:t>
            </w:r>
          </w:p>
        </w:tc>
        <w:tc>
          <w:tcPr>
            <w:tcW w:w="1241"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30</w:t>
            </w:r>
          </w:p>
        </w:tc>
      </w:tr>
      <w:tr>
        <w:trPr>
          <w:trHeight w:val="340" w:hRule="atLeast"/>
        </w:trPr>
        <w:tc>
          <w:tcPr>
            <w:tcW w:w="548" w:type="pct"/>
            <w:noWrap w:val="0"/>
            <w:vAlign w:val="center"/>
          </w:tcPr>
          <w:p>
            <w:pPr>
              <w:pStyle w:val="62"/>
              <w:rPr>
                <w:rFonts w:hint="default" w:ascii="Times New Roman" w:hAnsi="Times New Roman" w:eastAsia="宋体" w:cs="Times New Roman"/>
                <w:color w:val="auto"/>
                <w:kern w:val="2"/>
                <w:sz w:val="21"/>
                <w:szCs w:val="20"/>
                <w:lang w:bidi="ar-SA"/>
              </w:rPr>
            </w:pPr>
            <w:r>
              <w:rPr>
                <w:rFonts w:hint="default" w:ascii="Times New Roman" w:hAnsi="Times New Roman" w:eastAsia="宋体" w:cs="Times New Roman"/>
                <w:color w:val="auto"/>
                <w:szCs w:val="20"/>
              </w:rPr>
              <w:t>5</w:t>
            </w:r>
          </w:p>
        </w:tc>
        <w:tc>
          <w:tcPr>
            <w:tcW w:w="2013"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五日生化需氧量（BOD</w:t>
            </w:r>
            <w:r>
              <w:rPr>
                <w:rFonts w:hint="default" w:ascii="Times New Roman" w:hAnsi="Times New Roman" w:eastAsia="宋体" w:cs="Times New Roman"/>
                <w:color w:val="auto"/>
                <w:szCs w:val="20"/>
                <w:vertAlign w:val="subscript"/>
              </w:rPr>
              <w:t>5</w:t>
            </w:r>
            <w:r>
              <w:rPr>
                <w:rFonts w:hint="default" w:ascii="Times New Roman" w:hAnsi="Times New Roman" w:eastAsia="宋体" w:cs="Times New Roman"/>
                <w:color w:val="auto"/>
                <w:szCs w:val="20"/>
              </w:rPr>
              <w:t>）≤</w:t>
            </w:r>
          </w:p>
        </w:tc>
        <w:tc>
          <w:tcPr>
            <w:tcW w:w="1196"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4</w:t>
            </w:r>
          </w:p>
        </w:tc>
        <w:tc>
          <w:tcPr>
            <w:tcW w:w="1241"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6</w:t>
            </w:r>
          </w:p>
        </w:tc>
      </w:tr>
      <w:tr>
        <w:trPr>
          <w:trHeight w:val="340" w:hRule="atLeast"/>
        </w:trPr>
        <w:tc>
          <w:tcPr>
            <w:tcW w:w="548" w:type="pct"/>
            <w:noWrap w:val="0"/>
            <w:vAlign w:val="center"/>
          </w:tcPr>
          <w:p>
            <w:pPr>
              <w:pStyle w:val="62"/>
              <w:rPr>
                <w:rFonts w:hint="default" w:ascii="Times New Roman" w:hAnsi="Times New Roman" w:eastAsia="宋体" w:cs="Times New Roman"/>
                <w:color w:val="auto"/>
                <w:kern w:val="2"/>
                <w:sz w:val="21"/>
                <w:szCs w:val="20"/>
                <w:lang w:bidi="ar-SA"/>
              </w:rPr>
            </w:pPr>
            <w:r>
              <w:rPr>
                <w:rFonts w:hint="default" w:ascii="Times New Roman" w:hAnsi="Times New Roman" w:eastAsia="宋体" w:cs="Times New Roman"/>
                <w:color w:val="auto"/>
                <w:szCs w:val="20"/>
              </w:rPr>
              <w:t>6</w:t>
            </w:r>
          </w:p>
        </w:tc>
        <w:tc>
          <w:tcPr>
            <w:tcW w:w="2013"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氨氮（NH</w:t>
            </w:r>
            <w:r>
              <w:rPr>
                <w:rFonts w:hint="default" w:ascii="Times New Roman" w:hAnsi="Times New Roman" w:eastAsia="宋体" w:cs="Times New Roman"/>
                <w:color w:val="auto"/>
                <w:szCs w:val="20"/>
                <w:vertAlign w:val="subscript"/>
              </w:rPr>
              <w:t>3</w:t>
            </w:r>
            <w:r>
              <w:rPr>
                <w:rFonts w:hint="default" w:ascii="Times New Roman" w:hAnsi="Times New Roman" w:eastAsia="宋体" w:cs="Times New Roman"/>
                <w:color w:val="auto"/>
                <w:szCs w:val="20"/>
              </w:rPr>
              <w:t>-N）≤</w:t>
            </w:r>
          </w:p>
        </w:tc>
        <w:tc>
          <w:tcPr>
            <w:tcW w:w="1196"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1.0</w:t>
            </w:r>
          </w:p>
        </w:tc>
        <w:tc>
          <w:tcPr>
            <w:tcW w:w="1241"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1.5</w:t>
            </w:r>
          </w:p>
        </w:tc>
      </w:tr>
      <w:tr>
        <w:trPr>
          <w:trHeight w:val="340" w:hRule="atLeast"/>
        </w:trPr>
        <w:tc>
          <w:tcPr>
            <w:tcW w:w="548" w:type="pct"/>
            <w:noWrap w:val="0"/>
            <w:vAlign w:val="center"/>
          </w:tcPr>
          <w:p>
            <w:pPr>
              <w:pStyle w:val="62"/>
              <w:rPr>
                <w:rFonts w:hint="default" w:ascii="Times New Roman" w:hAnsi="Times New Roman" w:eastAsia="宋体" w:cs="Times New Roman"/>
                <w:color w:val="auto"/>
                <w:kern w:val="2"/>
                <w:sz w:val="21"/>
                <w:szCs w:val="20"/>
                <w:lang w:bidi="ar-SA"/>
              </w:rPr>
            </w:pPr>
            <w:r>
              <w:rPr>
                <w:rFonts w:hint="default" w:ascii="Times New Roman" w:hAnsi="Times New Roman" w:eastAsia="宋体" w:cs="Times New Roman"/>
                <w:color w:val="auto"/>
                <w:szCs w:val="20"/>
              </w:rPr>
              <w:t>7</w:t>
            </w:r>
          </w:p>
        </w:tc>
        <w:tc>
          <w:tcPr>
            <w:tcW w:w="2013"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总磷（以P计）≤</w:t>
            </w:r>
          </w:p>
        </w:tc>
        <w:tc>
          <w:tcPr>
            <w:tcW w:w="1196"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0.2（江河）</w:t>
            </w:r>
          </w:p>
        </w:tc>
        <w:tc>
          <w:tcPr>
            <w:tcW w:w="1241"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0.1（湖库）</w:t>
            </w:r>
          </w:p>
        </w:tc>
      </w:tr>
      <w:tr>
        <w:trPr>
          <w:trHeight w:val="340" w:hRule="atLeast"/>
        </w:trPr>
        <w:tc>
          <w:tcPr>
            <w:tcW w:w="548" w:type="pct"/>
            <w:noWrap w:val="0"/>
            <w:vAlign w:val="center"/>
          </w:tcPr>
          <w:p>
            <w:pPr>
              <w:pStyle w:val="62"/>
              <w:rPr>
                <w:rFonts w:hint="default" w:ascii="Times New Roman" w:hAnsi="Times New Roman" w:eastAsia="宋体" w:cs="Times New Roman"/>
                <w:color w:val="auto"/>
                <w:kern w:val="2"/>
                <w:sz w:val="21"/>
                <w:szCs w:val="20"/>
                <w:lang w:bidi="ar-SA"/>
              </w:rPr>
            </w:pPr>
            <w:r>
              <w:rPr>
                <w:rFonts w:hint="default" w:ascii="Times New Roman" w:hAnsi="Times New Roman" w:eastAsia="宋体" w:cs="Times New Roman"/>
                <w:color w:val="auto"/>
                <w:szCs w:val="20"/>
              </w:rPr>
              <w:t>8</w:t>
            </w:r>
          </w:p>
        </w:tc>
        <w:tc>
          <w:tcPr>
            <w:tcW w:w="2013"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石油类≤</w:t>
            </w:r>
          </w:p>
        </w:tc>
        <w:tc>
          <w:tcPr>
            <w:tcW w:w="1196"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0.05</w:t>
            </w:r>
          </w:p>
        </w:tc>
        <w:tc>
          <w:tcPr>
            <w:tcW w:w="1241"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0.5</w:t>
            </w:r>
          </w:p>
        </w:tc>
      </w:tr>
      <w:tr>
        <w:trPr>
          <w:trHeight w:val="340" w:hRule="atLeast"/>
        </w:trPr>
        <w:tc>
          <w:tcPr>
            <w:tcW w:w="548" w:type="pct"/>
            <w:noWrap w:val="0"/>
            <w:vAlign w:val="center"/>
          </w:tcPr>
          <w:p>
            <w:pPr>
              <w:pStyle w:val="62"/>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9</w:t>
            </w:r>
          </w:p>
        </w:tc>
        <w:tc>
          <w:tcPr>
            <w:tcW w:w="2013"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挥发酚≤</w:t>
            </w:r>
          </w:p>
        </w:tc>
        <w:tc>
          <w:tcPr>
            <w:tcW w:w="1196"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0.005</w:t>
            </w:r>
          </w:p>
        </w:tc>
        <w:tc>
          <w:tcPr>
            <w:tcW w:w="1241"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0.01</w:t>
            </w:r>
          </w:p>
        </w:tc>
      </w:tr>
      <w:tr>
        <w:trPr>
          <w:trHeight w:val="340" w:hRule="atLeast"/>
        </w:trPr>
        <w:tc>
          <w:tcPr>
            <w:tcW w:w="548"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10</w:t>
            </w:r>
          </w:p>
        </w:tc>
        <w:tc>
          <w:tcPr>
            <w:tcW w:w="2013" w:type="pct"/>
            <w:noWrap w:val="0"/>
            <w:vAlign w:val="center"/>
          </w:tcPr>
          <w:p>
            <w:pPr>
              <w:pStyle w:val="62"/>
              <w:rPr>
                <w:rFonts w:hint="default" w:ascii="Times New Roman" w:hAnsi="Times New Roman" w:eastAsia="宋体" w:cs="Times New Roman"/>
                <w:color w:val="auto"/>
                <w:szCs w:val="20"/>
                <w:lang w:eastAsia="zh-CN"/>
              </w:rPr>
            </w:pPr>
            <w:r>
              <w:rPr>
                <w:rFonts w:hint="default" w:ascii="Times New Roman" w:hAnsi="Times New Roman" w:eastAsia="宋体" w:cs="Times New Roman"/>
                <w:color w:val="auto"/>
                <w:szCs w:val="20"/>
                <w:lang w:eastAsia="zh-CN"/>
              </w:rPr>
              <w:t>阴离子表面活性剂</w:t>
            </w:r>
          </w:p>
        </w:tc>
        <w:tc>
          <w:tcPr>
            <w:tcW w:w="1196" w:type="pct"/>
            <w:noWrap w:val="0"/>
            <w:vAlign w:val="center"/>
          </w:tcPr>
          <w:p>
            <w:pPr>
              <w:pStyle w:val="62"/>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0.2</w:t>
            </w:r>
          </w:p>
        </w:tc>
        <w:tc>
          <w:tcPr>
            <w:tcW w:w="1241" w:type="pct"/>
            <w:noWrap w:val="0"/>
            <w:vAlign w:val="center"/>
          </w:tcPr>
          <w:p>
            <w:pPr>
              <w:pStyle w:val="62"/>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0.3</w:t>
            </w:r>
          </w:p>
        </w:tc>
      </w:tr>
      <w:tr>
        <w:trPr>
          <w:trHeight w:val="340" w:hRule="atLeast"/>
        </w:trPr>
        <w:tc>
          <w:tcPr>
            <w:tcW w:w="548" w:type="pct"/>
            <w:noWrap w:val="0"/>
            <w:vAlign w:val="center"/>
          </w:tcPr>
          <w:p>
            <w:pPr>
              <w:pStyle w:val="62"/>
              <w:rPr>
                <w:rFonts w:hint="default" w:ascii="Times New Roman" w:hAnsi="Times New Roman" w:eastAsia="宋体" w:cs="Times New Roman"/>
                <w:color w:val="auto"/>
                <w:kern w:val="2"/>
                <w:sz w:val="21"/>
                <w:szCs w:val="20"/>
                <w:lang w:bidi="ar-SA"/>
              </w:rPr>
            </w:pPr>
            <w:r>
              <w:rPr>
                <w:rFonts w:hint="default" w:ascii="Times New Roman" w:hAnsi="Times New Roman" w:eastAsia="宋体" w:cs="Times New Roman"/>
                <w:color w:val="auto"/>
                <w:szCs w:val="20"/>
              </w:rPr>
              <w:t>11</w:t>
            </w:r>
          </w:p>
        </w:tc>
        <w:tc>
          <w:tcPr>
            <w:tcW w:w="2013"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硫化物≤</w:t>
            </w:r>
          </w:p>
        </w:tc>
        <w:tc>
          <w:tcPr>
            <w:tcW w:w="1196"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0.2</w:t>
            </w:r>
          </w:p>
        </w:tc>
        <w:tc>
          <w:tcPr>
            <w:tcW w:w="1241" w:type="pct"/>
            <w:noWrap w:val="0"/>
            <w:vAlign w:val="center"/>
          </w:tcPr>
          <w:p>
            <w:pPr>
              <w:pStyle w:val="62"/>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0.5</w:t>
            </w:r>
          </w:p>
        </w:tc>
      </w:tr>
    </w:tbl>
    <w:p>
      <w:pPr>
        <w:keepNext w:val="0"/>
        <w:keepLines w:val="0"/>
        <w:pageBreakBefore w:val="0"/>
        <w:widowControl w:val="0"/>
        <w:kinsoku/>
        <w:wordWrap/>
        <w:overflowPunct/>
        <w:topLinePunct w:val="0"/>
        <w:autoSpaceDE/>
        <w:autoSpaceDN/>
        <w:bidi w:val="0"/>
        <w:adjustRightInd/>
        <w:snapToGrid/>
        <w:spacing w:before="20"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（3）地下水</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本项目所在区域地下水执行《地下水质量标准》（GB/T14848-2017）Ⅲ类标准，各项污染物浓度限值见表2.4-4。</w:t>
      </w:r>
    </w:p>
    <w:p>
      <w:pPr>
        <w:widowControl w:val="0"/>
        <w:bidi w:val="0"/>
        <w:spacing w:line="360" w:lineRule="auto"/>
        <w:jc w:val="center"/>
        <w:rPr>
          <w:rFonts w:hint="eastAsia" w:ascii="Times New Roman" w:hAnsi="Times New Roman" w:eastAsia="宋体" w:cs="Times New Roman"/>
          <w:b/>
          <w:color w:val="auto"/>
          <w:kern w:val="2"/>
          <w:sz w:val="24"/>
          <w:szCs w:val="22"/>
          <w:lang w:val="en-US" w:eastAsia="zh-CN" w:bidi="ar-SA"/>
        </w:rPr>
      </w:pPr>
      <w:r>
        <w:rPr>
          <w:rFonts w:ascii="Times New Roman" w:hAnsi="Times New Roman" w:eastAsia="宋体" w:cs="Times New Roman"/>
          <w:b/>
          <w:color w:val="auto"/>
          <w:kern w:val="2"/>
          <w:sz w:val="24"/>
          <w:szCs w:val="22"/>
          <w:lang w:val="en-US" w:eastAsia="zh-CN" w:bidi="ar-SA"/>
        </w:rPr>
        <w:t>表</w:t>
      </w:r>
      <w:r>
        <w:rPr>
          <w:rFonts w:hint="eastAsia" w:ascii="Times New Roman" w:hAnsi="Times New Roman" w:eastAsia="宋体" w:cs="Times New Roman"/>
          <w:b/>
          <w:color w:val="auto"/>
          <w:kern w:val="2"/>
          <w:sz w:val="24"/>
          <w:szCs w:val="22"/>
          <w:lang w:val="en-US" w:eastAsia="zh-CN" w:bidi="ar-SA"/>
        </w:rPr>
        <w:t>2</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4</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4</w:t>
      </w:r>
      <w:r>
        <w:rPr>
          <w:rFonts w:ascii="Times New Roman" w:hAnsi="Times New Roman" w:eastAsia="宋体" w:cs="Times New Roman"/>
          <w:b/>
          <w:color w:val="auto"/>
          <w:kern w:val="2"/>
          <w:sz w:val="24"/>
          <w:szCs w:val="22"/>
          <w:lang w:val="en-US" w:eastAsia="zh-CN" w:bidi="ar-SA"/>
        </w:rPr>
        <w:t xml:space="preserve">  </w:t>
      </w:r>
      <w:r>
        <w:rPr>
          <w:rFonts w:hint="eastAsia" w:ascii="Times New Roman" w:hAnsi="Times New Roman" w:eastAsia="宋体" w:cs="Times New Roman"/>
          <w:b/>
          <w:color w:val="auto"/>
          <w:kern w:val="2"/>
          <w:sz w:val="24"/>
          <w:szCs w:val="22"/>
          <w:lang w:val="en-US" w:eastAsia="zh-CN" w:bidi="ar-SA"/>
        </w:rPr>
        <w:t>地下水</w:t>
      </w:r>
      <w:r>
        <w:rPr>
          <w:rFonts w:ascii="Times New Roman" w:hAnsi="Times New Roman" w:eastAsia="宋体" w:cs="Times New Roman"/>
          <w:b/>
          <w:color w:val="auto"/>
          <w:kern w:val="2"/>
          <w:sz w:val="24"/>
          <w:szCs w:val="22"/>
          <w:lang w:val="en-US" w:eastAsia="zh-CN" w:bidi="ar-SA"/>
        </w:rPr>
        <w:t>质量标准   单位：mg/</w:t>
      </w:r>
      <w:r>
        <w:rPr>
          <w:rFonts w:hint="eastAsia" w:ascii="Times New Roman" w:hAnsi="Times New Roman" w:eastAsia="宋体" w:cs="Times New Roman"/>
          <w:b/>
          <w:color w:val="auto"/>
          <w:kern w:val="2"/>
          <w:sz w:val="24"/>
          <w:szCs w:val="22"/>
          <w:lang w:val="en-US" w:eastAsia="zh-CN" w:bidi="ar-SA"/>
        </w:rPr>
        <w:t>L，</w:t>
      </w:r>
      <w:r>
        <w:rPr>
          <w:rFonts w:ascii="Times New Roman" w:hAnsi="Times New Roman" w:eastAsia="宋体" w:cs="Times New Roman"/>
          <w:b/>
          <w:color w:val="auto"/>
          <w:kern w:val="2"/>
          <w:sz w:val="24"/>
          <w:szCs w:val="22"/>
          <w:lang w:val="en-US" w:eastAsia="zh-CN" w:bidi="ar-SA"/>
        </w:rPr>
        <w:t>pH</w:t>
      </w:r>
      <w:r>
        <w:rPr>
          <w:rFonts w:hint="eastAsia" w:ascii="Times New Roman" w:hAnsi="Times New Roman" w:eastAsia="宋体" w:cs="Times New Roman"/>
          <w:b/>
          <w:color w:val="auto"/>
          <w:kern w:val="2"/>
          <w:sz w:val="24"/>
          <w:szCs w:val="22"/>
          <w:lang w:val="en-US" w:eastAsia="zh-CN" w:bidi="ar-SA"/>
        </w:rPr>
        <w:t>无量纲</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897"/>
        <w:gridCol w:w="1581"/>
        <w:gridCol w:w="609"/>
        <w:gridCol w:w="1547"/>
        <w:gridCol w:w="2152"/>
      </w:tblGrid>
      <w:tr>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序号</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指标</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Ⅲ类</w:t>
            </w:r>
            <w:r>
              <w:rPr>
                <w:rFonts w:ascii="Times New Roman" w:hAnsi="Times New Roman" w:eastAsia="宋体" w:cs="Times New Roman"/>
                <w:bCs/>
                <w:color w:val="auto"/>
                <w:szCs w:val="21"/>
                <w:lang w:val="zh-CN"/>
              </w:rPr>
              <w:t>标准</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序号</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指标</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Ⅲ类</w:t>
            </w:r>
            <w:r>
              <w:rPr>
                <w:rFonts w:ascii="Times New Roman" w:hAnsi="Times New Roman" w:eastAsia="宋体" w:cs="Times New Roman"/>
                <w:bCs/>
                <w:color w:val="auto"/>
                <w:szCs w:val="21"/>
                <w:lang w:val="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pH</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6.5≤pH≤8.5</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17</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Cr</w:t>
            </w:r>
            <w:r>
              <w:rPr>
                <w:rFonts w:ascii="Times New Roman" w:hAnsi="Times New Roman" w:eastAsia="宋体" w:cs="Times New Roman"/>
                <w:bCs/>
                <w:color w:val="auto"/>
                <w:szCs w:val="21"/>
                <w:vertAlign w:val="superscript"/>
                <w:lang w:val="zh-CN"/>
              </w:rPr>
              <w:t>6+</w:t>
            </w:r>
            <w:r>
              <w:rPr>
                <w:rFonts w:ascii="Times New Roman" w:hAnsi="Times New Roman" w:eastAsia="宋体" w:cs="Times New Roman"/>
                <w:bCs/>
                <w:color w:val="auto"/>
                <w:szCs w:val="21"/>
                <w:lang w:val="zh-CN"/>
              </w:rPr>
              <w:t>(六价铬)</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K(钾)</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rPr>
              <w:t>/</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18</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总硬度</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3</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Na(钠)</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≤200</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19</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Pb（铅）</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4</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Ca(钙)</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rPr>
              <w:t>/</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20</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F-(氟化物)</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5</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Mg(镁)</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rPr>
              <w:t>/</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21</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镉</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6</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CO</w:t>
            </w:r>
            <w:r>
              <w:rPr>
                <w:rFonts w:ascii="Times New Roman" w:hAnsi="Times New Roman" w:eastAsia="宋体" w:cs="Times New Roman"/>
                <w:bCs/>
                <w:color w:val="auto"/>
                <w:szCs w:val="21"/>
                <w:vertAlign w:val="subscript"/>
                <w:lang w:val="zh-CN"/>
              </w:rPr>
              <w:t>3</w:t>
            </w:r>
            <w:r>
              <w:rPr>
                <w:rFonts w:ascii="Times New Roman" w:hAnsi="Times New Roman" w:eastAsia="宋体" w:cs="Times New Roman"/>
                <w:bCs/>
                <w:color w:val="auto"/>
                <w:szCs w:val="21"/>
                <w:vertAlign w:val="superscript"/>
                <w:lang w:val="zh-CN"/>
              </w:rPr>
              <w:t>2-</w:t>
            </w:r>
            <w:r>
              <w:rPr>
                <w:rFonts w:ascii="Times New Roman" w:hAnsi="Times New Roman" w:eastAsia="宋体" w:cs="Times New Roman"/>
                <w:bCs/>
                <w:color w:val="auto"/>
                <w:szCs w:val="21"/>
                <w:lang w:val="zh-CN"/>
              </w:rPr>
              <w:t>(碳酸根)</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rPr>
              <w:t>/</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22</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Fe(铁)</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7</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HCO</w:t>
            </w:r>
            <w:r>
              <w:rPr>
                <w:rFonts w:ascii="Times New Roman" w:hAnsi="Times New Roman" w:eastAsia="宋体" w:cs="Times New Roman"/>
                <w:bCs/>
                <w:color w:val="auto"/>
                <w:szCs w:val="21"/>
                <w:vertAlign w:val="superscript"/>
                <w:lang w:val="zh-CN"/>
              </w:rPr>
              <w:t>3-</w:t>
            </w:r>
            <w:r>
              <w:rPr>
                <w:rFonts w:ascii="Times New Roman" w:hAnsi="Times New Roman" w:eastAsia="宋体" w:cs="Times New Roman"/>
                <w:bCs/>
                <w:color w:val="auto"/>
                <w:szCs w:val="21"/>
                <w:lang w:val="zh-CN"/>
              </w:rPr>
              <w:t>（重碳酸根）</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rPr>
              <w:t>/</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23</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Mn(锰)</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8</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Cl</w:t>
            </w:r>
            <w:r>
              <w:rPr>
                <w:rFonts w:ascii="Times New Roman" w:hAnsi="Times New Roman" w:eastAsia="宋体" w:cs="Times New Roman"/>
                <w:bCs/>
                <w:color w:val="auto"/>
                <w:szCs w:val="21"/>
                <w:vertAlign w:val="superscript"/>
                <w:lang w:val="zh-CN"/>
              </w:rPr>
              <w:t>-</w:t>
            </w:r>
            <w:r>
              <w:rPr>
                <w:rFonts w:ascii="Times New Roman" w:hAnsi="Times New Roman" w:eastAsia="宋体" w:cs="Times New Roman"/>
                <w:bCs/>
                <w:color w:val="auto"/>
                <w:szCs w:val="21"/>
                <w:lang w:val="zh-CN"/>
              </w:rPr>
              <w:t>(氯化物)</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≤250</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24</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溶解性总固体</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9</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SO4</w:t>
            </w:r>
            <w:r>
              <w:rPr>
                <w:rFonts w:ascii="Times New Roman" w:hAnsi="Times New Roman" w:eastAsia="宋体" w:cs="Times New Roman"/>
                <w:bCs/>
                <w:color w:val="auto"/>
                <w:szCs w:val="21"/>
                <w:vertAlign w:val="superscript"/>
                <w:lang w:val="zh-CN"/>
              </w:rPr>
              <w:t>2-</w:t>
            </w:r>
            <w:r>
              <w:rPr>
                <w:rFonts w:ascii="Times New Roman" w:hAnsi="Times New Roman" w:eastAsia="宋体" w:cs="Times New Roman"/>
                <w:bCs/>
                <w:color w:val="auto"/>
                <w:szCs w:val="21"/>
                <w:lang w:val="zh-CN"/>
              </w:rPr>
              <w:t>(硫酸盐)</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≤250</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25</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高锰酸盐指数（含氧量）</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10</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氨氮</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≤0.5</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26</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总大肠菌群</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≤3.0MPN</w:t>
            </w:r>
            <w:r>
              <w:rPr>
                <w:rFonts w:ascii="Times New Roman" w:hAnsi="Times New Roman" w:eastAsia="宋体" w:cs="Times New Roman"/>
                <w:bCs/>
                <w:color w:val="auto"/>
                <w:szCs w:val="21"/>
                <w:vertAlign w:val="superscript"/>
              </w:rPr>
              <w:t>b</w:t>
            </w:r>
            <w:r>
              <w:rPr>
                <w:rFonts w:ascii="Times New Roman" w:hAnsi="Times New Roman" w:eastAsia="宋体" w:cs="Times New Roman"/>
                <w:bCs/>
                <w:color w:val="auto"/>
                <w:szCs w:val="21"/>
              </w:rPr>
              <w:t>/100mL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11</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NO</w:t>
            </w:r>
            <w:r>
              <w:rPr>
                <w:rFonts w:ascii="Times New Roman" w:hAnsi="Times New Roman" w:eastAsia="宋体" w:cs="Times New Roman"/>
                <w:bCs/>
                <w:color w:val="auto"/>
                <w:szCs w:val="21"/>
                <w:vertAlign w:val="superscript"/>
                <w:lang w:val="zh-CN"/>
              </w:rPr>
              <w:t>3-</w:t>
            </w:r>
            <w:r>
              <w:rPr>
                <w:rFonts w:ascii="Times New Roman" w:hAnsi="Times New Roman" w:eastAsia="宋体" w:cs="Times New Roman"/>
                <w:bCs/>
                <w:color w:val="auto"/>
                <w:szCs w:val="21"/>
                <w:lang w:val="zh-CN"/>
              </w:rPr>
              <w:t>(硝酸盐)</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≤20.0</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27</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细菌总数</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≤100CFU/mL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12</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NO</w:t>
            </w:r>
            <w:r>
              <w:rPr>
                <w:rFonts w:ascii="Times New Roman" w:hAnsi="Times New Roman" w:eastAsia="宋体" w:cs="Times New Roman"/>
                <w:bCs/>
                <w:color w:val="auto"/>
                <w:szCs w:val="21"/>
                <w:vertAlign w:val="superscript"/>
                <w:lang w:val="zh-CN"/>
              </w:rPr>
              <w:t>2-</w:t>
            </w:r>
            <w:r>
              <w:rPr>
                <w:rFonts w:ascii="Times New Roman" w:hAnsi="Times New Roman" w:eastAsia="宋体" w:cs="Times New Roman"/>
                <w:bCs/>
                <w:color w:val="auto"/>
                <w:szCs w:val="21"/>
                <w:lang w:val="zh-CN"/>
              </w:rPr>
              <w:t>(亚硝酸盐)</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≤1.00</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28</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石油类</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13</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挥发性酚类</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≤0.002</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29</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甲苯</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14</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氰化物</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≤0.05</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30</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苯</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15</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As(砷)</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≤0.01</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31</w:t>
            </w: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lang w:val="zh-CN"/>
              </w:rPr>
            </w:pPr>
            <w:r>
              <w:rPr>
                <w:rFonts w:ascii="Times New Roman" w:hAnsi="Times New Roman" w:eastAsia="宋体" w:cs="Times New Roman"/>
                <w:bCs/>
                <w:color w:val="auto"/>
                <w:szCs w:val="21"/>
                <w:lang w:val="zh-CN"/>
              </w:rPr>
              <w:t>二氯丙烷</w:t>
            </w: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433"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16</w:t>
            </w:r>
          </w:p>
        </w:tc>
        <w:tc>
          <w:tcPr>
            <w:tcW w:w="1112"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lang w:val="zh-CN"/>
              </w:rPr>
              <w:t>Hg(汞)</w:t>
            </w:r>
          </w:p>
        </w:tc>
        <w:tc>
          <w:tcPr>
            <w:tcW w:w="92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≤0.001</w:t>
            </w:r>
          </w:p>
        </w:tc>
        <w:tc>
          <w:tcPr>
            <w:tcW w:w="35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p>
        </w:tc>
        <w:tc>
          <w:tcPr>
            <w:tcW w:w="907"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p>
        </w:tc>
        <w:tc>
          <w:tcPr>
            <w:tcW w:w="1261" w:type="pct"/>
            <w:noWrap w:val="0"/>
            <w:vAlign w:val="center"/>
          </w:tcPr>
          <w:p>
            <w:pPr>
              <w:pStyle w:val="12"/>
              <w:adjustRightInd w:val="0"/>
              <w:snapToGrid w:val="0"/>
              <w:spacing w:after="0"/>
              <w:ind w:left="0" w:leftChars="0" w:firstLine="0" w:firstLineChars="0"/>
              <w:jc w:val="center"/>
              <w:rPr>
                <w:rFonts w:ascii="Times New Roman" w:hAnsi="Times New Roman" w:eastAsia="宋体" w:cs="Times New Roman"/>
                <w:bCs/>
                <w:color w:val="auto"/>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（4）声环境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本项目所在区域声环境质量执行《声环境质量标准》（GB3096-2008）中的3类标准。</w:t>
      </w:r>
    </w:p>
    <w:p>
      <w:pPr>
        <w:widowControl w:val="0"/>
        <w:bidi w:val="0"/>
        <w:spacing w:line="360" w:lineRule="auto"/>
        <w:jc w:val="center"/>
        <w:rPr>
          <w:rFonts w:hint="eastAsia" w:ascii="Times New Roman" w:hAnsi="Times New Roman" w:eastAsia="宋体" w:cs="Times New Roman"/>
          <w:b/>
          <w:color w:val="auto"/>
          <w:kern w:val="2"/>
          <w:sz w:val="24"/>
          <w:szCs w:val="22"/>
          <w:lang w:val="en-US" w:eastAsia="zh-CN" w:bidi="ar-SA"/>
        </w:rPr>
      </w:pPr>
      <w:r>
        <w:rPr>
          <w:rFonts w:ascii="Times New Roman" w:hAnsi="Times New Roman" w:eastAsia="宋体" w:cs="Times New Roman"/>
          <w:b/>
          <w:color w:val="auto"/>
          <w:kern w:val="2"/>
          <w:sz w:val="24"/>
          <w:szCs w:val="22"/>
          <w:lang w:val="en-US" w:eastAsia="zh-CN" w:bidi="ar-SA"/>
        </w:rPr>
        <w:t>表</w:t>
      </w:r>
      <w:r>
        <w:rPr>
          <w:rFonts w:hint="eastAsia" w:ascii="Times New Roman" w:hAnsi="Times New Roman" w:eastAsia="宋体" w:cs="Times New Roman"/>
          <w:b/>
          <w:color w:val="auto"/>
          <w:kern w:val="2"/>
          <w:sz w:val="24"/>
          <w:szCs w:val="22"/>
          <w:lang w:val="en-US" w:eastAsia="zh-CN" w:bidi="ar-SA"/>
        </w:rPr>
        <w:t>2</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4</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5</w:t>
      </w:r>
      <w:r>
        <w:rPr>
          <w:rFonts w:ascii="Times New Roman" w:hAnsi="Times New Roman" w:eastAsia="宋体" w:cs="Times New Roman"/>
          <w:b/>
          <w:color w:val="auto"/>
          <w:kern w:val="2"/>
          <w:sz w:val="24"/>
          <w:szCs w:val="22"/>
          <w:lang w:val="en-US" w:eastAsia="zh-CN" w:bidi="ar-SA"/>
        </w:rPr>
        <w:t xml:space="preserve">  </w:t>
      </w:r>
      <w:r>
        <w:rPr>
          <w:rFonts w:hint="eastAsia" w:ascii="Times New Roman" w:hAnsi="Times New Roman" w:eastAsia="宋体" w:cs="Times New Roman"/>
          <w:b/>
          <w:color w:val="auto"/>
          <w:kern w:val="2"/>
          <w:sz w:val="24"/>
          <w:szCs w:val="22"/>
          <w:lang w:val="en-US" w:eastAsia="zh-CN" w:bidi="ar-SA"/>
        </w:rPr>
        <w:t>声</w:t>
      </w:r>
      <w:r>
        <w:rPr>
          <w:rFonts w:ascii="Times New Roman" w:hAnsi="Times New Roman" w:eastAsia="宋体" w:cs="Times New Roman"/>
          <w:b/>
          <w:color w:val="auto"/>
          <w:kern w:val="2"/>
          <w:sz w:val="24"/>
          <w:szCs w:val="22"/>
          <w:lang w:val="en-US" w:eastAsia="zh-CN" w:bidi="ar-SA"/>
        </w:rPr>
        <w:t>环境</w:t>
      </w:r>
      <w:r>
        <w:rPr>
          <w:rFonts w:hint="eastAsia" w:ascii="Times New Roman" w:hAnsi="Times New Roman" w:eastAsia="宋体" w:cs="Times New Roman"/>
          <w:b/>
          <w:color w:val="auto"/>
          <w:kern w:val="2"/>
          <w:sz w:val="24"/>
          <w:szCs w:val="22"/>
          <w:lang w:val="en-US" w:eastAsia="zh-CN" w:bidi="ar-SA"/>
        </w:rPr>
        <w:t>质量</w:t>
      </w:r>
      <w:r>
        <w:rPr>
          <w:rFonts w:ascii="Times New Roman" w:hAnsi="Times New Roman" w:eastAsia="宋体" w:cs="Times New Roman"/>
          <w:b/>
          <w:color w:val="auto"/>
          <w:kern w:val="2"/>
          <w:sz w:val="24"/>
          <w:szCs w:val="22"/>
          <w:lang w:val="en-US" w:eastAsia="zh-CN" w:bidi="ar-SA"/>
        </w:rPr>
        <w:t xml:space="preserve">标准       </w:t>
      </w:r>
      <w:r>
        <w:rPr>
          <w:rFonts w:hint="eastAsia" w:ascii="Times New Roman" w:hAnsi="Times New Roman" w:eastAsia="宋体" w:cs="Times New Roman"/>
          <w:b/>
          <w:color w:val="auto"/>
          <w:kern w:val="2"/>
          <w:sz w:val="24"/>
          <w:szCs w:val="22"/>
          <w:lang w:val="en-US" w:eastAsia="zh-CN" w:bidi="ar-SA"/>
        </w:rPr>
        <w:t>单位：dB(A)</w:t>
      </w:r>
    </w:p>
    <w:tbl>
      <w:tblPr>
        <w:tblStyle w:val="2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29"/>
        <w:gridCol w:w="2877"/>
        <w:gridCol w:w="3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307" w:type="pct"/>
            <w:tcBorders>
              <w:tl2br w:val="nil"/>
              <w:tr2bl w:val="nil"/>
            </w:tcBorders>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类别</w:t>
            </w:r>
          </w:p>
        </w:tc>
        <w:tc>
          <w:tcPr>
            <w:tcW w:w="1687" w:type="pct"/>
            <w:tcBorders>
              <w:tl2br w:val="nil"/>
              <w:tr2bl w:val="nil"/>
            </w:tcBorders>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昼间dB（A）</w:t>
            </w:r>
          </w:p>
        </w:tc>
        <w:tc>
          <w:tcPr>
            <w:tcW w:w="2005" w:type="pct"/>
            <w:tcBorders>
              <w:tl2br w:val="nil"/>
              <w:tr2bl w:val="nil"/>
            </w:tcBorders>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夜间dB（A）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307"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3类标准限值</w:t>
            </w:r>
          </w:p>
        </w:tc>
        <w:tc>
          <w:tcPr>
            <w:tcW w:w="1687"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2005"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55</w:t>
            </w:r>
          </w:p>
        </w:tc>
      </w:tr>
    </w:tbl>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（5）土壤环境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本项目所在区域土壤环境质量执行《土壤环境质量标准建设用地土壤污染风险管控标准》（GB36600-2018）第二类用地限值要求，见表2.4-6。</w:t>
      </w:r>
    </w:p>
    <w:p>
      <w:pPr>
        <w:widowControl w:val="0"/>
        <w:bidi w:val="0"/>
        <w:spacing w:line="360" w:lineRule="auto"/>
        <w:jc w:val="center"/>
        <w:rPr>
          <w:rFonts w:hint="eastAsia" w:ascii="Times New Roman" w:hAnsi="Times New Roman" w:eastAsia="宋体" w:cs="Times New Roman"/>
          <w:b/>
          <w:color w:val="auto"/>
          <w:kern w:val="2"/>
          <w:sz w:val="24"/>
          <w:szCs w:val="22"/>
          <w:lang w:val="en-US" w:eastAsia="zh-CN" w:bidi="ar-SA"/>
        </w:rPr>
      </w:pPr>
      <w:r>
        <w:rPr>
          <w:rFonts w:hint="eastAsia" w:ascii="Times New Roman" w:hAnsi="Times New Roman" w:eastAsia="宋体" w:cs="Times New Roman"/>
          <w:b/>
          <w:color w:val="auto"/>
          <w:kern w:val="2"/>
          <w:sz w:val="24"/>
          <w:szCs w:val="22"/>
          <w:lang w:val="en-US" w:eastAsia="zh-CN" w:bidi="ar-SA"/>
        </w:rPr>
        <w:t>表2.4-6  建设用地土壤污染风险筛选值  单位：mg/kg</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60" w:type="dxa"/>
          <w:bottom w:w="0" w:type="dxa"/>
          <w:right w:w="60" w:type="dxa"/>
        </w:tblCellMar>
      </w:tblPr>
      <w:tblGrid>
        <w:gridCol w:w="627"/>
        <w:gridCol w:w="1370"/>
        <w:gridCol w:w="2071"/>
        <w:gridCol w:w="652"/>
        <w:gridCol w:w="1633"/>
        <w:gridCol w:w="2074"/>
      </w:tblGrid>
      <w:tr>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序号</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污染物项目</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筛选值（第二类用地）</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序号</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污染物项目</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筛选值（第二类用地）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5000" w:type="pct"/>
            <w:gridSpan w:val="6"/>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重金属和无机物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砷</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60</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5</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铅</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镉</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65</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6</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汞</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铬（六价）</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5.7</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7</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镍</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4</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铜</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18000</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5000" w:type="pct"/>
            <w:gridSpan w:val="6"/>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8</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四氯化碳</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2.8</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22</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1,1,2-三氯乙烷</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9</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氯仿</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0.9</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23</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三氯乙烯</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10</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氯甲烷</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37</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24</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1,2,2-三氯丙烷</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1,1-二氯乙烷</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9</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25</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氯乙烯</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1,2-二氯乙烷</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5</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26</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13</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1,1-二氯乙烯</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66</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27</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氯苯</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14</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顺-1,2-二氯乙烯</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596</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28</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1,2-二氯苯</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15</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反-1,2-二氯乙烯</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54</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29</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1,4-二氯苯</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16</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二氯甲烷</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616</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30</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乙苯</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17</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1,2-二氯丙烷</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5</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31</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苯乙烯</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18</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1,1,1,2-四氯乙烷</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10</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32</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甲苯</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19</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1,1,2,2-四氯乙烷</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6.8</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33</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间二甲苯+对二甲苯</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20</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四氯乙烯</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53</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34</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邻二甲苯</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21</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1,1,1-三氯乙烷</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840</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5000" w:type="pct"/>
            <w:gridSpan w:val="6"/>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半挥发性有机物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35</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硝基苯</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76</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41</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苯并[k]荧蒽</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36</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苯胺</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260</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42</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䓛</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37</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2-氯酚</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2256</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43</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二苯并[a,h]蒽</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38</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苯并[a]蒽</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15</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44</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茚并[1,2,3-cd]芘</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39</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苯并[a]芘</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1.5</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45</w:t>
            </w: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萘</w:t>
            </w: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7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40</w:t>
            </w:r>
          </w:p>
        </w:tc>
        <w:tc>
          <w:tcPr>
            <w:tcW w:w="81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苯并[b]荧蒽</w:t>
            </w:r>
          </w:p>
        </w:tc>
        <w:tc>
          <w:tcPr>
            <w:tcW w:w="1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15</w:t>
            </w:r>
          </w:p>
        </w:tc>
        <w:tc>
          <w:tcPr>
            <w:tcW w:w="38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9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22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r>
    </w:tbl>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2.4.2污染物排放标准</w:t>
      </w:r>
    </w:p>
    <w:p>
      <w:pPr>
        <w:widowControl w:val="0"/>
        <w:bidi w:val="0"/>
        <w:spacing w:before="20" w:line="360" w:lineRule="auto"/>
        <w:ind w:firstLine="480" w:firstLineChars="200"/>
        <w:jc w:val="both"/>
        <w:rPr>
          <w:rFonts w:hint="eastAsia" w:ascii="Times New Roman" w:hAnsi="Times New Roman"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（1）废气：本项目产品为10000t/a醋酸甲酯、15000t/a碳酸二甲酯。碳酸二甲酯和醋酸甲脂均使用于石油化工行业，本项目属于</w:t>
      </w:r>
      <w:r>
        <w:rPr>
          <w:rFonts w:hint="eastAsia" w:ascii="Times New Roman" w:hAnsi="Times New Roman" w:cs="Times New Roman"/>
          <w:color w:val="auto"/>
          <w:kern w:val="2"/>
          <w:sz w:val="24"/>
          <w:szCs w:val="20"/>
          <w:lang w:val="en-US" w:eastAsia="zh-CN" w:bidi="ar-SA"/>
        </w:rPr>
        <w:t>石油化工化学品</w:t>
      </w:r>
      <w:r>
        <w:rPr>
          <w:rFonts w:hint="eastAsia" w:ascii="Times New Roman" w:hAnsi="Times New Roman" w:eastAsia="宋体" w:cs="Times New Roman"/>
          <w:color w:val="auto"/>
          <w:kern w:val="2"/>
          <w:sz w:val="24"/>
          <w:szCs w:val="20"/>
          <w:lang w:val="en-US" w:eastAsia="zh-CN" w:bidi="ar-SA"/>
        </w:rPr>
        <w:t>制造。所以生产线排放的废气执行《石油化学工业污染物排放标准》（GB31571-2015）标准。</w:t>
      </w:r>
      <w:r>
        <w:rPr>
          <w:rFonts w:hint="eastAsia" w:ascii="Times New Roman" w:hAnsi="Times New Roman" w:cs="Times New Roman"/>
          <w:color w:val="auto"/>
          <w:kern w:val="2"/>
          <w:sz w:val="24"/>
          <w:szCs w:val="20"/>
          <w:lang w:val="en-US" w:eastAsia="zh-CN" w:bidi="ar-SA"/>
        </w:rPr>
        <w:t>厂区内无组织废气中挥发性有机物执行《挥发性有机物无组织排放标准》（GB27822-2019）附录A标准</w:t>
      </w:r>
    </w:p>
    <w:p>
      <w:pPr>
        <w:widowControl w:val="0"/>
        <w:bidi w:val="0"/>
        <w:spacing w:line="360" w:lineRule="auto"/>
        <w:jc w:val="center"/>
        <w:rPr>
          <w:rFonts w:ascii="Times New Roman" w:hAnsi="Times New Roman" w:eastAsia="宋体" w:cs="Times New Roman"/>
          <w:b/>
          <w:color w:val="auto"/>
          <w:kern w:val="2"/>
          <w:sz w:val="24"/>
          <w:szCs w:val="22"/>
          <w:vertAlign w:val="superscript"/>
          <w:lang w:val="en-US" w:eastAsia="zh-CN" w:bidi="ar-SA"/>
        </w:rPr>
      </w:pPr>
      <w:r>
        <w:rPr>
          <w:rFonts w:ascii="Times New Roman" w:hAnsi="Times New Roman" w:eastAsia="宋体" w:cs="Times New Roman"/>
          <w:b/>
          <w:bCs/>
          <w:color w:val="auto"/>
          <w:kern w:val="2"/>
          <w:sz w:val="24"/>
          <w:szCs w:val="22"/>
          <w:lang w:val="en-US" w:eastAsia="zh-CN" w:bidi="ar-SA"/>
        </w:rPr>
        <w:t>表</w:t>
      </w:r>
      <w:r>
        <w:rPr>
          <w:rFonts w:hint="eastAsia" w:ascii="Times New Roman" w:hAnsi="Times New Roman" w:eastAsia="宋体" w:cs="Times New Roman"/>
          <w:b/>
          <w:bCs/>
          <w:color w:val="auto"/>
          <w:kern w:val="2"/>
          <w:sz w:val="24"/>
          <w:szCs w:val="22"/>
          <w:lang w:val="en-US" w:eastAsia="zh-CN" w:bidi="ar-SA"/>
        </w:rPr>
        <w:t>2</w:t>
      </w:r>
      <w:r>
        <w:rPr>
          <w:rFonts w:ascii="Times New Roman" w:hAnsi="Times New Roman" w:eastAsia="宋体" w:cs="Times New Roman"/>
          <w:b/>
          <w:bCs/>
          <w:color w:val="auto"/>
          <w:kern w:val="2"/>
          <w:sz w:val="24"/>
          <w:szCs w:val="22"/>
          <w:lang w:val="en-US" w:eastAsia="zh-CN" w:bidi="ar-SA"/>
        </w:rPr>
        <w:t>.</w:t>
      </w:r>
      <w:r>
        <w:rPr>
          <w:rFonts w:hint="eastAsia" w:ascii="Times New Roman" w:hAnsi="Times New Roman" w:eastAsia="宋体" w:cs="Times New Roman"/>
          <w:b/>
          <w:bCs/>
          <w:color w:val="auto"/>
          <w:kern w:val="2"/>
          <w:sz w:val="24"/>
          <w:szCs w:val="22"/>
          <w:lang w:val="en-US" w:eastAsia="zh-CN" w:bidi="ar-SA"/>
        </w:rPr>
        <w:t>4</w:t>
      </w:r>
      <w:r>
        <w:rPr>
          <w:rFonts w:ascii="Times New Roman" w:hAnsi="Times New Roman" w:eastAsia="宋体" w:cs="Times New Roman"/>
          <w:b/>
          <w:bCs/>
          <w:color w:val="auto"/>
          <w:kern w:val="2"/>
          <w:sz w:val="24"/>
          <w:szCs w:val="22"/>
          <w:lang w:val="en-US" w:eastAsia="zh-CN" w:bidi="ar-SA"/>
        </w:rPr>
        <w:t>-</w:t>
      </w:r>
      <w:r>
        <w:rPr>
          <w:rFonts w:hint="eastAsia" w:ascii="Times New Roman" w:hAnsi="Times New Roman" w:eastAsia="宋体" w:cs="Times New Roman"/>
          <w:b/>
          <w:bCs/>
          <w:color w:val="auto"/>
          <w:kern w:val="2"/>
          <w:sz w:val="24"/>
          <w:szCs w:val="22"/>
          <w:lang w:val="en-US" w:eastAsia="zh-CN" w:bidi="ar-SA"/>
        </w:rPr>
        <w:t>7</w:t>
      </w:r>
      <w:r>
        <w:rPr>
          <w:rFonts w:ascii="Times New Roman" w:hAnsi="Times New Roman" w:eastAsia="宋体" w:cs="Times New Roman"/>
          <w:b/>
          <w:bCs/>
          <w:color w:val="auto"/>
          <w:kern w:val="2"/>
          <w:sz w:val="24"/>
          <w:szCs w:val="22"/>
          <w:lang w:val="en-US" w:eastAsia="zh-CN" w:bidi="ar-SA"/>
        </w:rPr>
        <w:t xml:space="preserve">  </w:t>
      </w:r>
      <w:r>
        <w:rPr>
          <w:rFonts w:hint="eastAsia" w:ascii="Times New Roman" w:hAnsi="Times New Roman" w:eastAsia="宋体" w:cs="Times New Roman"/>
          <w:b/>
          <w:bCs/>
          <w:color w:val="auto"/>
          <w:kern w:val="2"/>
          <w:sz w:val="24"/>
          <w:szCs w:val="22"/>
          <w:lang w:val="en-US" w:eastAsia="zh-CN" w:bidi="ar-SA"/>
        </w:rPr>
        <w:t>废气污染物排放标准</w:t>
      </w:r>
      <w:r>
        <w:rPr>
          <w:rFonts w:hint="eastAsia" w:ascii="Times New Roman" w:hAnsi="Times New Roman" w:cs="Times New Roman"/>
          <w:b/>
          <w:bCs/>
          <w:color w:val="auto"/>
          <w:kern w:val="2"/>
          <w:sz w:val="24"/>
          <w:szCs w:val="22"/>
          <w:lang w:val="en-US" w:eastAsia="zh-CN" w:bidi="ar-SA"/>
        </w:rPr>
        <w:t xml:space="preserve"> </w:t>
      </w:r>
      <w:r>
        <w:rPr>
          <w:rFonts w:ascii="Times New Roman" w:hAnsi="Times New Roman" w:eastAsia="宋体" w:cs="Times New Roman"/>
          <w:b/>
          <w:color w:val="auto"/>
          <w:kern w:val="2"/>
          <w:sz w:val="24"/>
          <w:szCs w:val="22"/>
          <w:lang w:val="en-US" w:eastAsia="zh-CN" w:bidi="ar-SA"/>
        </w:rPr>
        <w:t>单位：mg/m</w:t>
      </w:r>
      <w:r>
        <w:rPr>
          <w:rFonts w:ascii="Times New Roman" w:hAnsi="Times New Roman" w:eastAsia="宋体" w:cs="Times New Roman"/>
          <w:b/>
          <w:color w:val="auto"/>
          <w:kern w:val="2"/>
          <w:sz w:val="24"/>
          <w:szCs w:val="22"/>
          <w:vertAlign w:val="superscript"/>
          <w:lang w:val="en-US" w:eastAsia="zh-CN" w:bidi="ar-SA"/>
        </w:rPr>
        <w:t>3</w:t>
      </w:r>
    </w:p>
    <w:tbl>
      <w:tblPr>
        <w:tblStyle w:val="2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261"/>
        <w:gridCol w:w="1286"/>
        <w:gridCol w:w="1288"/>
        <w:gridCol w:w="1501"/>
        <w:gridCol w:w="1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车间</w:t>
            </w:r>
          </w:p>
        </w:tc>
        <w:tc>
          <w:tcPr>
            <w:tcW w:w="73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污染物</w:t>
            </w:r>
          </w:p>
        </w:tc>
        <w:tc>
          <w:tcPr>
            <w:tcW w:w="75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最高允许排放浓度（mg/m</w:t>
            </w:r>
            <w:r>
              <w:rPr>
                <w:rFonts w:hint="eastAsia" w:ascii="Times New Roman" w:hAnsi="Times New Roman" w:eastAsia="宋体" w:cs="Times New Roman"/>
                <w:color w:val="auto"/>
                <w:kern w:val="2"/>
                <w:sz w:val="21"/>
                <w:szCs w:val="20"/>
                <w:u w:val="single"/>
                <w:vertAlign w:val="superscript"/>
                <w:lang w:val="en-US" w:eastAsia="zh-CN" w:bidi="ar-SA"/>
              </w:rPr>
              <w:t>3</w:t>
            </w:r>
            <w:r>
              <w:rPr>
                <w:rFonts w:hint="eastAsia" w:ascii="Times New Roman" w:hAnsi="Times New Roman" w:eastAsia="宋体" w:cs="Times New Roman"/>
                <w:color w:val="auto"/>
                <w:kern w:val="2"/>
                <w:sz w:val="21"/>
                <w:szCs w:val="20"/>
                <w:u w:val="single"/>
                <w:lang w:val="en-US" w:eastAsia="zh-CN" w:bidi="ar-SA"/>
              </w:rPr>
              <w:t>）</w:t>
            </w:r>
          </w:p>
        </w:tc>
        <w:tc>
          <w:tcPr>
            <w:tcW w:w="7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无组织排放监测浓度限值（mg/m</w:t>
            </w:r>
            <w:r>
              <w:rPr>
                <w:rFonts w:hint="eastAsia" w:ascii="Times New Roman" w:hAnsi="Times New Roman" w:eastAsia="宋体" w:cs="Times New Roman"/>
                <w:color w:val="auto"/>
                <w:kern w:val="2"/>
                <w:sz w:val="21"/>
                <w:szCs w:val="20"/>
                <w:u w:val="single"/>
                <w:vertAlign w:val="superscript"/>
                <w:lang w:val="en-US" w:eastAsia="zh-CN" w:bidi="ar-SA"/>
              </w:rPr>
              <w:t>3</w:t>
            </w:r>
            <w:r>
              <w:rPr>
                <w:rFonts w:hint="eastAsia" w:ascii="Times New Roman" w:hAnsi="Times New Roman" w:eastAsia="宋体" w:cs="Times New Roman"/>
                <w:color w:val="auto"/>
                <w:kern w:val="2"/>
                <w:sz w:val="21"/>
                <w:szCs w:val="20"/>
                <w:u w:val="single"/>
                <w:lang w:val="en-US" w:eastAsia="zh-CN" w:bidi="ar-SA"/>
              </w:rPr>
              <w:t>）</w:t>
            </w:r>
          </w:p>
        </w:tc>
        <w:tc>
          <w:tcPr>
            <w:tcW w:w="88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去除效率</w:t>
            </w:r>
          </w:p>
        </w:tc>
        <w:tc>
          <w:tcPr>
            <w:tcW w:w="114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9" w:type="pct"/>
            <w:vMerge w:val="restar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碳酸二甲酯和醋酸甲脂生产线</w:t>
            </w:r>
          </w:p>
        </w:tc>
        <w:tc>
          <w:tcPr>
            <w:tcW w:w="73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甲醇</w:t>
            </w:r>
          </w:p>
        </w:tc>
        <w:tc>
          <w:tcPr>
            <w:tcW w:w="75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50</w:t>
            </w:r>
          </w:p>
        </w:tc>
        <w:tc>
          <w:tcPr>
            <w:tcW w:w="75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w:t>
            </w:r>
          </w:p>
        </w:tc>
        <w:tc>
          <w:tcPr>
            <w:tcW w:w="88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114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《石油化学工业污染物排放标准》（</w:t>
            </w:r>
            <w:r>
              <w:rPr>
                <w:rFonts w:ascii="Times New Roman" w:hAnsi="Times New Roman" w:eastAsia="宋体" w:cs="Times New Roman"/>
                <w:color w:val="auto"/>
                <w:kern w:val="2"/>
                <w:sz w:val="21"/>
                <w:szCs w:val="20"/>
                <w:u w:val="single"/>
                <w:lang w:val="en-US" w:eastAsia="zh-CN" w:bidi="ar-SA"/>
              </w:rPr>
              <w:t>GB31571-2015</w:t>
            </w:r>
            <w:r>
              <w:rPr>
                <w:rFonts w:hint="eastAsia" w:ascii="Times New Roman" w:hAnsi="Times New Roman" w:eastAsia="宋体" w:cs="Times New Roman"/>
                <w:color w:val="auto"/>
                <w:kern w:val="2"/>
                <w:sz w:val="21"/>
                <w:szCs w:val="20"/>
                <w:u w:val="single"/>
                <w:lang w:val="en-US" w:eastAsia="zh-CN" w:bidi="ar-SA"/>
              </w:rPr>
              <w:t>）中表</w:t>
            </w:r>
            <w:r>
              <w:rPr>
                <w:rFonts w:hint="eastAsia" w:ascii="Times New Roman" w:hAnsi="Times New Roman" w:cs="Times New Roman"/>
                <w:color w:val="auto"/>
                <w:kern w:val="2"/>
                <w:sz w:val="21"/>
                <w:szCs w:val="20"/>
                <w:u w:val="single"/>
                <w:lang w:val="en-US" w:eastAsia="zh-CN" w:bidi="ar-SA"/>
              </w:rPr>
              <w:t>6</w:t>
            </w:r>
            <w:r>
              <w:rPr>
                <w:rFonts w:hint="eastAsia" w:ascii="Times New Roman" w:hAnsi="Times New Roman" w:eastAsia="宋体" w:cs="Times New Roman"/>
                <w:color w:val="auto"/>
                <w:kern w:val="2"/>
                <w:sz w:val="21"/>
                <w:szCs w:val="20"/>
                <w:u w:val="single"/>
                <w:lang w:val="en-US" w:eastAsia="zh-CN" w:bidi="ar-SA"/>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9"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739" w:type="pct"/>
            <w:tcBorders>
              <w:tl2br w:val="nil"/>
              <w:tr2bl w:val="nil"/>
            </w:tcBorders>
            <w:noWrap w:val="0"/>
            <w:vAlign w:val="center"/>
          </w:tcPr>
          <w:p>
            <w:pPr>
              <w:pStyle w:val="10"/>
              <w:jc w:val="center"/>
              <w:rPr>
                <w:rFonts w:hint="default" w:ascii="Times New Roman" w:hAnsi="Times New Roman" w:eastAsia="宋体" w:cs="Times New Roman"/>
                <w:color w:val="auto"/>
                <w:kern w:val="2"/>
                <w:sz w:val="21"/>
                <w:szCs w:val="20"/>
                <w:u w:val="single"/>
                <w:lang w:val="en-US" w:eastAsia="zh-CN" w:bidi="ar-SA"/>
              </w:rPr>
            </w:pPr>
            <w:r>
              <w:rPr>
                <w:rFonts w:hint="eastAsia"/>
                <w:color w:val="auto"/>
                <w:u w:val="single"/>
                <w:lang w:val="en-US" w:eastAsia="zh-CN"/>
              </w:rPr>
              <w:t>挥发性有机物（以非甲烷总烃计）</w:t>
            </w:r>
          </w:p>
        </w:tc>
        <w:tc>
          <w:tcPr>
            <w:tcW w:w="75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120</w:t>
            </w:r>
          </w:p>
        </w:tc>
        <w:tc>
          <w:tcPr>
            <w:tcW w:w="7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88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＞95%</w:t>
            </w:r>
          </w:p>
        </w:tc>
        <w:tc>
          <w:tcPr>
            <w:tcW w:w="114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《石油化学工业污染物排放标准》（</w:t>
            </w:r>
            <w:r>
              <w:rPr>
                <w:rFonts w:ascii="Times New Roman" w:hAnsi="Times New Roman" w:eastAsia="宋体" w:cs="Times New Roman"/>
                <w:color w:val="auto"/>
                <w:kern w:val="2"/>
                <w:sz w:val="21"/>
                <w:szCs w:val="20"/>
                <w:u w:val="single"/>
                <w:lang w:val="en-US" w:eastAsia="zh-CN" w:bidi="ar-SA"/>
              </w:rPr>
              <w:t>GB31571-2015</w:t>
            </w:r>
            <w:r>
              <w:rPr>
                <w:rFonts w:hint="eastAsia" w:ascii="Times New Roman" w:hAnsi="Times New Roman" w:eastAsia="宋体" w:cs="Times New Roman"/>
                <w:color w:val="auto"/>
                <w:kern w:val="2"/>
                <w:sz w:val="21"/>
                <w:szCs w:val="20"/>
                <w:u w:val="single"/>
                <w:lang w:val="en-US" w:eastAsia="zh-CN" w:bidi="ar-SA"/>
              </w:rPr>
              <w:t>）中表</w:t>
            </w:r>
            <w:r>
              <w:rPr>
                <w:rFonts w:hint="eastAsia" w:ascii="Times New Roman" w:hAnsi="Times New Roman" w:cs="Times New Roman"/>
                <w:color w:val="auto"/>
                <w:kern w:val="2"/>
                <w:sz w:val="21"/>
                <w:szCs w:val="20"/>
                <w:u w:val="single"/>
                <w:lang w:val="en-US" w:eastAsia="zh-CN" w:bidi="ar-SA"/>
              </w:rPr>
              <w:t>4</w:t>
            </w:r>
            <w:r>
              <w:rPr>
                <w:rFonts w:hint="eastAsia" w:ascii="Times New Roman" w:hAnsi="Times New Roman" w:eastAsia="宋体" w:cs="Times New Roman"/>
                <w:color w:val="auto"/>
                <w:kern w:val="2"/>
                <w:sz w:val="21"/>
                <w:szCs w:val="20"/>
                <w:u w:val="single"/>
                <w:lang w:val="en-US" w:eastAsia="zh-CN" w:bidi="ar-SA"/>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厂区</w:t>
            </w:r>
          </w:p>
        </w:tc>
        <w:tc>
          <w:tcPr>
            <w:tcW w:w="739" w:type="pct"/>
            <w:tcBorders>
              <w:tl2br w:val="nil"/>
              <w:tr2bl w:val="nil"/>
            </w:tcBorders>
            <w:noWrap w:val="0"/>
            <w:vAlign w:val="center"/>
          </w:tcPr>
          <w:p>
            <w:pPr>
              <w:pStyle w:val="10"/>
              <w:jc w:val="center"/>
              <w:rPr>
                <w:rFonts w:hint="eastAsia"/>
                <w:color w:val="auto"/>
                <w:u w:val="single"/>
                <w:lang w:val="en-US" w:eastAsia="zh-CN"/>
              </w:rPr>
            </w:pPr>
            <w:r>
              <w:rPr>
                <w:rFonts w:hint="eastAsia"/>
                <w:color w:val="auto"/>
                <w:u w:val="single"/>
                <w:lang w:val="en-US" w:eastAsia="zh-CN"/>
              </w:rPr>
              <w:t>挥发性有机物</w:t>
            </w:r>
          </w:p>
        </w:tc>
        <w:tc>
          <w:tcPr>
            <w:tcW w:w="75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7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10</w:t>
            </w:r>
          </w:p>
        </w:tc>
        <w:tc>
          <w:tcPr>
            <w:tcW w:w="88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114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w:t>
            </w:r>
            <w:r>
              <w:rPr>
                <w:rFonts w:hint="eastAsia" w:ascii="Times New Roman" w:hAnsi="Times New Roman" w:cs="Times New Roman"/>
                <w:color w:val="auto"/>
                <w:kern w:val="2"/>
                <w:sz w:val="21"/>
                <w:szCs w:val="20"/>
                <w:u w:val="single"/>
                <w:lang w:val="en-US" w:eastAsia="zh-CN" w:bidi="ar-SA"/>
              </w:rPr>
              <w:t>挥发性有机物无组织排放标准</w:t>
            </w:r>
            <w:r>
              <w:rPr>
                <w:rFonts w:hint="eastAsia" w:ascii="Times New Roman" w:hAnsi="Times New Roman" w:eastAsia="宋体" w:cs="Times New Roman"/>
                <w:color w:val="auto"/>
                <w:kern w:val="2"/>
                <w:sz w:val="21"/>
                <w:szCs w:val="20"/>
                <w:u w:val="single"/>
                <w:lang w:val="en-US" w:eastAsia="zh-CN" w:bidi="ar-SA"/>
              </w:rPr>
              <w:t>》（GB27822-2019）附录A中标准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9"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无组织排放（厂界）</w:t>
            </w:r>
          </w:p>
        </w:tc>
        <w:tc>
          <w:tcPr>
            <w:tcW w:w="73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甲醇</w:t>
            </w:r>
          </w:p>
        </w:tc>
        <w:tc>
          <w:tcPr>
            <w:tcW w:w="75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7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15</w:t>
            </w:r>
          </w:p>
        </w:tc>
        <w:tc>
          <w:tcPr>
            <w:tcW w:w="88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114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w:t>
            </w:r>
            <w:r>
              <w:rPr>
                <w:rFonts w:hint="eastAsia" w:ascii="Times New Roman" w:hAnsi="Times New Roman" w:cs="Times New Roman"/>
                <w:color w:val="auto"/>
                <w:kern w:val="2"/>
                <w:sz w:val="21"/>
                <w:szCs w:val="20"/>
                <w:u w:val="single"/>
                <w:lang w:val="en-US" w:eastAsia="zh-CN" w:bidi="ar-SA"/>
              </w:rPr>
              <w:t>大气污染物综合排放标准</w:t>
            </w:r>
            <w:r>
              <w:rPr>
                <w:rFonts w:hint="eastAsia" w:ascii="Times New Roman" w:hAnsi="Times New Roman" w:eastAsia="宋体" w:cs="Times New Roman"/>
                <w:color w:val="auto"/>
                <w:kern w:val="2"/>
                <w:sz w:val="21"/>
                <w:szCs w:val="20"/>
                <w:u w:val="single"/>
                <w:lang w:val="en-US" w:eastAsia="zh-CN" w:bidi="ar-SA"/>
              </w:rPr>
              <w:t>》（</w:t>
            </w:r>
            <w:r>
              <w:rPr>
                <w:rFonts w:ascii="Times New Roman" w:hAnsi="Times New Roman" w:eastAsia="宋体" w:cs="Times New Roman"/>
                <w:color w:val="auto"/>
                <w:kern w:val="2"/>
                <w:sz w:val="21"/>
                <w:szCs w:val="20"/>
                <w:u w:val="single"/>
                <w:lang w:val="en-US" w:eastAsia="zh-CN" w:bidi="ar-SA"/>
              </w:rPr>
              <w:t>GB</w:t>
            </w:r>
            <w:r>
              <w:rPr>
                <w:rFonts w:hint="eastAsia" w:ascii="Times New Roman" w:hAnsi="Times New Roman" w:cs="Times New Roman"/>
                <w:color w:val="auto"/>
                <w:kern w:val="2"/>
                <w:sz w:val="21"/>
                <w:szCs w:val="20"/>
                <w:u w:val="single"/>
                <w:lang w:val="en-US" w:eastAsia="zh-CN" w:bidi="ar-SA"/>
              </w:rPr>
              <w:t>16297-1996</w:t>
            </w:r>
            <w:r>
              <w:rPr>
                <w:rFonts w:hint="eastAsia" w:ascii="Times New Roman" w:hAnsi="Times New Roman" w:eastAsia="宋体" w:cs="Times New Roman"/>
                <w:color w:val="auto"/>
                <w:kern w:val="2"/>
                <w:sz w:val="21"/>
                <w:szCs w:val="20"/>
                <w:u w:val="single"/>
                <w:lang w:val="en-US" w:eastAsia="zh-CN" w:bidi="ar-SA"/>
              </w:rPr>
              <w:t>）中表</w:t>
            </w:r>
            <w:r>
              <w:rPr>
                <w:rFonts w:hint="eastAsia" w:ascii="Times New Roman" w:hAnsi="Times New Roman" w:cs="Times New Roman"/>
                <w:color w:val="auto"/>
                <w:kern w:val="2"/>
                <w:sz w:val="21"/>
                <w:szCs w:val="20"/>
                <w:u w:val="single"/>
                <w:lang w:val="en-US" w:eastAsia="zh-CN" w:bidi="ar-SA"/>
              </w:rPr>
              <w:t>4</w:t>
            </w:r>
            <w:r>
              <w:rPr>
                <w:rFonts w:hint="eastAsia" w:ascii="Times New Roman" w:hAnsi="Times New Roman" w:eastAsia="宋体" w:cs="Times New Roman"/>
                <w:color w:val="auto"/>
                <w:kern w:val="2"/>
                <w:sz w:val="21"/>
                <w:szCs w:val="20"/>
                <w:u w:val="single"/>
                <w:lang w:val="en-US" w:eastAsia="zh-CN" w:bidi="ar-SA"/>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9"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0"/>
                <w:u w:val="single"/>
                <w:lang w:val="en-US" w:eastAsia="zh-CN" w:bidi="ar-SA"/>
              </w:rPr>
            </w:pPr>
          </w:p>
        </w:tc>
        <w:tc>
          <w:tcPr>
            <w:tcW w:w="739" w:type="pct"/>
            <w:tcBorders>
              <w:tl2br w:val="nil"/>
              <w:tr2bl w:val="nil"/>
            </w:tcBorders>
            <w:noWrap w:val="0"/>
            <w:vAlign w:val="center"/>
          </w:tcPr>
          <w:p>
            <w:pPr>
              <w:pStyle w:val="10"/>
              <w:jc w:val="center"/>
              <w:rPr>
                <w:rFonts w:hint="eastAsia" w:ascii="Times New Roman" w:hAnsi="Times New Roman" w:eastAsia="宋体" w:cs="Times New Roman"/>
                <w:color w:val="auto"/>
                <w:kern w:val="2"/>
                <w:sz w:val="21"/>
                <w:szCs w:val="20"/>
                <w:u w:val="single"/>
                <w:lang w:val="en-US" w:eastAsia="zh-CN" w:bidi="ar-SA"/>
              </w:rPr>
            </w:pPr>
            <w:r>
              <w:rPr>
                <w:rFonts w:hint="eastAsia"/>
                <w:color w:val="auto"/>
                <w:u w:val="single"/>
                <w:lang w:val="en-US" w:eastAsia="zh-CN"/>
              </w:rPr>
              <w:t>挥发性有机物（以非甲烷总烃计）</w:t>
            </w:r>
          </w:p>
        </w:tc>
        <w:tc>
          <w:tcPr>
            <w:tcW w:w="75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7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4</w:t>
            </w:r>
          </w:p>
        </w:tc>
        <w:tc>
          <w:tcPr>
            <w:tcW w:w="88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114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《石油化学工业污染物排放标准》（</w:t>
            </w:r>
            <w:r>
              <w:rPr>
                <w:rFonts w:ascii="Times New Roman" w:hAnsi="Times New Roman" w:eastAsia="宋体" w:cs="Times New Roman"/>
                <w:color w:val="auto"/>
                <w:kern w:val="2"/>
                <w:sz w:val="21"/>
                <w:szCs w:val="20"/>
                <w:u w:val="single"/>
                <w:lang w:val="en-US" w:eastAsia="zh-CN" w:bidi="ar-SA"/>
              </w:rPr>
              <w:t>GB31571-2015</w:t>
            </w:r>
            <w:r>
              <w:rPr>
                <w:rFonts w:hint="eastAsia" w:ascii="Times New Roman" w:hAnsi="Times New Roman" w:eastAsia="宋体" w:cs="Times New Roman"/>
                <w:color w:val="auto"/>
                <w:kern w:val="2"/>
                <w:sz w:val="21"/>
                <w:szCs w:val="20"/>
                <w:u w:val="single"/>
                <w:lang w:val="en-US" w:eastAsia="zh-CN" w:bidi="ar-SA"/>
              </w:rPr>
              <w:t>）中表</w:t>
            </w:r>
            <w:r>
              <w:rPr>
                <w:rFonts w:hint="eastAsia" w:ascii="Times New Roman" w:hAnsi="Times New Roman" w:cs="Times New Roman"/>
                <w:color w:val="auto"/>
                <w:kern w:val="2"/>
                <w:sz w:val="21"/>
                <w:szCs w:val="20"/>
                <w:u w:val="single"/>
                <w:lang w:val="en-US" w:eastAsia="zh-CN" w:bidi="ar-SA"/>
              </w:rPr>
              <w:t>7</w:t>
            </w:r>
            <w:r>
              <w:rPr>
                <w:rFonts w:hint="eastAsia" w:ascii="Times New Roman" w:hAnsi="Times New Roman" w:eastAsia="宋体" w:cs="Times New Roman"/>
                <w:color w:val="auto"/>
                <w:kern w:val="2"/>
                <w:sz w:val="21"/>
                <w:szCs w:val="20"/>
                <w:u w:val="single"/>
                <w:lang w:val="en-US" w:eastAsia="zh-CN" w:bidi="ar-SA"/>
              </w:rPr>
              <w:t>标准</w:t>
            </w:r>
          </w:p>
        </w:tc>
      </w:tr>
    </w:tbl>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(2)废水：本项目位于</w:t>
      </w:r>
      <w:r>
        <w:rPr>
          <w:rFonts w:hint="eastAsia" w:ascii="Times New Roman" w:hAnsi="Times New Roman" w:cs="Times New Roman"/>
          <w:color w:val="auto"/>
          <w:kern w:val="2"/>
          <w:sz w:val="24"/>
          <w:szCs w:val="20"/>
          <w:lang w:val="en-US" w:eastAsia="zh-CN" w:bidi="ar-SA"/>
        </w:rPr>
        <w:t>湖南</w:t>
      </w:r>
      <w:r>
        <w:rPr>
          <w:rFonts w:hint="eastAsia" w:ascii="Times New Roman" w:hAnsi="Times New Roman" w:eastAsia="宋体" w:cs="Times New Roman"/>
          <w:color w:val="auto"/>
          <w:kern w:val="2"/>
          <w:sz w:val="24"/>
          <w:szCs w:val="20"/>
          <w:lang w:val="en-US" w:eastAsia="zh-CN" w:bidi="ar-SA"/>
        </w:rPr>
        <w:t>岳阳绿色化工产业园，废水可通过工业园污水专用管道排入云溪污水处理厂进行处理。本项且采用雨污分流、清污分流、污污分流的原则实施排水制度。厂区废水排放执行云溪区污水处理厂工业废水处理系统纳污标准要求。</w:t>
      </w:r>
    </w:p>
    <w:p>
      <w:pPr>
        <w:widowControl w:val="0"/>
        <w:bidi w:val="0"/>
        <w:spacing w:before="20" w:line="360" w:lineRule="auto"/>
        <w:ind w:firstLine="480" w:firstLineChars="200"/>
        <w:jc w:val="both"/>
        <w:rPr>
          <w:rFonts w:hint="default"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项</w:t>
      </w:r>
      <w:r>
        <w:rPr>
          <w:rFonts w:hint="eastAsia" w:ascii="Times New Roman" w:hAnsi="Times New Roman" w:cs="Times New Roman"/>
          <w:color w:val="auto"/>
          <w:kern w:val="2"/>
          <w:sz w:val="24"/>
          <w:szCs w:val="20"/>
          <w:lang w:val="en-US" w:eastAsia="zh-CN" w:bidi="ar-SA"/>
        </w:rPr>
        <w:t>目</w:t>
      </w:r>
      <w:r>
        <w:rPr>
          <w:rFonts w:hint="eastAsia" w:ascii="Times New Roman" w:hAnsi="Times New Roman" w:eastAsia="宋体" w:cs="Times New Roman"/>
          <w:color w:val="auto"/>
          <w:kern w:val="2"/>
          <w:sz w:val="24"/>
          <w:szCs w:val="20"/>
          <w:lang w:val="en-US" w:eastAsia="zh-CN" w:bidi="ar-SA"/>
        </w:rPr>
        <w:t>所在地属岳</w:t>
      </w:r>
      <w:r>
        <w:rPr>
          <w:rFonts w:hint="eastAsia" w:ascii="Times New Roman" w:hAnsi="Times New Roman" w:cs="Times New Roman"/>
          <w:color w:val="auto"/>
          <w:kern w:val="2"/>
          <w:sz w:val="24"/>
          <w:szCs w:val="20"/>
          <w:lang w:val="en-US" w:eastAsia="zh-CN" w:bidi="ar-SA"/>
        </w:rPr>
        <w:t>湖南</w:t>
      </w:r>
      <w:r>
        <w:rPr>
          <w:rFonts w:hint="eastAsia" w:ascii="Times New Roman" w:hAnsi="Times New Roman" w:eastAsia="宋体" w:cs="Times New Roman"/>
          <w:color w:val="auto"/>
          <w:kern w:val="2"/>
          <w:sz w:val="24"/>
          <w:szCs w:val="20"/>
          <w:lang w:val="en-US" w:eastAsia="zh-CN" w:bidi="ar-SA"/>
        </w:rPr>
        <w:t>阳绿色化工产业园，属于规划建成的集中化工产业园区，园区配套污水收集管网进入云溪区污水处理厂工业废水处理系统集中处理。根据省厅关于执行污染物特别排放限值(第一批)的公告中的备注条款，项</w:t>
      </w:r>
      <w:r>
        <w:rPr>
          <w:rFonts w:hint="eastAsia" w:ascii="Times New Roman" w:hAnsi="Times New Roman" w:cs="Times New Roman"/>
          <w:color w:val="auto"/>
          <w:kern w:val="2"/>
          <w:sz w:val="24"/>
          <w:szCs w:val="20"/>
          <w:lang w:val="en-US" w:eastAsia="zh-CN" w:bidi="ar-SA"/>
        </w:rPr>
        <w:t>目</w:t>
      </w:r>
      <w:r>
        <w:rPr>
          <w:rFonts w:hint="eastAsia" w:ascii="Times New Roman" w:hAnsi="Times New Roman" w:eastAsia="宋体" w:cs="Times New Roman"/>
          <w:color w:val="auto"/>
          <w:kern w:val="2"/>
          <w:sz w:val="24"/>
          <w:szCs w:val="20"/>
          <w:lang w:val="en-US" w:eastAsia="zh-CN" w:bidi="ar-SA"/>
        </w:rPr>
        <w:t>污水经厂区预处理达《石油化学工业污染物排放标准》(GB31571-2015)表1间接排放限值</w:t>
      </w:r>
      <w:r>
        <w:rPr>
          <w:rFonts w:hint="eastAsia" w:ascii="Times New Roman" w:hAnsi="Times New Roman" w:cs="Times New Roman"/>
          <w:color w:val="auto"/>
          <w:kern w:val="2"/>
          <w:sz w:val="24"/>
          <w:szCs w:val="20"/>
          <w:lang w:val="en-US" w:eastAsia="zh-CN" w:bidi="ar-SA"/>
        </w:rPr>
        <w:t>和</w:t>
      </w:r>
      <w:r>
        <w:rPr>
          <w:rFonts w:hint="eastAsia" w:ascii="Times New Roman" w:hAnsi="Times New Roman" w:eastAsia="宋体" w:cs="Times New Roman"/>
          <w:color w:val="auto"/>
          <w:kern w:val="2"/>
          <w:sz w:val="24"/>
          <w:szCs w:val="20"/>
          <w:lang w:val="en-US" w:eastAsia="zh-CN" w:bidi="ar-SA"/>
        </w:rPr>
        <w:t>《合成树脂工业污染物排放标准》(GB31572-2015)间接排放标准，并满足云溪区污水处理厂接管标准，通过工业园污水专用管道排入云溪区污水处理厂进行进一步处理，最终排入长江。具体标准限值见下表。</w:t>
      </w:r>
    </w:p>
    <w:p>
      <w:pPr>
        <w:widowControl w:val="0"/>
        <w:bidi w:val="0"/>
        <w:spacing w:line="360" w:lineRule="auto"/>
        <w:jc w:val="center"/>
        <w:rPr>
          <w:rFonts w:ascii="Times New Roman" w:hAnsi="Times New Roman" w:eastAsia="宋体" w:cs="Times New Roman"/>
          <w:b/>
          <w:color w:val="auto"/>
          <w:kern w:val="2"/>
          <w:sz w:val="24"/>
          <w:szCs w:val="22"/>
          <w:lang w:val="en-US" w:eastAsia="zh-CN" w:bidi="ar-SA"/>
        </w:rPr>
      </w:pPr>
      <w:r>
        <w:rPr>
          <w:rFonts w:ascii="Times New Roman" w:hAnsi="Times New Roman" w:eastAsia="宋体" w:cs="Times New Roman"/>
          <w:b/>
          <w:color w:val="auto"/>
          <w:kern w:val="2"/>
          <w:sz w:val="24"/>
          <w:szCs w:val="22"/>
          <w:lang w:val="en-US" w:eastAsia="zh-CN" w:bidi="ar-SA"/>
        </w:rPr>
        <w:t>表</w:t>
      </w:r>
      <w:r>
        <w:rPr>
          <w:rFonts w:hint="eastAsia" w:ascii="Times New Roman" w:hAnsi="Times New Roman" w:eastAsia="宋体" w:cs="Times New Roman"/>
          <w:b/>
          <w:color w:val="auto"/>
          <w:kern w:val="2"/>
          <w:sz w:val="24"/>
          <w:szCs w:val="22"/>
          <w:lang w:val="en-US" w:eastAsia="zh-CN" w:bidi="ar-SA"/>
        </w:rPr>
        <w:t>2</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4</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8</w:t>
      </w:r>
      <w:r>
        <w:rPr>
          <w:rFonts w:ascii="Times New Roman" w:hAnsi="Times New Roman" w:eastAsia="宋体" w:cs="Times New Roman"/>
          <w:b/>
          <w:color w:val="auto"/>
          <w:kern w:val="2"/>
          <w:sz w:val="24"/>
          <w:szCs w:val="22"/>
          <w:lang w:val="en-US" w:eastAsia="zh-CN" w:bidi="ar-SA"/>
        </w:rPr>
        <w:t xml:space="preserve"> </w:t>
      </w:r>
      <w:r>
        <w:rPr>
          <w:rFonts w:hint="eastAsia" w:ascii="Times New Roman" w:hAnsi="Times New Roman" w:eastAsia="宋体" w:cs="Times New Roman"/>
          <w:b/>
          <w:color w:val="auto"/>
          <w:kern w:val="2"/>
          <w:sz w:val="24"/>
          <w:szCs w:val="22"/>
          <w:lang w:val="en-US" w:eastAsia="zh-CN" w:bidi="ar-SA"/>
        </w:rPr>
        <w:t>水污染物排放限值</w:t>
      </w:r>
      <w:r>
        <w:rPr>
          <w:rFonts w:ascii="Times New Roman" w:hAnsi="Times New Roman" w:eastAsia="宋体" w:cs="Times New Roman"/>
          <w:b/>
          <w:color w:val="auto"/>
          <w:kern w:val="2"/>
          <w:sz w:val="24"/>
          <w:szCs w:val="22"/>
          <w:lang w:val="en-US" w:eastAsia="zh-CN" w:bidi="ar-SA"/>
        </w:rPr>
        <w:t xml:space="preserve">  单位：mg/L</w:t>
      </w:r>
      <w:r>
        <w:rPr>
          <w:rFonts w:hint="eastAsia" w:ascii="Times New Roman" w:hAnsi="Times New Roman" w:eastAsia="宋体" w:cs="Times New Roman"/>
          <w:b/>
          <w:color w:val="auto"/>
          <w:kern w:val="2"/>
          <w:sz w:val="24"/>
          <w:szCs w:val="22"/>
          <w:lang w:val="en-US" w:eastAsia="zh-CN" w:bidi="ar-SA"/>
        </w:rPr>
        <w:t>，pH 无量纲</w:t>
      </w:r>
    </w:p>
    <w:tbl>
      <w:tblPr>
        <w:tblStyle w:val="2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5"/>
        <w:gridCol w:w="1705"/>
        <w:gridCol w:w="1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项目</w:t>
            </w:r>
          </w:p>
        </w:tc>
        <w:tc>
          <w:tcPr>
            <w:tcW w:w="99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《石油化学工业污染物排放标准》GB31571-2015 表1间接限值</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《合成树脂工业污染物排放标准》GB31572-2015 表1间接限值</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云溪污水处理厂废水处理系统接管标准</w:t>
            </w:r>
          </w:p>
        </w:tc>
        <w:tc>
          <w:tcPr>
            <w:tcW w:w="100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本次评价标准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PH</w:t>
            </w:r>
          </w:p>
        </w:tc>
        <w:tc>
          <w:tcPr>
            <w:tcW w:w="99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6-9</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6-9</w:t>
            </w:r>
          </w:p>
        </w:tc>
        <w:tc>
          <w:tcPr>
            <w:tcW w:w="1001"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COD</w:t>
            </w:r>
            <w:r>
              <w:rPr>
                <w:rFonts w:hint="eastAsia" w:ascii="Times New Roman" w:hAnsi="Times New Roman" w:eastAsia="宋体" w:cs="Times New Roman"/>
                <w:color w:val="auto"/>
                <w:kern w:val="2"/>
                <w:sz w:val="21"/>
                <w:szCs w:val="20"/>
                <w:vertAlign w:val="subscript"/>
                <w:lang w:val="en-US" w:eastAsia="zh-CN" w:bidi="ar-SA"/>
              </w:rPr>
              <w:t>Cr</w:t>
            </w:r>
          </w:p>
        </w:tc>
        <w:tc>
          <w:tcPr>
            <w:tcW w:w="99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1000</w:t>
            </w:r>
          </w:p>
        </w:tc>
        <w:tc>
          <w:tcPr>
            <w:tcW w:w="1001"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BOD</w:t>
            </w:r>
            <w:r>
              <w:rPr>
                <w:rFonts w:hint="eastAsia" w:ascii="Times New Roman" w:hAnsi="Times New Roman" w:eastAsia="宋体" w:cs="Times New Roman"/>
                <w:color w:val="auto"/>
                <w:kern w:val="2"/>
                <w:sz w:val="21"/>
                <w:szCs w:val="20"/>
                <w:vertAlign w:val="subscript"/>
                <w:lang w:val="en-US" w:eastAsia="zh-CN" w:bidi="ar-SA"/>
              </w:rPr>
              <w:t>5</w:t>
            </w:r>
          </w:p>
        </w:tc>
        <w:tc>
          <w:tcPr>
            <w:tcW w:w="99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300</w:t>
            </w:r>
          </w:p>
        </w:tc>
        <w:tc>
          <w:tcPr>
            <w:tcW w:w="1001"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氨氮</w:t>
            </w:r>
          </w:p>
        </w:tc>
        <w:tc>
          <w:tcPr>
            <w:tcW w:w="99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30</w:t>
            </w:r>
          </w:p>
        </w:tc>
        <w:tc>
          <w:tcPr>
            <w:tcW w:w="1001"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总磷</w:t>
            </w:r>
          </w:p>
        </w:tc>
        <w:tc>
          <w:tcPr>
            <w:tcW w:w="99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w:t>
            </w:r>
          </w:p>
        </w:tc>
        <w:tc>
          <w:tcPr>
            <w:tcW w:w="100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总氮</w:t>
            </w:r>
          </w:p>
        </w:tc>
        <w:tc>
          <w:tcPr>
            <w:tcW w:w="99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150</w:t>
            </w:r>
          </w:p>
        </w:tc>
        <w:tc>
          <w:tcPr>
            <w:tcW w:w="1001"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SS</w:t>
            </w:r>
          </w:p>
        </w:tc>
        <w:tc>
          <w:tcPr>
            <w:tcW w:w="99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400</w:t>
            </w:r>
          </w:p>
        </w:tc>
        <w:tc>
          <w:tcPr>
            <w:tcW w:w="1001"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9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石油类</w:t>
            </w:r>
          </w:p>
        </w:tc>
        <w:tc>
          <w:tcPr>
            <w:tcW w:w="99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w:t>
            </w:r>
          </w:p>
        </w:tc>
        <w:tc>
          <w:tcPr>
            <w:tcW w:w="100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10</w:t>
            </w:r>
          </w:p>
        </w:tc>
        <w:tc>
          <w:tcPr>
            <w:tcW w:w="1001"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（3）噪声：执行《工业企业厂界环境噪声排放标准》（G</w:t>
      </w:r>
      <w:r>
        <w:rPr>
          <w:rFonts w:ascii="Times New Roman" w:hAnsi="Times New Roman" w:eastAsia="宋体" w:cs="Times New Roman"/>
          <w:color w:val="auto"/>
          <w:kern w:val="2"/>
          <w:sz w:val="24"/>
          <w:szCs w:val="20"/>
          <w:lang w:val="en-US" w:eastAsia="zh-CN" w:bidi="ar-SA"/>
        </w:rPr>
        <w:t>B</w:t>
      </w:r>
      <w:r>
        <w:rPr>
          <w:rFonts w:hint="eastAsia" w:ascii="Times New Roman" w:hAnsi="Times New Roman" w:eastAsia="宋体" w:cs="Times New Roman"/>
          <w:color w:val="auto"/>
          <w:kern w:val="2"/>
          <w:sz w:val="24"/>
          <w:szCs w:val="20"/>
          <w:lang w:val="en-US" w:eastAsia="zh-CN" w:bidi="ar-SA"/>
        </w:rPr>
        <w:t>12348-2008）中的3类标准。</w:t>
      </w:r>
    </w:p>
    <w:p>
      <w:pPr>
        <w:widowControl w:val="0"/>
        <w:bidi w:val="0"/>
        <w:spacing w:line="360" w:lineRule="auto"/>
        <w:jc w:val="center"/>
        <w:rPr>
          <w:rFonts w:ascii="Times New Roman" w:hAnsi="Times New Roman" w:eastAsia="宋体" w:cs="Times New Roman"/>
          <w:b/>
          <w:color w:val="auto"/>
          <w:kern w:val="2"/>
          <w:sz w:val="24"/>
          <w:szCs w:val="22"/>
          <w:lang w:val="en-US" w:eastAsia="zh-CN" w:bidi="ar-SA"/>
        </w:rPr>
      </w:pPr>
      <w:r>
        <w:rPr>
          <w:rFonts w:ascii="Times New Roman" w:hAnsi="Times New Roman" w:eastAsia="宋体" w:cs="Times New Roman"/>
          <w:b/>
          <w:color w:val="auto"/>
          <w:kern w:val="2"/>
          <w:sz w:val="24"/>
          <w:szCs w:val="22"/>
          <w:lang w:val="en-US" w:eastAsia="zh-CN" w:bidi="ar-SA"/>
        </w:rPr>
        <w:t>表</w:t>
      </w:r>
      <w:r>
        <w:rPr>
          <w:rFonts w:hint="eastAsia" w:ascii="Times New Roman" w:hAnsi="Times New Roman" w:eastAsia="宋体" w:cs="Times New Roman"/>
          <w:b/>
          <w:color w:val="auto"/>
          <w:kern w:val="2"/>
          <w:sz w:val="24"/>
          <w:szCs w:val="22"/>
          <w:lang w:val="en-US" w:eastAsia="zh-CN" w:bidi="ar-SA"/>
        </w:rPr>
        <w:t>2</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4</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9</w:t>
      </w:r>
      <w:r>
        <w:rPr>
          <w:rFonts w:ascii="Times New Roman" w:hAnsi="Times New Roman" w:eastAsia="宋体" w:cs="Times New Roman"/>
          <w:b/>
          <w:color w:val="auto"/>
          <w:kern w:val="2"/>
          <w:sz w:val="24"/>
          <w:szCs w:val="22"/>
          <w:lang w:val="en-US" w:eastAsia="zh-CN" w:bidi="ar-SA"/>
        </w:rPr>
        <w:t xml:space="preserve">  噪声排放标准 单位：dB（A）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52"/>
        <w:gridCol w:w="850"/>
        <w:gridCol w:w="8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017" w:type="pct"/>
            <w:tcBorders>
              <w:tl2br w:val="nil"/>
              <w:tr2bl w:val="nil"/>
            </w:tcBorders>
            <w:noWrap w:val="0"/>
            <w:vAlign w:val="top"/>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类别</w:t>
            </w:r>
          </w:p>
        </w:tc>
        <w:tc>
          <w:tcPr>
            <w:tcW w:w="498" w:type="pct"/>
            <w:tcBorders>
              <w:tl2br w:val="nil"/>
              <w:tr2bl w:val="nil"/>
            </w:tcBorders>
            <w:noWrap w:val="0"/>
            <w:vAlign w:val="top"/>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昼间</w:t>
            </w:r>
          </w:p>
        </w:tc>
        <w:tc>
          <w:tcPr>
            <w:tcW w:w="484" w:type="pct"/>
            <w:tcBorders>
              <w:tl2br w:val="nil"/>
              <w:tr2bl w:val="nil"/>
            </w:tcBorders>
            <w:noWrap w:val="0"/>
            <w:vAlign w:val="top"/>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017" w:type="pct"/>
            <w:tcBorders>
              <w:tl2br w:val="nil"/>
              <w:tr2bl w:val="nil"/>
            </w:tcBorders>
            <w:noWrap w:val="0"/>
            <w:vAlign w:val="top"/>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《工业企业厂界环境噪声排放标准》（G12348-2008）3类标准</w:t>
            </w:r>
          </w:p>
        </w:tc>
        <w:tc>
          <w:tcPr>
            <w:tcW w:w="498" w:type="pct"/>
            <w:tcBorders>
              <w:tl2br w:val="nil"/>
              <w:tr2bl w:val="nil"/>
            </w:tcBorders>
            <w:noWrap w:val="0"/>
            <w:vAlign w:val="top"/>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6</w:t>
            </w:r>
            <w:r>
              <w:rPr>
                <w:rFonts w:hint="eastAsia" w:ascii="Times New Roman" w:hAnsi="Times New Roman" w:eastAsia="宋体" w:cs="Times New Roman"/>
                <w:color w:val="auto"/>
                <w:kern w:val="2"/>
                <w:sz w:val="21"/>
                <w:szCs w:val="20"/>
                <w:lang w:val="en-US" w:eastAsia="zh-CN" w:bidi="ar-SA"/>
              </w:rPr>
              <w:t>5</w:t>
            </w:r>
          </w:p>
        </w:tc>
        <w:tc>
          <w:tcPr>
            <w:tcW w:w="484" w:type="pct"/>
            <w:tcBorders>
              <w:tl2br w:val="nil"/>
              <w:tr2bl w:val="nil"/>
            </w:tcBorders>
            <w:noWrap w:val="0"/>
            <w:vAlign w:val="top"/>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5</w:t>
            </w:r>
            <w:r>
              <w:rPr>
                <w:rFonts w:hint="eastAsia" w:ascii="Times New Roman" w:hAnsi="Times New Roman" w:eastAsia="宋体" w:cs="Times New Roman"/>
                <w:color w:val="auto"/>
                <w:kern w:val="2"/>
                <w:sz w:val="21"/>
                <w:szCs w:val="20"/>
                <w:lang w:val="en-US" w:eastAsia="zh-CN" w:bidi="ar-SA"/>
              </w:rPr>
              <w:t>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（4）固体废物：一般工业固体废物执行《一般工业固体废物贮存、处置场污染控制标准》（GB18599-2001）及2013年修改单中的规定</w:t>
      </w:r>
      <w:r>
        <w:rPr>
          <w:rFonts w:hint="eastAsia" w:ascii="Times New Roman" w:hAnsi="Times New Roman" w:cs="Times New Roman"/>
          <w:color w:val="auto"/>
          <w:kern w:val="2"/>
          <w:sz w:val="24"/>
          <w:szCs w:val="20"/>
          <w:lang w:val="en-US" w:eastAsia="zh-CN" w:bidi="ar-SA"/>
        </w:rPr>
        <w:t>，危险废物执行：</w:t>
      </w:r>
      <w:r>
        <w:rPr>
          <w:rFonts w:ascii="Times New Roman" w:hAnsi="Times New Roman" w:eastAsia="宋体" w:cs="Times New Roman"/>
          <w:color w:val="auto"/>
          <w:sz w:val="24"/>
        </w:rPr>
        <w:t>《危险废物贮存污染控制标准》（GB18597-2001）及其2013年修改单和《危险废物收集贮存运输技术规范》（HJ 2025-2012）相关标准</w:t>
      </w:r>
      <w:r>
        <w:rPr>
          <w:rFonts w:hint="eastAsia" w:ascii="Times New Roman" w:hAnsi="Times New Roman" w:eastAsia="宋体" w:cs="Times New Roman"/>
          <w:color w:val="auto"/>
          <w:kern w:val="2"/>
          <w:sz w:val="24"/>
          <w:szCs w:val="20"/>
          <w:lang w:val="en-US" w:eastAsia="zh-CN" w:bidi="ar-SA"/>
        </w:rPr>
        <w:t>。</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ascii="Times New Roman" w:hAnsi="Times New Roman" w:eastAsia="宋体" w:cs="Times New Roman"/>
          <w:b/>
          <w:color w:val="auto"/>
          <w:kern w:val="2"/>
          <w:sz w:val="30"/>
          <w:szCs w:val="22"/>
          <w:lang w:val="en-US" w:eastAsia="zh-CN" w:bidi="ar-SA"/>
        </w:rPr>
      </w:pPr>
      <w:bookmarkStart w:id="33" w:name="_Toc23040"/>
      <w:r>
        <w:rPr>
          <w:rFonts w:hint="eastAsia" w:ascii="Times New Roman" w:hAnsi="Times New Roman" w:eastAsia="宋体" w:cs="Times New Roman"/>
          <w:b/>
          <w:color w:val="auto"/>
          <w:kern w:val="2"/>
          <w:sz w:val="30"/>
          <w:szCs w:val="22"/>
          <w:lang w:val="en-US" w:eastAsia="zh-CN" w:bidi="ar-SA"/>
        </w:rPr>
        <w:t>2.5评价工作等级</w:t>
      </w:r>
      <w:bookmarkEnd w:id="33"/>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highlight w:val="none"/>
          <w:lang w:val="en-US" w:eastAsia="zh-CN" w:bidi="ar-SA"/>
        </w:rPr>
      </w:pPr>
      <w:r>
        <w:rPr>
          <w:rFonts w:hint="eastAsia" w:ascii="Times New Roman" w:hAnsi="Times New Roman" w:eastAsia="宋体" w:cs="Times New Roman"/>
          <w:b/>
          <w:color w:val="auto"/>
          <w:kern w:val="2"/>
          <w:sz w:val="28"/>
          <w:szCs w:val="22"/>
          <w:highlight w:val="none"/>
          <w:lang w:val="en-US" w:eastAsia="zh-CN" w:bidi="ar-SA"/>
        </w:rPr>
        <w:t>2.5.1环境空气</w:t>
      </w:r>
    </w:p>
    <w:p>
      <w:pPr>
        <w:pStyle w:val="33"/>
        <w:bidi w:val="0"/>
        <w:rPr>
          <w:color w:val="auto"/>
        </w:rPr>
      </w:pPr>
      <w:r>
        <w:rPr>
          <w:color w:val="auto"/>
        </w:rPr>
        <w:t>（1）评价等级</w:t>
      </w:r>
    </w:p>
    <w:p>
      <w:pPr>
        <w:pStyle w:val="33"/>
        <w:bidi w:val="0"/>
        <w:rPr>
          <w:color w:val="auto"/>
        </w:rPr>
      </w:pPr>
      <w:r>
        <w:rPr>
          <w:color w:val="auto"/>
        </w:rPr>
        <w:t>根据《环境影响评价技术导则大气环境》（HJ2.2-2018）的规定，选择项目污染源正常排放的主要污染物及排放参数，采用附录A推荐模型中的估算模型AERSCREEN分别计算项目污染源的最大环境影响，然后按评价工作分级判据进行分级。</w:t>
      </w:r>
    </w:p>
    <w:p>
      <w:pPr>
        <w:pStyle w:val="33"/>
        <w:bidi w:val="0"/>
        <w:rPr>
          <w:color w:val="auto"/>
        </w:rPr>
      </w:pPr>
      <w:r>
        <w:rPr>
          <w:color w:val="auto"/>
        </w:rPr>
        <w:t>根据项目污染源初步调查结果，分别计算项目排放的主要污染物的最大地面空气质量浓度占标率Pi及第i个污染物的地面空气质量浓度达到标准值的10%时所对应的最远距离D10%。其中，最大地面质量浓度占标率Pi计算公式如下：</w:t>
      </w:r>
    </w:p>
    <w:p>
      <w:pPr>
        <w:pStyle w:val="33"/>
        <w:bidi w:val="0"/>
        <w:jc w:val="center"/>
        <w:rPr>
          <w:color w:val="auto"/>
        </w:rPr>
      </w:pPr>
      <w:r>
        <w:rPr>
          <w:color w:val="auto"/>
        </w:rPr>
        <w:drawing>
          <wp:inline distT="0" distB="0" distL="114300" distR="114300">
            <wp:extent cx="1209675" cy="523875"/>
            <wp:effectExtent l="0" t="0" r="9525" b="9525"/>
            <wp:docPr id="10"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1"/>
                    <pic:cNvPicPr>
                      <a:picLocks noChangeAspect="1"/>
                    </pic:cNvPicPr>
                  </pic:nvPicPr>
                  <pic:blipFill>
                    <a:blip r:embed="rId15"/>
                    <a:stretch>
                      <a:fillRect/>
                    </a:stretch>
                  </pic:blipFill>
                  <pic:spPr>
                    <a:xfrm>
                      <a:off x="0" y="0"/>
                      <a:ext cx="1209675" cy="523875"/>
                    </a:xfrm>
                    <a:prstGeom prst="rect">
                      <a:avLst/>
                    </a:prstGeom>
                    <a:noFill/>
                    <a:ln>
                      <a:noFill/>
                    </a:ln>
                  </pic:spPr>
                </pic:pic>
              </a:graphicData>
            </a:graphic>
          </wp:inline>
        </w:drawing>
      </w:r>
    </w:p>
    <w:p>
      <w:pPr>
        <w:pStyle w:val="33"/>
        <w:bidi w:val="0"/>
        <w:rPr>
          <w:color w:val="auto"/>
        </w:rPr>
      </w:pPr>
      <w:r>
        <w:rPr>
          <w:color w:val="auto"/>
        </w:rPr>
        <w:t>式中：P</w:t>
      </w:r>
      <w:r>
        <w:rPr>
          <w:color w:val="auto"/>
          <w:vertAlign w:val="subscript"/>
        </w:rPr>
        <w:t>i</w:t>
      </w:r>
      <w:r>
        <w:rPr>
          <w:color w:val="auto"/>
        </w:rPr>
        <w:t>—第i个污染物的最大地面质量浓度占标率，%；</w:t>
      </w:r>
    </w:p>
    <w:p>
      <w:pPr>
        <w:pStyle w:val="33"/>
        <w:bidi w:val="0"/>
        <w:rPr>
          <w:color w:val="auto"/>
        </w:rPr>
      </w:pPr>
      <w:r>
        <w:rPr>
          <w:color w:val="auto"/>
        </w:rPr>
        <w:t>C</w:t>
      </w:r>
      <w:r>
        <w:rPr>
          <w:color w:val="auto"/>
          <w:vertAlign w:val="subscript"/>
        </w:rPr>
        <w:t>i</w:t>
      </w:r>
      <w:r>
        <w:rPr>
          <w:color w:val="auto"/>
        </w:rPr>
        <w:t>—采用估算模式计算出的第i个污染物的最大1h地面空气质量浓度，ug/m</w:t>
      </w:r>
      <w:r>
        <w:rPr>
          <w:color w:val="auto"/>
          <w:vertAlign w:val="superscript"/>
        </w:rPr>
        <w:t>3</w:t>
      </w:r>
      <w:r>
        <w:rPr>
          <w:color w:val="auto"/>
        </w:rPr>
        <w:t>；</w:t>
      </w:r>
    </w:p>
    <w:p>
      <w:pPr>
        <w:pStyle w:val="33"/>
        <w:bidi w:val="0"/>
        <w:rPr>
          <w:color w:val="auto"/>
        </w:rPr>
      </w:pPr>
      <w:r>
        <w:rPr>
          <w:color w:val="auto"/>
        </w:rPr>
        <w:t>C</w:t>
      </w:r>
      <w:r>
        <w:rPr>
          <w:color w:val="auto"/>
          <w:vertAlign w:val="subscript"/>
        </w:rPr>
        <w:t>oi</w:t>
      </w:r>
      <w:r>
        <w:rPr>
          <w:color w:val="auto"/>
        </w:rPr>
        <w:t>－第i个污染物的环境空气质量浓度标准，ug/m</w:t>
      </w:r>
      <w:r>
        <w:rPr>
          <w:color w:val="auto"/>
          <w:vertAlign w:val="superscript"/>
        </w:rPr>
        <w:t>3</w:t>
      </w:r>
      <w:r>
        <w:rPr>
          <w:color w:val="auto"/>
        </w:rPr>
        <w:t>。</w:t>
      </w:r>
    </w:p>
    <w:p>
      <w:pPr>
        <w:pStyle w:val="33"/>
        <w:bidi w:val="0"/>
        <w:rPr>
          <w:color w:val="auto"/>
        </w:rPr>
      </w:pPr>
      <w:r>
        <w:rPr>
          <w:color w:val="auto"/>
        </w:rPr>
        <w:t>大气评价等级按下表的分级判据进行划分：</w:t>
      </w:r>
    </w:p>
    <w:p>
      <w:pPr>
        <w:pStyle w:val="36"/>
        <w:bidi w:val="0"/>
        <w:rPr>
          <w:color w:val="auto"/>
        </w:rPr>
      </w:pPr>
      <w:r>
        <w:rPr>
          <w:color w:val="auto"/>
        </w:rPr>
        <w:t>表</w:t>
      </w:r>
      <w:r>
        <w:rPr>
          <w:rFonts w:hint="eastAsia"/>
          <w:color w:val="auto"/>
          <w:lang w:val="en-US" w:eastAsia="zh-CN"/>
        </w:rPr>
        <w:t>2.5-</w:t>
      </w:r>
      <w:r>
        <w:rPr>
          <w:color w:val="auto"/>
        </w:rPr>
        <w:t>1   大气评价等级判别表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44"/>
        <w:gridCol w:w="52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3544" w:type="dxa"/>
            <w:noWrap w:val="0"/>
            <w:vAlign w:val="center"/>
          </w:tcPr>
          <w:p>
            <w:pPr>
              <w:widowControl w:val="0"/>
              <w:jc w:val="center"/>
              <w:rPr>
                <w:rFonts w:hint="default" w:ascii="Times New Roman" w:hAnsi="Times New Roman" w:cs="Times New Roman"/>
                <w:color w:val="auto"/>
                <w:szCs w:val="21"/>
              </w:rPr>
            </w:pPr>
            <w:r>
              <w:rPr>
                <w:rFonts w:hint="default" w:ascii="Times New Roman" w:hAnsi="Times New Roman" w:cs="Times New Roman"/>
                <w:color w:val="auto"/>
                <w:szCs w:val="21"/>
              </w:rPr>
              <w:t>评价工作等级</w:t>
            </w:r>
          </w:p>
        </w:tc>
        <w:tc>
          <w:tcPr>
            <w:tcW w:w="5245" w:type="dxa"/>
            <w:noWrap w:val="0"/>
            <w:vAlign w:val="center"/>
          </w:tcPr>
          <w:p>
            <w:pPr>
              <w:widowControl w:val="0"/>
              <w:jc w:val="center"/>
              <w:rPr>
                <w:rFonts w:hint="default" w:ascii="Times New Roman" w:hAnsi="Times New Roman" w:cs="Times New Roman"/>
                <w:color w:val="auto"/>
                <w:szCs w:val="21"/>
              </w:rPr>
            </w:pPr>
            <w:r>
              <w:rPr>
                <w:rFonts w:hint="default" w:ascii="Times New Roman" w:hAnsi="Times New Roman" w:cs="Times New Roman"/>
                <w:color w:val="auto"/>
                <w:szCs w:val="21"/>
              </w:rPr>
              <w:t>评价工作分级判据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3544" w:type="dxa"/>
            <w:noWrap w:val="0"/>
            <w:vAlign w:val="center"/>
          </w:tcPr>
          <w:p>
            <w:pPr>
              <w:widowControl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一级评价</w:t>
            </w:r>
          </w:p>
        </w:tc>
        <w:tc>
          <w:tcPr>
            <w:tcW w:w="5245" w:type="dxa"/>
            <w:noWrap w:val="0"/>
            <w:vAlign w:val="center"/>
          </w:tcPr>
          <w:p>
            <w:pPr>
              <w:widowControl w:val="0"/>
              <w:jc w:val="center"/>
              <w:rPr>
                <w:rFonts w:hint="default" w:ascii="Times New Roman" w:hAnsi="Times New Roman" w:cs="Times New Roman"/>
                <w:color w:val="auto"/>
                <w:szCs w:val="21"/>
              </w:rPr>
            </w:pPr>
            <w:r>
              <w:rPr>
                <w:rFonts w:hint="default" w:ascii="Times New Roman" w:hAnsi="Times New Roman" w:cs="Times New Roman"/>
                <w:color w:val="auto"/>
                <w:szCs w:val="21"/>
              </w:rPr>
              <w:t>Pmax≥10%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3544" w:type="dxa"/>
            <w:noWrap w:val="0"/>
            <w:vAlign w:val="center"/>
          </w:tcPr>
          <w:p>
            <w:pPr>
              <w:widowControl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二级评价</w:t>
            </w:r>
          </w:p>
        </w:tc>
        <w:tc>
          <w:tcPr>
            <w:tcW w:w="5245" w:type="dxa"/>
            <w:noWrap w:val="0"/>
            <w:vAlign w:val="center"/>
          </w:tcPr>
          <w:p>
            <w:pPr>
              <w:widowControl w:val="0"/>
              <w:jc w:val="center"/>
              <w:rPr>
                <w:rFonts w:hint="default" w:ascii="Times New Roman" w:hAnsi="Times New Roman" w:cs="Times New Roman"/>
                <w:color w:val="auto"/>
                <w:szCs w:val="21"/>
              </w:rPr>
            </w:pPr>
            <w:r>
              <w:rPr>
                <w:rFonts w:hint="default" w:ascii="Times New Roman" w:hAnsi="Times New Roman" w:cs="Times New Roman"/>
                <w:color w:val="auto"/>
                <w:szCs w:val="21"/>
              </w:rPr>
              <w:t>1%≤Pmax&lt;10%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3544" w:type="dxa"/>
            <w:noWrap w:val="0"/>
            <w:vAlign w:val="center"/>
          </w:tcPr>
          <w:p>
            <w:pPr>
              <w:widowControl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三级评价</w:t>
            </w:r>
          </w:p>
        </w:tc>
        <w:tc>
          <w:tcPr>
            <w:tcW w:w="5245" w:type="dxa"/>
            <w:noWrap w:val="0"/>
            <w:vAlign w:val="center"/>
          </w:tcPr>
          <w:p>
            <w:pPr>
              <w:widowControl w:val="0"/>
              <w:jc w:val="center"/>
              <w:rPr>
                <w:rFonts w:hint="default" w:ascii="Times New Roman" w:hAnsi="Times New Roman" w:cs="Times New Roman"/>
                <w:color w:val="auto"/>
                <w:szCs w:val="21"/>
              </w:rPr>
            </w:pPr>
            <w:r>
              <w:rPr>
                <w:rFonts w:hint="default" w:ascii="Times New Roman" w:hAnsi="Times New Roman" w:cs="Times New Roman"/>
                <w:color w:val="auto"/>
                <w:szCs w:val="21"/>
              </w:rPr>
              <w:t>Pmax&lt;1%</w:t>
            </w:r>
          </w:p>
        </w:tc>
      </w:tr>
    </w:tbl>
    <w:p>
      <w:pPr>
        <w:adjustRightInd w:val="0"/>
        <w:snapToGrid w:val="0"/>
        <w:spacing w:before="156" w:beforeLines="50" w:line="360" w:lineRule="auto"/>
        <w:ind w:firstLine="480" w:firstLineChars="200"/>
        <w:rPr>
          <w:color w:val="auto"/>
          <w:kern w:val="0"/>
          <w:sz w:val="24"/>
        </w:rPr>
      </w:pPr>
      <w:r>
        <w:rPr>
          <w:color w:val="auto"/>
          <w:kern w:val="0"/>
          <w:sz w:val="24"/>
        </w:rPr>
        <w:t>本项目估算模型参数见下表。</w:t>
      </w:r>
    </w:p>
    <w:p>
      <w:pPr>
        <w:pStyle w:val="36"/>
        <w:bidi w:val="0"/>
        <w:rPr>
          <w:rFonts w:ascii="Times New Roman" w:hAnsi="Times New Roman" w:cs="Times New Roman"/>
          <w:color w:val="auto"/>
        </w:rPr>
      </w:pPr>
      <w:r>
        <w:rPr>
          <w:rFonts w:ascii="Times New Roman" w:hAnsi="Times New Roman" w:cs="Times New Roman"/>
          <w:color w:val="auto"/>
        </w:rPr>
        <w:t>表</w:t>
      </w:r>
      <w:r>
        <w:rPr>
          <w:rFonts w:hint="eastAsia" w:ascii="Times New Roman" w:hAnsi="Times New Roman" w:cs="Times New Roman"/>
          <w:color w:val="auto"/>
          <w:lang w:val="en-US" w:eastAsia="zh-CN"/>
        </w:rPr>
        <w:t>2.5-2</w:t>
      </w:r>
      <w:r>
        <w:rPr>
          <w:rFonts w:ascii="Times New Roman" w:hAnsi="Times New Roman" w:cs="Times New Roman"/>
          <w:color w:val="auto"/>
        </w:rPr>
        <w:t xml:space="preserve">   项目估算模型参数表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99"/>
        <w:gridCol w:w="3213"/>
        <w:gridCol w:w="2605"/>
      </w:tblGrid>
      <w:tr>
        <w:trPr>
          <w:cantSplit/>
          <w:trHeight w:val="340" w:hRule="atLeast"/>
          <w:jc w:val="center"/>
        </w:trPr>
        <w:tc>
          <w:tcPr>
            <w:tcW w:w="6212" w:type="dxa"/>
            <w:gridSpan w:val="2"/>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参数</w:t>
            </w:r>
          </w:p>
        </w:tc>
        <w:tc>
          <w:tcPr>
            <w:tcW w:w="2605"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2999" w:type="dxa"/>
            <w:vMerge w:val="restart"/>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城市/农村选项</w:t>
            </w:r>
          </w:p>
        </w:tc>
        <w:tc>
          <w:tcPr>
            <w:tcW w:w="3213"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城市/农村</w:t>
            </w:r>
          </w:p>
        </w:tc>
        <w:tc>
          <w:tcPr>
            <w:tcW w:w="2605"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2999" w:type="dxa"/>
            <w:vMerge w:val="continue"/>
            <w:noWrap w:val="0"/>
            <w:vAlign w:val="center"/>
          </w:tcPr>
          <w:p>
            <w:pPr>
              <w:jc w:val="center"/>
              <w:rPr>
                <w:rFonts w:hint="default" w:ascii="Times New Roman" w:hAnsi="Times New Roman" w:cs="Times New Roman"/>
                <w:color w:val="auto"/>
                <w:sz w:val="21"/>
                <w:szCs w:val="21"/>
              </w:rPr>
            </w:pPr>
          </w:p>
        </w:tc>
        <w:tc>
          <w:tcPr>
            <w:tcW w:w="3213"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人口数（城市选项时）</w:t>
            </w:r>
          </w:p>
        </w:tc>
        <w:tc>
          <w:tcPr>
            <w:tcW w:w="2605"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17.7万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6212" w:type="dxa"/>
            <w:gridSpan w:val="2"/>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最高环境温度/℃</w:t>
            </w:r>
          </w:p>
        </w:tc>
        <w:tc>
          <w:tcPr>
            <w:tcW w:w="2605"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6212" w:type="dxa"/>
            <w:gridSpan w:val="2"/>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最低环境温度/℃</w:t>
            </w:r>
          </w:p>
        </w:tc>
        <w:tc>
          <w:tcPr>
            <w:tcW w:w="2605"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6212" w:type="dxa"/>
            <w:gridSpan w:val="2"/>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地表类型</w:t>
            </w:r>
          </w:p>
        </w:tc>
        <w:tc>
          <w:tcPr>
            <w:tcW w:w="2605"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6212" w:type="dxa"/>
            <w:gridSpan w:val="2"/>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区域湿度条件</w:t>
            </w:r>
          </w:p>
        </w:tc>
        <w:tc>
          <w:tcPr>
            <w:tcW w:w="2605"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潮湿气候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2999" w:type="dxa"/>
            <w:vMerge w:val="restart"/>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是否考虑地形</w:t>
            </w:r>
          </w:p>
        </w:tc>
        <w:tc>
          <w:tcPr>
            <w:tcW w:w="3213"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考虑地形</w:t>
            </w:r>
          </w:p>
        </w:tc>
        <w:tc>
          <w:tcPr>
            <w:tcW w:w="2605"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eastAsia="MS Mincho" w:cs="Times New Roman"/>
                <w:color w:val="auto"/>
                <w:sz w:val="21"/>
                <w:szCs w:val="21"/>
              </w:rPr>
              <w:t>☑</w:t>
            </w:r>
            <w:r>
              <w:rPr>
                <w:rFonts w:hint="default" w:ascii="Times New Roman" w:hAnsi="Times New Roman" w:cs="Times New Roman"/>
                <w:color w:val="auto"/>
                <w:sz w:val="21"/>
                <w:szCs w:val="21"/>
              </w:rPr>
              <w:t>是  □否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2999" w:type="dxa"/>
            <w:vMerge w:val="continue"/>
            <w:noWrap w:val="0"/>
            <w:vAlign w:val="center"/>
          </w:tcPr>
          <w:p>
            <w:pPr>
              <w:jc w:val="center"/>
              <w:rPr>
                <w:rFonts w:hint="default" w:ascii="Times New Roman" w:hAnsi="Times New Roman" w:cs="Times New Roman"/>
                <w:color w:val="auto"/>
                <w:sz w:val="21"/>
                <w:szCs w:val="21"/>
              </w:rPr>
            </w:pPr>
          </w:p>
        </w:tc>
        <w:tc>
          <w:tcPr>
            <w:tcW w:w="3213"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地形数据分辨率/m</w:t>
            </w:r>
          </w:p>
        </w:tc>
        <w:tc>
          <w:tcPr>
            <w:tcW w:w="2605"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2999" w:type="dxa"/>
            <w:vMerge w:val="restart"/>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是否考虑岸线熏烟</w:t>
            </w:r>
          </w:p>
        </w:tc>
        <w:tc>
          <w:tcPr>
            <w:tcW w:w="3213"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考虑岸线熏烟</w:t>
            </w:r>
          </w:p>
        </w:tc>
        <w:tc>
          <w:tcPr>
            <w:tcW w:w="2605"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□是  </w:t>
            </w:r>
            <w:r>
              <w:rPr>
                <w:rFonts w:hint="default" w:ascii="Times New Roman" w:hAnsi="Times New Roman" w:eastAsia="MS Mincho" w:cs="Times New Roman"/>
                <w:color w:val="auto"/>
                <w:sz w:val="21"/>
                <w:szCs w:val="21"/>
              </w:rPr>
              <w:t>☑</w:t>
            </w:r>
            <w:r>
              <w:rPr>
                <w:rFonts w:hint="default" w:ascii="Times New Roman" w:hAnsi="Times New Roman" w:cs="Times New Roman"/>
                <w:color w:val="auto"/>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2999" w:type="dxa"/>
            <w:vMerge w:val="continue"/>
            <w:noWrap w:val="0"/>
            <w:vAlign w:val="center"/>
          </w:tcPr>
          <w:p>
            <w:pPr>
              <w:jc w:val="center"/>
              <w:rPr>
                <w:rFonts w:hint="default" w:ascii="Times New Roman" w:hAnsi="Times New Roman" w:cs="Times New Roman"/>
                <w:color w:val="auto"/>
                <w:sz w:val="21"/>
                <w:szCs w:val="21"/>
              </w:rPr>
            </w:pPr>
          </w:p>
        </w:tc>
        <w:tc>
          <w:tcPr>
            <w:tcW w:w="3213"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岸线距离/km</w:t>
            </w:r>
          </w:p>
        </w:tc>
        <w:tc>
          <w:tcPr>
            <w:tcW w:w="2605"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rPr>
          <w:cantSplit/>
          <w:trHeight w:val="340" w:hRule="atLeast"/>
          <w:jc w:val="center"/>
        </w:trPr>
        <w:tc>
          <w:tcPr>
            <w:tcW w:w="2999" w:type="dxa"/>
            <w:vMerge w:val="continue"/>
            <w:noWrap w:val="0"/>
            <w:vAlign w:val="center"/>
          </w:tcPr>
          <w:p>
            <w:pPr>
              <w:jc w:val="center"/>
              <w:rPr>
                <w:rFonts w:hint="default" w:ascii="Times New Roman" w:hAnsi="Times New Roman" w:cs="Times New Roman"/>
                <w:color w:val="auto"/>
                <w:sz w:val="21"/>
                <w:szCs w:val="21"/>
              </w:rPr>
            </w:pPr>
          </w:p>
        </w:tc>
        <w:tc>
          <w:tcPr>
            <w:tcW w:w="3213"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岸线方向/°</w:t>
            </w:r>
          </w:p>
        </w:tc>
        <w:tc>
          <w:tcPr>
            <w:tcW w:w="2605" w:type="dxa"/>
            <w:noWrap w:val="0"/>
            <w:vAlign w:val="center"/>
          </w:tcPr>
          <w:p>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spacing w:before="156" w:beforeLines="50" w:line="360" w:lineRule="auto"/>
        <w:ind w:firstLine="504" w:firstLineChars="200"/>
        <w:rPr>
          <w:color w:val="auto"/>
          <w:spacing w:val="6"/>
          <w:kern w:val="0"/>
          <w:sz w:val="24"/>
        </w:rPr>
        <w:sectPr>
          <w:footerReference r:id="rId5" w:type="default"/>
          <w:pgSz w:w="11906" w:h="16838"/>
          <w:pgMar w:top="1440" w:right="1797" w:bottom="1440" w:left="1797" w:header="794" w:footer="964" w:gutter="0"/>
          <w:pgBorders>
            <w:top w:val="none" w:sz="0" w:space="0"/>
            <w:left w:val="none" w:sz="0" w:space="0"/>
            <w:bottom w:val="none" w:sz="0" w:space="0"/>
            <w:right w:val="none" w:sz="0" w:space="0"/>
          </w:pgBorders>
          <w:pgNumType w:fmt="numberInDash" w:start="1"/>
          <w:cols w:space="720" w:num="1"/>
          <w:docGrid w:type="lines" w:linePitch="312" w:charSpace="0"/>
        </w:sectPr>
      </w:pPr>
    </w:p>
    <w:p>
      <w:pPr>
        <w:spacing w:before="156" w:beforeLines="50" w:line="360" w:lineRule="auto"/>
        <w:ind w:firstLine="480" w:firstLineChars="200"/>
        <w:rPr>
          <w:color w:val="auto"/>
          <w:spacing w:val="6"/>
          <w:kern w:val="0"/>
          <w:sz w:val="24"/>
          <w:u w:val="single"/>
        </w:rPr>
      </w:pPr>
      <w:r>
        <w:rPr>
          <w:color w:val="auto"/>
          <w:kern w:val="0"/>
          <w:sz w:val="24"/>
          <w:u w:val="single"/>
        </w:rPr>
        <w:t>本项目污染源强见下表</w:t>
      </w:r>
      <w:r>
        <w:rPr>
          <w:rFonts w:hint="eastAsia"/>
          <w:color w:val="auto"/>
          <w:kern w:val="0"/>
          <w:sz w:val="24"/>
          <w:u w:val="single"/>
        </w:rPr>
        <w:t>：</w:t>
      </w:r>
    </w:p>
    <w:p>
      <w:pPr>
        <w:pStyle w:val="36"/>
        <w:bidi w:val="0"/>
        <w:rPr>
          <w:rFonts w:hint="eastAsia"/>
          <w:color w:val="auto"/>
          <w:lang w:val="en-US" w:eastAsia="zh-CN"/>
        </w:rPr>
      </w:pPr>
      <w:r>
        <w:rPr>
          <w:rFonts w:hint="eastAsia"/>
          <w:color w:val="auto"/>
          <w:lang w:val="en-US" w:eastAsia="zh-CN"/>
        </w:rPr>
        <w:t>表2.5-3 项目新增点源参数表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733"/>
        <w:gridCol w:w="455"/>
        <w:gridCol w:w="516"/>
        <w:gridCol w:w="673"/>
        <w:gridCol w:w="595"/>
        <w:gridCol w:w="595"/>
        <w:gridCol w:w="917"/>
        <w:gridCol w:w="595"/>
        <w:gridCol w:w="616"/>
        <w:gridCol w:w="746"/>
        <w:gridCol w:w="818"/>
        <w:gridCol w:w="8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263"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rPr>
            </w:pPr>
            <w:r>
              <w:rPr>
                <w:rFonts w:ascii="Times New Roman" w:hAnsi="Times New Roman" w:cs="Times New Roman"/>
                <w:b/>
                <w:bCs/>
                <w:color w:val="auto"/>
                <w:sz w:val="20"/>
                <w:szCs w:val="20"/>
                <w:highlight w:val="none"/>
              </w:rPr>
              <w:t>编号</w:t>
            </w:r>
          </w:p>
        </w:tc>
        <w:tc>
          <w:tcPr>
            <w:tcW w:w="444"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rPr>
            </w:pPr>
            <w:r>
              <w:rPr>
                <w:rFonts w:ascii="Times New Roman" w:hAnsi="Times New Roman" w:cs="Times New Roman"/>
                <w:b/>
                <w:bCs/>
                <w:color w:val="auto"/>
                <w:sz w:val="20"/>
                <w:szCs w:val="20"/>
                <w:highlight w:val="none"/>
              </w:rPr>
              <w:t>名称</w:t>
            </w:r>
          </w:p>
        </w:tc>
        <w:tc>
          <w:tcPr>
            <w:tcW w:w="592" w:type="pct"/>
            <w:gridSpan w:val="2"/>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rPr>
            </w:pPr>
            <w:r>
              <w:rPr>
                <w:rFonts w:ascii="Times New Roman" w:hAnsi="Times New Roman" w:cs="Times New Roman"/>
                <w:b/>
                <w:bCs/>
                <w:color w:val="auto"/>
                <w:sz w:val="20"/>
                <w:szCs w:val="20"/>
                <w:highlight w:val="none"/>
              </w:rPr>
              <w:t>排气筒底部中心坐标 /m</w:t>
            </w:r>
          </w:p>
        </w:tc>
        <w:tc>
          <w:tcPr>
            <w:tcW w:w="415"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rPr>
            </w:pPr>
            <w:r>
              <w:rPr>
                <w:rFonts w:ascii="Times New Roman" w:hAnsi="Times New Roman" w:cs="Times New Roman"/>
                <w:b/>
                <w:bCs/>
                <w:color w:val="auto"/>
                <w:sz w:val="20"/>
                <w:szCs w:val="20"/>
                <w:highlight w:val="none"/>
              </w:rPr>
              <w:t>排气筒底部海拔高度/m</w:t>
            </w:r>
          </w:p>
        </w:tc>
        <w:tc>
          <w:tcPr>
            <w:tcW w:w="363"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rPr>
            </w:pPr>
            <w:r>
              <w:rPr>
                <w:rFonts w:ascii="Times New Roman" w:hAnsi="Times New Roman" w:cs="Times New Roman"/>
                <w:b/>
                <w:bCs/>
                <w:color w:val="auto"/>
                <w:sz w:val="20"/>
                <w:szCs w:val="20"/>
                <w:highlight w:val="none"/>
              </w:rPr>
              <w:t>排气筒高度/m</w:t>
            </w:r>
          </w:p>
        </w:tc>
        <w:tc>
          <w:tcPr>
            <w:tcW w:w="363"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rPr>
            </w:pPr>
            <w:r>
              <w:rPr>
                <w:rFonts w:ascii="Times New Roman" w:hAnsi="Times New Roman" w:cs="Times New Roman"/>
                <w:b/>
                <w:bCs/>
                <w:color w:val="auto"/>
                <w:sz w:val="20"/>
                <w:szCs w:val="20"/>
                <w:highlight w:val="none"/>
              </w:rPr>
              <w:t>排气筒出口内径/m</w:t>
            </w:r>
          </w:p>
        </w:tc>
        <w:tc>
          <w:tcPr>
            <w:tcW w:w="363"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rPr>
            </w:pPr>
            <w:r>
              <w:rPr>
                <w:rFonts w:ascii="Times New Roman" w:hAnsi="Times New Roman" w:cs="Times New Roman"/>
                <w:b/>
                <w:bCs/>
                <w:color w:val="auto"/>
                <w:sz w:val="20"/>
                <w:szCs w:val="20"/>
                <w:highlight w:val="none"/>
              </w:rPr>
              <w:t>烟气流速/（m/s）</w:t>
            </w:r>
          </w:p>
        </w:tc>
        <w:tc>
          <w:tcPr>
            <w:tcW w:w="363"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rPr>
            </w:pPr>
            <w:r>
              <w:rPr>
                <w:rFonts w:ascii="Times New Roman" w:hAnsi="Times New Roman" w:cs="Times New Roman"/>
                <w:b/>
                <w:bCs/>
                <w:color w:val="auto"/>
                <w:sz w:val="20"/>
                <w:szCs w:val="20"/>
                <w:highlight w:val="none"/>
              </w:rPr>
              <w:t>烟气温度/℃</w:t>
            </w:r>
          </w:p>
        </w:tc>
        <w:tc>
          <w:tcPr>
            <w:tcW w:w="363"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rPr>
            </w:pPr>
            <w:r>
              <w:rPr>
                <w:rFonts w:ascii="Times New Roman" w:hAnsi="Times New Roman" w:cs="Times New Roman"/>
                <w:b/>
                <w:bCs/>
                <w:color w:val="auto"/>
                <w:sz w:val="20"/>
                <w:szCs w:val="20"/>
                <w:highlight w:val="none"/>
              </w:rPr>
              <w:t>年排放小时数/h</w:t>
            </w:r>
          </w:p>
        </w:tc>
        <w:tc>
          <w:tcPr>
            <w:tcW w:w="464"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rPr>
            </w:pPr>
            <w:r>
              <w:rPr>
                <w:rFonts w:ascii="Times New Roman" w:hAnsi="Times New Roman" w:cs="Times New Roman"/>
                <w:b/>
                <w:bCs/>
                <w:color w:val="auto"/>
                <w:sz w:val="20"/>
                <w:szCs w:val="20"/>
                <w:highlight w:val="none"/>
              </w:rPr>
              <w:t>排放工况</w:t>
            </w:r>
          </w:p>
        </w:tc>
        <w:tc>
          <w:tcPr>
            <w:tcW w:w="1002" w:type="pct"/>
            <w:gridSpan w:val="2"/>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rPr>
            </w:pPr>
            <w:r>
              <w:rPr>
                <w:rFonts w:ascii="Times New Roman" w:hAnsi="Times New Roman" w:cs="Times New Roman"/>
                <w:b/>
                <w:bCs/>
                <w:color w:val="auto"/>
                <w:sz w:val="20"/>
                <w:szCs w:val="20"/>
                <w:highlight w:val="none"/>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263"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rPr>
            </w:pPr>
          </w:p>
        </w:tc>
        <w:tc>
          <w:tcPr>
            <w:tcW w:w="444"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rPr>
            </w:pPr>
          </w:p>
        </w:tc>
        <w:tc>
          <w:tcPr>
            <w:tcW w:w="281" w:type="pct"/>
            <w:tcBorders>
              <w:tl2br w:val="nil"/>
              <w:tr2bl w:val="nil"/>
            </w:tcBorders>
            <w:shd w:val="clear" w:color="000000" w:fill="FFFFFF"/>
            <w:noWrap w:val="0"/>
            <w:vAlign w:val="center"/>
          </w:tcPr>
          <w:p>
            <w:pPr>
              <w:jc w:val="center"/>
              <w:rPr>
                <w:rFonts w:ascii="Times New Roman" w:hAnsi="Times New Roman" w:cs="Times New Roman"/>
                <w:b/>
                <w:i/>
                <w:iCs/>
                <w:color w:val="auto"/>
                <w:sz w:val="20"/>
                <w:szCs w:val="20"/>
                <w:highlight w:val="none"/>
              </w:rPr>
            </w:pPr>
            <w:r>
              <w:rPr>
                <w:rFonts w:ascii="Times New Roman" w:hAnsi="Times New Roman" w:cs="Times New Roman"/>
                <w:b/>
                <w:i/>
                <w:iCs/>
                <w:color w:val="auto"/>
                <w:sz w:val="20"/>
                <w:szCs w:val="20"/>
                <w:highlight w:val="none"/>
              </w:rPr>
              <w:t>X</w:t>
            </w:r>
          </w:p>
        </w:tc>
        <w:tc>
          <w:tcPr>
            <w:tcW w:w="311" w:type="pct"/>
            <w:tcBorders>
              <w:tl2br w:val="nil"/>
              <w:tr2bl w:val="nil"/>
            </w:tcBorders>
            <w:shd w:val="clear" w:color="000000" w:fill="FFFFFF"/>
            <w:noWrap w:val="0"/>
            <w:vAlign w:val="center"/>
          </w:tcPr>
          <w:p>
            <w:pPr>
              <w:jc w:val="center"/>
              <w:rPr>
                <w:rFonts w:ascii="Times New Roman" w:hAnsi="Times New Roman" w:cs="Times New Roman"/>
                <w:b/>
                <w:i/>
                <w:iCs/>
                <w:color w:val="auto"/>
                <w:sz w:val="20"/>
                <w:szCs w:val="20"/>
                <w:highlight w:val="none"/>
              </w:rPr>
            </w:pPr>
            <w:r>
              <w:rPr>
                <w:rFonts w:ascii="Times New Roman" w:hAnsi="Times New Roman" w:cs="Times New Roman"/>
                <w:b/>
                <w:i/>
                <w:iCs/>
                <w:color w:val="auto"/>
                <w:sz w:val="20"/>
                <w:szCs w:val="20"/>
                <w:highlight w:val="none"/>
              </w:rPr>
              <w:t>Y</w:t>
            </w:r>
          </w:p>
        </w:tc>
        <w:tc>
          <w:tcPr>
            <w:tcW w:w="415"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rPr>
            </w:pPr>
          </w:p>
        </w:tc>
        <w:tc>
          <w:tcPr>
            <w:tcW w:w="464"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rPr>
            </w:pPr>
          </w:p>
        </w:tc>
        <w:tc>
          <w:tcPr>
            <w:tcW w:w="494" w:type="pc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rPr>
            </w:pPr>
            <w:r>
              <w:rPr>
                <w:rFonts w:hint="eastAsia" w:ascii="Times New Roman" w:hAnsi="Times New Roman" w:cs="Times New Roman"/>
                <w:b/>
                <w:bCs/>
                <w:color w:val="auto"/>
                <w:sz w:val="20"/>
                <w:szCs w:val="20"/>
                <w:highlight w:val="none"/>
              </w:rPr>
              <w:t>VOCs</w:t>
            </w:r>
          </w:p>
        </w:tc>
        <w:tc>
          <w:tcPr>
            <w:tcW w:w="508" w:type="pct"/>
            <w:tcBorders>
              <w:tl2br w:val="nil"/>
              <w:tr2bl w:val="nil"/>
            </w:tcBorders>
            <w:shd w:val="clear" w:color="000000" w:fill="FFFFFF"/>
            <w:noWrap w:val="0"/>
            <w:vAlign w:val="center"/>
          </w:tcPr>
          <w:p>
            <w:pPr>
              <w:jc w:val="center"/>
              <w:rPr>
                <w:rFonts w:hint="eastAsia" w:ascii="Times New Roman" w:hAnsi="Times New Roman" w:eastAsia="宋体" w:cs="Times New Roman"/>
                <w:b/>
                <w:bCs/>
                <w:color w:val="auto"/>
                <w:sz w:val="20"/>
                <w:szCs w:val="20"/>
                <w:highlight w:val="none"/>
                <w:lang w:eastAsia="zh-CN"/>
              </w:rPr>
            </w:pPr>
            <w:r>
              <w:rPr>
                <w:rFonts w:hint="eastAsia" w:ascii="Times New Roman" w:hAnsi="Times New Roman" w:cs="Times New Roman"/>
                <w:b/>
                <w:bCs/>
                <w:color w:val="auto"/>
                <w:sz w:val="20"/>
                <w:szCs w:val="20"/>
                <w:highlight w:val="none"/>
                <w:lang w:val="en-US" w:eastAsia="zh-CN"/>
              </w:rPr>
              <w:t>甲醇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263" w:type="pct"/>
            <w:vMerge w:val="restart"/>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1</w:t>
            </w:r>
          </w:p>
        </w:tc>
        <w:tc>
          <w:tcPr>
            <w:tcW w:w="444" w:type="pct"/>
            <w:vMerge w:val="restart"/>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P1</w:t>
            </w:r>
            <w:r>
              <w:rPr>
                <w:rFonts w:hint="eastAsia" w:ascii="Times New Roman" w:hAnsi="Times New Roman" w:cs="Times New Roman"/>
                <w:color w:val="auto"/>
                <w:sz w:val="20"/>
                <w:szCs w:val="20"/>
                <w:highlight w:val="none"/>
                <w:lang w:val="en-US" w:eastAsia="zh-CN"/>
              </w:rPr>
              <w:t>工艺</w:t>
            </w:r>
            <w:r>
              <w:rPr>
                <w:rFonts w:ascii="Times New Roman" w:hAnsi="Times New Roman" w:cs="Times New Roman"/>
                <w:color w:val="auto"/>
                <w:sz w:val="20"/>
                <w:szCs w:val="20"/>
                <w:highlight w:val="none"/>
              </w:rPr>
              <w:t>排气筒</w:t>
            </w:r>
          </w:p>
        </w:tc>
        <w:tc>
          <w:tcPr>
            <w:tcW w:w="281"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46</w:t>
            </w:r>
          </w:p>
        </w:tc>
        <w:tc>
          <w:tcPr>
            <w:tcW w:w="311" w:type="pct"/>
            <w:vMerge w:val="restar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88</w:t>
            </w:r>
          </w:p>
        </w:tc>
        <w:tc>
          <w:tcPr>
            <w:tcW w:w="415" w:type="pct"/>
            <w:vMerge w:val="restar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32</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20</w:t>
            </w:r>
          </w:p>
        </w:tc>
        <w:tc>
          <w:tcPr>
            <w:tcW w:w="363" w:type="pct"/>
            <w:vMerge w:val="restart"/>
            <w:tcBorders>
              <w:tl2br w:val="nil"/>
              <w:tr2bl w:val="nil"/>
            </w:tcBorders>
            <w:shd w:val="clear" w:color="auto" w:fill="auto"/>
            <w:noWrap w:val="0"/>
            <w:vAlign w:val="center"/>
          </w:tcPr>
          <w:p>
            <w:pPr>
              <w:jc w:val="center"/>
              <w:rPr>
                <w:rFonts w:hint="eastAsia" w:ascii="Times New Roman" w:hAnsi="Times New Roman" w:cs="Times New Roman"/>
                <w:color w:val="auto"/>
                <w:sz w:val="20"/>
                <w:szCs w:val="20"/>
                <w:highlight w:val="none"/>
                <w:lang w:eastAsia="zh-CN"/>
              </w:rPr>
            </w:pPr>
            <w:r>
              <w:rPr>
                <w:rFonts w:ascii="Times New Roman" w:hAnsi="Times New Roman" w:cs="Times New Roman"/>
                <w:color w:val="auto"/>
                <w:sz w:val="20"/>
                <w:szCs w:val="20"/>
                <w:highlight w:val="none"/>
              </w:rPr>
              <w:t>0.</w:t>
            </w:r>
            <w:r>
              <w:rPr>
                <w:rFonts w:hint="eastAsia" w:ascii="Times New Roman" w:hAnsi="Times New Roman" w:cs="Times New Roman"/>
                <w:color w:val="auto"/>
                <w:sz w:val="20"/>
                <w:szCs w:val="20"/>
                <w:highlight w:val="none"/>
                <w:lang w:val="en-US" w:eastAsia="zh-CN"/>
              </w:rPr>
              <w:t>3</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13.76</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20</w:t>
            </w:r>
          </w:p>
        </w:tc>
        <w:tc>
          <w:tcPr>
            <w:tcW w:w="363"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7</w:t>
            </w:r>
            <w:r>
              <w:rPr>
                <w:rFonts w:hint="eastAsia" w:ascii="Times New Roman" w:hAnsi="Times New Roman" w:cs="Times New Roman"/>
                <w:color w:val="auto"/>
                <w:sz w:val="20"/>
                <w:szCs w:val="20"/>
                <w:highlight w:val="none"/>
                <w:lang w:val="en-US" w:eastAsia="zh-CN"/>
              </w:rPr>
              <w:t>92</w:t>
            </w:r>
            <w:r>
              <w:rPr>
                <w:rFonts w:ascii="Times New Roman" w:hAnsi="Times New Roman" w:cs="Times New Roman"/>
                <w:color w:val="auto"/>
                <w:sz w:val="20"/>
                <w:szCs w:val="20"/>
                <w:highlight w:val="none"/>
              </w:rPr>
              <w:t>0</w:t>
            </w:r>
          </w:p>
        </w:tc>
        <w:tc>
          <w:tcPr>
            <w:tcW w:w="464"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正常排放</w:t>
            </w:r>
          </w:p>
        </w:tc>
        <w:tc>
          <w:tcPr>
            <w:tcW w:w="494"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0.36</w:t>
            </w:r>
          </w:p>
        </w:tc>
        <w:tc>
          <w:tcPr>
            <w:tcW w:w="508"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rPr>
            </w:pPr>
            <w:r>
              <w:rPr>
                <w:rFonts w:hint="eastAsia" w:ascii="Times New Roman" w:hAnsi="Times New Roman" w:cs="Times New Roman"/>
                <w:color w:val="auto"/>
                <w:sz w:val="20"/>
                <w:szCs w:val="20"/>
                <w:highlight w:val="non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2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444"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281"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311"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415"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363"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0~2</w:t>
            </w:r>
          </w:p>
        </w:tc>
        <w:tc>
          <w:tcPr>
            <w:tcW w:w="464"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非正常排放</w:t>
            </w:r>
          </w:p>
        </w:tc>
        <w:tc>
          <w:tcPr>
            <w:tcW w:w="494"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1.96</w:t>
            </w:r>
          </w:p>
        </w:tc>
        <w:tc>
          <w:tcPr>
            <w:tcW w:w="508"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263" w:type="pct"/>
            <w:vMerge w:val="restart"/>
            <w:tcBorders>
              <w:tl2br w:val="nil"/>
              <w:tr2bl w:val="nil"/>
            </w:tcBorders>
            <w:shd w:val="clear" w:color="auto" w:fill="auto"/>
            <w:noWrap w:val="0"/>
            <w:vAlign w:val="center"/>
          </w:tcPr>
          <w:p>
            <w:pPr>
              <w:jc w:val="center"/>
              <w:rPr>
                <w:rFonts w:hint="eastAsia"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2</w:t>
            </w:r>
          </w:p>
        </w:tc>
        <w:tc>
          <w:tcPr>
            <w:tcW w:w="444"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P2储罐废气排气筒</w:t>
            </w:r>
          </w:p>
        </w:tc>
        <w:tc>
          <w:tcPr>
            <w:tcW w:w="281" w:type="pct"/>
            <w:vMerge w:val="restar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37</w:t>
            </w:r>
          </w:p>
        </w:tc>
        <w:tc>
          <w:tcPr>
            <w:tcW w:w="311" w:type="pct"/>
            <w:vMerge w:val="restar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134</w:t>
            </w:r>
          </w:p>
        </w:tc>
        <w:tc>
          <w:tcPr>
            <w:tcW w:w="415" w:type="pct"/>
            <w:vMerge w:val="restar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32</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15</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0.2</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17.69</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20</w:t>
            </w:r>
          </w:p>
        </w:tc>
        <w:tc>
          <w:tcPr>
            <w:tcW w:w="363"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7</w:t>
            </w:r>
            <w:r>
              <w:rPr>
                <w:rFonts w:hint="eastAsia" w:ascii="Times New Roman" w:hAnsi="Times New Roman" w:cs="Times New Roman"/>
                <w:color w:val="auto"/>
                <w:sz w:val="20"/>
                <w:szCs w:val="20"/>
                <w:highlight w:val="none"/>
                <w:lang w:val="en-US" w:eastAsia="zh-CN"/>
              </w:rPr>
              <w:t>92</w:t>
            </w:r>
            <w:r>
              <w:rPr>
                <w:rFonts w:ascii="Times New Roman" w:hAnsi="Times New Roman" w:cs="Times New Roman"/>
                <w:color w:val="auto"/>
                <w:sz w:val="20"/>
                <w:szCs w:val="20"/>
                <w:highlight w:val="none"/>
              </w:rPr>
              <w:t>0</w:t>
            </w:r>
          </w:p>
        </w:tc>
        <w:tc>
          <w:tcPr>
            <w:tcW w:w="464"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正常排放</w:t>
            </w:r>
          </w:p>
        </w:tc>
        <w:tc>
          <w:tcPr>
            <w:tcW w:w="494"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0.12</w:t>
            </w:r>
          </w:p>
        </w:tc>
        <w:tc>
          <w:tcPr>
            <w:tcW w:w="508"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2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444"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281"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311"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415"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rPr>
            </w:pPr>
          </w:p>
        </w:tc>
        <w:tc>
          <w:tcPr>
            <w:tcW w:w="363"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0~2</w:t>
            </w:r>
          </w:p>
        </w:tc>
        <w:tc>
          <w:tcPr>
            <w:tcW w:w="464"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非正常排放</w:t>
            </w:r>
          </w:p>
        </w:tc>
        <w:tc>
          <w:tcPr>
            <w:tcW w:w="494"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0.38</w:t>
            </w:r>
          </w:p>
        </w:tc>
        <w:tc>
          <w:tcPr>
            <w:tcW w:w="508"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0.01</w:t>
            </w:r>
          </w:p>
        </w:tc>
      </w:tr>
    </w:tbl>
    <w:p>
      <w:pPr>
        <w:rPr>
          <w:rFonts w:ascii="Times New Roman" w:hAnsi="Times New Roman" w:cs="Times New Roman"/>
          <w:color w:val="auto"/>
          <w:highlight w:val="none"/>
        </w:rPr>
      </w:pPr>
      <w:r>
        <w:rPr>
          <w:rFonts w:ascii="Times New Roman" w:hAnsi="Times New Roman" w:eastAsia="黑体" w:cs="Times New Roman"/>
          <w:color w:val="auto"/>
          <w:szCs w:val="21"/>
          <w:highlight w:val="none"/>
        </w:rPr>
        <w:t>注：</w:t>
      </w:r>
      <w:r>
        <w:rPr>
          <w:rFonts w:hint="eastAsia" w:ascii="Times New Roman" w:hAnsi="Times New Roman" w:eastAsia="黑体" w:cs="Times New Roman"/>
          <w:color w:val="auto"/>
          <w:szCs w:val="21"/>
          <w:highlight w:val="none"/>
          <w:lang w:val="en-US" w:eastAsia="zh-CN"/>
        </w:rPr>
        <w:t>①工艺废气P1排气筒废气为叠加现有废气后的源强数据。②</w:t>
      </w:r>
      <w:r>
        <w:rPr>
          <w:rFonts w:hint="eastAsia" w:ascii="Times New Roman" w:hAnsi="Times New Roman" w:eastAsia="黑体" w:cs="Times New Roman"/>
          <w:color w:val="auto"/>
          <w:szCs w:val="21"/>
          <w:highlight w:val="none"/>
        </w:rPr>
        <w:t>上表中的非正常排放为废气处理设施失效</w:t>
      </w:r>
      <w:r>
        <w:rPr>
          <w:rFonts w:ascii="Times New Roman" w:hAnsi="Times New Roman" w:eastAsia="黑体" w:cs="Times New Roman"/>
          <w:color w:val="auto"/>
          <w:szCs w:val="21"/>
          <w:highlight w:val="none"/>
        </w:rPr>
        <w:t>，处理效率为0的极端情况。</w:t>
      </w:r>
    </w:p>
    <w:p>
      <w:pPr>
        <w:pStyle w:val="36"/>
        <w:bidi w:val="0"/>
        <w:rPr>
          <w:color w:val="auto"/>
        </w:rPr>
      </w:pPr>
      <w:r>
        <w:rPr>
          <w:rFonts w:hint="eastAsia"/>
          <w:color w:val="auto"/>
          <w:lang w:val="en-US" w:eastAsia="zh-CN"/>
        </w:rPr>
        <w:t xml:space="preserve">表2.5-4 </w:t>
      </w:r>
      <w:r>
        <w:rPr>
          <w:color w:val="auto"/>
        </w:rPr>
        <w:t>项目新增面源参数表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198"/>
        <w:gridCol w:w="447"/>
        <w:gridCol w:w="516"/>
        <w:gridCol w:w="635"/>
        <w:gridCol w:w="728"/>
        <w:gridCol w:w="635"/>
        <w:gridCol w:w="540"/>
        <w:gridCol w:w="728"/>
        <w:gridCol w:w="616"/>
        <w:gridCol w:w="540"/>
        <w:gridCol w:w="823"/>
        <w:gridCol w:w="6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blHeader/>
        </w:trPr>
        <w:tc>
          <w:tcPr>
            <w:tcW w:w="278"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编号</w:t>
            </w:r>
          </w:p>
        </w:tc>
        <w:tc>
          <w:tcPr>
            <w:tcW w:w="714"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名称</w:t>
            </w:r>
          </w:p>
        </w:tc>
        <w:tc>
          <w:tcPr>
            <w:tcW w:w="549" w:type="pct"/>
            <w:gridSpan w:val="2"/>
            <w:tcBorders>
              <w:tl2br w:val="nil"/>
              <w:tr2bl w:val="nil"/>
            </w:tcBorders>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面源起点坐标/m</w:t>
            </w:r>
          </w:p>
        </w:tc>
        <w:tc>
          <w:tcPr>
            <w:tcW w:w="384"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面源海拔高度/m</w:t>
            </w:r>
          </w:p>
        </w:tc>
        <w:tc>
          <w:tcPr>
            <w:tcW w:w="438"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面源长度/m</w:t>
            </w:r>
          </w:p>
        </w:tc>
        <w:tc>
          <w:tcPr>
            <w:tcW w:w="384"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面源宽度/m</w:t>
            </w:r>
          </w:p>
        </w:tc>
        <w:tc>
          <w:tcPr>
            <w:tcW w:w="328"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与正北向夹角/ °</w:t>
            </w:r>
          </w:p>
        </w:tc>
        <w:tc>
          <w:tcPr>
            <w:tcW w:w="438"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面源有效排放高度/m</w:t>
            </w:r>
          </w:p>
        </w:tc>
        <w:tc>
          <w:tcPr>
            <w:tcW w:w="329"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年排放小时数/h</w:t>
            </w:r>
          </w:p>
        </w:tc>
        <w:tc>
          <w:tcPr>
            <w:tcW w:w="328"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排放工况</w:t>
            </w:r>
          </w:p>
        </w:tc>
        <w:tc>
          <w:tcPr>
            <w:tcW w:w="825" w:type="pct"/>
            <w:gridSpan w:val="2"/>
            <w:tcBorders>
              <w:tl2br w:val="nil"/>
              <w:tr2bl w:val="nil"/>
            </w:tcBorders>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blHeader/>
        </w:trPr>
        <w:tc>
          <w:tcPr>
            <w:tcW w:w="278"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rPr>
            </w:pPr>
          </w:p>
        </w:tc>
        <w:tc>
          <w:tcPr>
            <w:tcW w:w="714"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rPr>
            </w:pPr>
          </w:p>
        </w:tc>
        <w:tc>
          <w:tcPr>
            <w:tcW w:w="274" w:type="pct"/>
            <w:tcBorders>
              <w:tl2br w:val="nil"/>
              <w:tr2bl w:val="nil"/>
            </w:tcBorders>
            <w:noWrap w:val="0"/>
            <w:vAlign w:val="center"/>
          </w:tcPr>
          <w:p>
            <w:pPr>
              <w:jc w:val="center"/>
              <w:rPr>
                <w:rFonts w:ascii="Times New Roman" w:hAnsi="Times New Roman" w:cs="Times New Roman"/>
                <w:b/>
                <w:i/>
                <w:iCs/>
                <w:color w:val="auto"/>
                <w:sz w:val="20"/>
                <w:szCs w:val="20"/>
                <w:highlight w:val="none"/>
              </w:rPr>
            </w:pPr>
            <w:r>
              <w:rPr>
                <w:rFonts w:ascii="Times New Roman" w:hAnsi="Times New Roman" w:cs="Times New Roman"/>
                <w:b/>
                <w:i/>
                <w:iCs/>
                <w:color w:val="auto"/>
                <w:sz w:val="20"/>
                <w:szCs w:val="20"/>
                <w:highlight w:val="none"/>
              </w:rPr>
              <w:t>X</w:t>
            </w:r>
          </w:p>
        </w:tc>
        <w:tc>
          <w:tcPr>
            <w:tcW w:w="274" w:type="pct"/>
            <w:tcBorders>
              <w:tl2br w:val="nil"/>
              <w:tr2bl w:val="nil"/>
            </w:tcBorders>
            <w:noWrap w:val="0"/>
            <w:vAlign w:val="center"/>
          </w:tcPr>
          <w:p>
            <w:pPr>
              <w:jc w:val="center"/>
              <w:rPr>
                <w:rFonts w:ascii="Times New Roman" w:hAnsi="Times New Roman" w:cs="Times New Roman"/>
                <w:b/>
                <w:i/>
                <w:iCs/>
                <w:color w:val="auto"/>
                <w:sz w:val="20"/>
                <w:szCs w:val="20"/>
                <w:highlight w:val="none"/>
              </w:rPr>
            </w:pPr>
            <w:r>
              <w:rPr>
                <w:rFonts w:ascii="Times New Roman" w:hAnsi="Times New Roman" w:cs="Times New Roman"/>
                <w:b/>
                <w:i/>
                <w:iCs/>
                <w:color w:val="auto"/>
                <w:sz w:val="20"/>
                <w:szCs w:val="20"/>
                <w:highlight w:val="none"/>
              </w:rPr>
              <w:t>Y</w:t>
            </w:r>
          </w:p>
        </w:tc>
        <w:tc>
          <w:tcPr>
            <w:tcW w:w="384"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rPr>
            </w:pPr>
          </w:p>
        </w:tc>
        <w:tc>
          <w:tcPr>
            <w:tcW w:w="438"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rPr>
            </w:pPr>
          </w:p>
        </w:tc>
        <w:tc>
          <w:tcPr>
            <w:tcW w:w="384"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rPr>
            </w:pPr>
          </w:p>
        </w:tc>
        <w:tc>
          <w:tcPr>
            <w:tcW w:w="328"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rPr>
            </w:pPr>
          </w:p>
        </w:tc>
        <w:tc>
          <w:tcPr>
            <w:tcW w:w="438"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rPr>
            </w:pPr>
          </w:p>
        </w:tc>
        <w:tc>
          <w:tcPr>
            <w:tcW w:w="329"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rPr>
            </w:pPr>
          </w:p>
        </w:tc>
        <w:tc>
          <w:tcPr>
            <w:tcW w:w="328"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rPr>
            </w:pPr>
          </w:p>
        </w:tc>
        <w:tc>
          <w:tcPr>
            <w:tcW w:w="494" w:type="pct"/>
            <w:tcBorders>
              <w:tl2br w:val="nil"/>
              <w:tr2bl w:val="nil"/>
            </w:tcBorders>
            <w:noWrap w:val="0"/>
            <w:vAlign w:val="center"/>
          </w:tcPr>
          <w:p>
            <w:pPr>
              <w:jc w:val="center"/>
              <w:rPr>
                <w:rFonts w:ascii="Times New Roman" w:hAnsi="Times New Roman" w:cs="Times New Roman"/>
                <w:b/>
                <w:color w:val="auto"/>
                <w:sz w:val="20"/>
                <w:szCs w:val="20"/>
                <w:highlight w:val="none"/>
              </w:rPr>
            </w:pPr>
            <w:r>
              <w:rPr>
                <w:rFonts w:hint="eastAsia" w:ascii="Times New Roman" w:hAnsi="Times New Roman" w:cs="Times New Roman"/>
                <w:b/>
                <w:bCs/>
                <w:color w:val="auto"/>
                <w:sz w:val="20"/>
                <w:szCs w:val="20"/>
                <w:highlight w:val="none"/>
              </w:rPr>
              <w:t>VOCs</w:t>
            </w:r>
          </w:p>
        </w:tc>
        <w:tc>
          <w:tcPr>
            <w:tcW w:w="330" w:type="pct"/>
            <w:tcBorders>
              <w:tl2br w:val="nil"/>
              <w:tr2bl w:val="nil"/>
            </w:tcBorders>
            <w:noWrap w:val="0"/>
            <w:vAlign w:val="center"/>
          </w:tcPr>
          <w:p>
            <w:pPr>
              <w:jc w:val="center"/>
              <w:rPr>
                <w:rFonts w:hint="eastAsia" w:ascii="Times New Roman" w:hAnsi="Times New Roman" w:eastAsia="宋体" w:cs="Times New Roman"/>
                <w:b/>
                <w:color w:val="auto"/>
                <w:sz w:val="20"/>
                <w:szCs w:val="20"/>
                <w:highlight w:val="none"/>
                <w:lang w:eastAsia="zh-CN"/>
              </w:rPr>
            </w:pPr>
            <w:r>
              <w:rPr>
                <w:rFonts w:hint="eastAsia" w:ascii="Times New Roman" w:hAnsi="Times New Roman" w:cs="Times New Roman"/>
                <w:b/>
                <w:bCs/>
                <w:color w:val="auto"/>
                <w:sz w:val="20"/>
                <w:szCs w:val="20"/>
                <w:highlight w:val="none"/>
                <w:lang w:val="en-US" w:eastAsia="zh-CN"/>
              </w:rPr>
              <w:t>甲醇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78" w:type="pct"/>
            <w:tcBorders>
              <w:tl2br w:val="nil"/>
              <w:tr2bl w:val="nil"/>
            </w:tcBorders>
            <w:noWrap w:val="0"/>
            <w:vAlign w:val="center"/>
          </w:tcPr>
          <w:p>
            <w:pPr>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1</w:t>
            </w:r>
          </w:p>
        </w:tc>
        <w:tc>
          <w:tcPr>
            <w:tcW w:w="714" w:type="pct"/>
            <w:tcBorders>
              <w:tl2br w:val="nil"/>
              <w:tr2bl w:val="nil"/>
            </w:tcBorders>
            <w:noWrap w:val="0"/>
            <w:vAlign w:val="center"/>
          </w:tcPr>
          <w:p>
            <w:pPr>
              <w:jc w:val="center"/>
              <w:rPr>
                <w:rFonts w:ascii="Times New Roman" w:hAnsi="Times New Roman" w:cs="Times New Roman"/>
                <w:color w:val="auto"/>
                <w:sz w:val="20"/>
                <w:szCs w:val="20"/>
                <w:highlight w:val="none"/>
              </w:rPr>
            </w:pPr>
            <w:r>
              <w:rPr>
                <w:rFonts w:hint="eastAsia" w:ascii="Times New Roman" w:hAnsi="Times New Roman" w:cs="Times New Roman"/>
                <w:color w:val="auto"/>
                <w:sz w:val="20"/>
                <w:szCs w:val="20"/>
                <w:highlight w:val="none"/>
                <w:lang w:val="en-US" w:eastAsia="zh-CN"/>
              </w:rPr>
              <w:t>装置</w:t>
            </w:r>
            <w:r>
              <w:rPr>
                <w:rFonts w:hint="eastAsia" w:ascii="Times New Roman" w:hAnsi="Times New Roman" w:cs="Times New Roman"/>
                <w:color w:val="auto"/>
                <w:sz w:val="20"/>
                <w:szCs w:val="20"/>
                <w:highlight w:val="none"/>
              </w:rPr>
              <w:t>无组织废气</w:t>
            </w:r>
          </w:p>
        </w:tc>
        <w:tc>
          <w:tcPr>
            <w:tcW w:w="274" w:type="pct"/>
            <w:tcBorders>
              <w:tl2br w:val="nil"/>
              <w:tr2bl w:val="nil"/>
            </w:tcBorders>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18</w:t>
            </w:r>
          </w:p>
        </w:tc>
        <w:tc>
          <w:tcPr>
            <w:tcW w:w="274" w:type="pct"/>
            <w:tcBorders>
              <w:tl2br w:val="nil"/>
              <w:tr2bl w:val="nil"/>
            </w:tcBorders>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105</w:t>
            </w:r>
          </w:p>
        </w:tc>
        <w:tc>
          <w:tcPr>
            <w:tcW w:w="384" w:type="pct"/>
            <w:tcBorders>
              <w:tl2br w:val="nil"/>
              <w:tr2bl w:val="nil"/>
            </w:tcBorders>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35</w:t>
            </w:r>
          </w:p>
        </w:tc>
        <w:tc>
          <w:tcPr>
            <w:tcW w:w="438" w:type="pct"/>
            <w:tcBorders>
              <w:tl2br w:val="nil"/>
              <w:tr2bl w:val="nil"/>
            </w:tcBorders>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20</w:t>
            </w:r>
          </w:p>
        </w:tc>
        <w:tc>
          <w:tcPr>
            <w:tcW w:w="384" w:type="pct"/>
            <w:tcBorders>
              <w:tl2br w:val="nil"/>
              <w:tr2bl w:val="nil"/>
            </w:tcBorders>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30</w:t>
            </w:r>
          </w:p>
        </w:tc>
        <w:tc>
          <w:tcPr>
            <w:tcW w:w="328" w:type="pct"/>
            <w:tcBorders>
              <w:tl2br w:val="nil"/>
              <w:tr2bl w:val="nil"/>
            </w:tcBorders>
            <w:noWrap w:val="0"/>
            <w:vAlign w:val="center"/>
          </w:tcPr>
          <w:p>
            <w:pPr>
              <w:jc w:val="center"/>
              <w:rPr>
                <w:rFonts w:hint="eastAsia" w:ascii="Times New Roman" w:hAnsi="Times New Roman" w:eastAsia="宋体" w:cs="Times New Roman"/>
                <w:color w:val="auto"/>
                <w:sz w:val="20"/>
                <w:szCs w:val="20"/>
                <w:highlight w:val="none"/>
                <w:lang w:eastAsia="zh-CN"/>
              </w:rPr>
            </w:pPr>
            <w:r>
              <w:rPr>
                <w:rFonts w:ascii="Times New Roman" w:hAnsi="Times New Roman" w:cs="Times New Roman"/>
                <w:color w:val="auto"/>
                <w:sz w:val="20"/>
                <w:szCs w:val="20"/>
                <w:highlight w:val="none"/>
              </w:rPr>
              <w:t>-</w:t>
            </w:r>
            <w:r>
              <w:rPr>
                <w:rFonts w:hint="eastAsia" w:ascii="Times New Roman" w:hAnsi="Times New Roman" w:cs="Times New Roman"/>
                <w:color w:val="auto"/>
                <w:sz w:val="20"/>
                <w:szCs w:val="20"/>
                <w:highlight w:val="none"/>
                <w:lang w:val="en-US" w:eastAsia="zh-CN"/>
              </w:rPr>
              <w:t>1</w:t>
            </w:r>
          </w:p>
        </w:tc>
        <w:tc>
          <w:tcPr>
            <w:tcW w:w="438" w:type="pct"/>
            <w:tcBorders>
              <w:tl2br w:val="nil"/>
              <w:tr2bl w:val="nil"/>
            </w:tcBorders>
            <w:noWrap w:val="0"/>
            <w:vAlign w:val="center"/>
          </w:tcPr>
          <w:p>
            <w:pPr>
              <w:jc w:val="center"/>
              <w:rPr>
                <w:rFonts w:hint="eastAsia" w:ascii="Times New Roman" w:hAnsi="Times New Roman" w:eastAsia="宋体" w:cs="Times New Roman"/>
                <w:color w:val="auto"/>
                <w:sz w:val="20"/>
                <w:szCs w:val="20"/>
                <w:highlight w:val="none"/>
                <w:lang w:eastAsia="zh-CN"/>
              </w:rPr>
            </w:pPr>
            <w:r>
              <w:rPr>
                <w:rFonts w:hint="eastAsia" w:ascii="Times New Roman" w:hAnsi="Times New Roman" w:cs="Times New Roman"/>
                <w:color w:val="auto"/>
                <w:sz w:val="20"/>
                <w:szCs w:val="20"/>
                <w:highlight w:val="none"/>
                <w:lang w:val="en-US" w:eastAsia="zh-CN"/>
              </w:rPr>
              <w:t>5</w:t>
            </w:r>
          </w:p>
        </w:tc>
        <w:tc>
          <w:tcPr>
            <w:tcW w:w="329" w:type="pct"/>
            <w:tcBorders>
              <w:tl2br w:val="nil"/>
              <w:tr2bl w:val="nil"/>
            </w:tcBorders>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7920</w:t>
            </w:r>
          </w:p>
        </w:tc>
        <w:tc>
          <w:tcPr>
            <w:tcW w:w="328" w:type="pct"/>
            <w:tcBorders>
              <w:tl2br w:val="nil"/>
              <w:tr2bl w:val="nil"/>
            </w:tcBorders>
            <w:noWrap w:val="0"/>
            <w:vAlign w:val="center"/>
          </w:tcPr>
          <w:p>
            <w:pPr>
              <w:ind w:left="-105" w:leftChars="-50" w:right="-105" w:rightChars="-50"/>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正常排放</w:t>
            </w:r>
          </w:p>
        </w:tc>
        <w:tc>
          <w:tcPr>
            <w:tcW w:w="494" w:type="pct"/>
            <w:tcBorders>
              <w:tl2br w:val="nil"/>
              <w:tr2bl w:val="nil"/>
            </w:tcBorders>
            <w:noWrap w:val="0"/>
            <w:vAlign w:val="center"/>
          </w:tcPr>
          <w:p>
            <w:pPr>
              <w:widowControl/>
              <w:jc w:val="center"/>
              <w:rPr>
                <w:rFonts w:ascii="Times New Roman" w:hAnsi="Times New Roman" w:eastAsia="等线" w:cs="Times New Roman"/>
                <w:color w:val="auto"/>
                <w:kern w:val="0"/>
                <w:sz w:val="20"/>
                <w:szCs w:val="20"/>
                <w:highlight w:val="none"/>
              </w:rPr>
            </w:pPr>
            <w:r>
              <w:rPr>
                <w:rFonts w:ascii="Times New Roman" w:hAnsi="Times New Roman" w:eastAsia="等线" w:cs="Times New Roman"/>
                <w:color w:val="auto"/>
                <w:kern w:val="0"/>
                <w:sz w:val="20"/>
                <w:szCs w:val="20"/>
                <w:highlight w:val="none"/>
              </w:rPr>
              <w:t>0.93</w:t>
            </w:r>
          </w:p>
        </w:tc>
        <w:tc>
          <w:tcPr>
            <w:tcW w:w="330" w:type="pct"/>
            <w:tcBorders>
              <w:tl2br w:val="nil"/>
              <w:tr2bl w:val="nil"/>
            </w:tcBorders>
            <w:noWrap w:val="0"/>
            <w:vAlign w:val="center"/>
          </w:tcPr>
          <w:p>
            <w:pPr>
              <w:widowControl/>
              <w:jc w:val="center"/>
              <w:rPr>
                <w:rFonts w:ascii="Times New Roman" w:hAnsi="Times New Roman" w:eastAsia="等线" w:cs="Times New Roman"/>
                <w:color w:val="auto"/>
                <w:kern w:val="0"/>
                <w:sz w:val="20"/>
                <w:szCs w:val="20"/>
                <w:highlight w:val="none"/>
              </w:rPr>
            </w:pPr>
            <w:r>
              <w:rPr>
                <w:rFonts w:hint="eastAsia" w:ascii="Times New Roman" w:hAnsi="Times New Roman" w:eastAsia="等线" w:cs="Times New Roman"/>
                <w:color w:val="auto"/>
                <w:kern w:val="0"/>
                <w:sz w:val="20"/>
                <w:szCs w:val="20"/>
                <w:highlight w:val="none"/>
              </w:rPr>
              <w:t>0</w:t>
            </w:r>
            <w:r>
              <w:rPr>
                <w:rFonts w:ascii="Times New Roman" w:hAnsi="Times New Roman" w:eastAsia="等线" w:cs="Times New Roman"/>
                <w:color w:val="auto"/>
                <w:kern w:val="0"/>
                <w:sz w:val="20"/>
                <w:szCs w:val="20"/>
                <w:highlight w:val="none"/>
              </w:rPr>
              <w:t>.002</w:t>
            </w:r>
          </w:p>
        </w:tc>
      </w:tr>
    </w:tbl>
    <w:p>
      <w:pPr>
        <w:spacing w:before="156" w:beforeLines="50" w:line="360" w:lineRule="auto"/>
        <w:ind w:firstLine="504" w:firstLineChars="200"/>
        <w:rPr>
          <w:color w:val="auto"/>
          <w:spacing w:val="6"/>
          <w:kern w:val="0"/>
          <w:sz w:val="24"/>
        </w:rPr>
      </w:pPr>
    </w:p>
    <w:p>
      <w:pPr>
        <w:spacing w:before="156" w:beforeLines="50" w:line="360" w:lineRule="auto"/>
        <w:ind w:firstLine="504" w:firstLineChars="200"/>
        <w:rPr>
          <w:color w:val="auto"/>
          <w:spacing w:val="6"/>
          <w:kern w:val="0"/>
          <w:sz w:val="24"/>
        </w:rPr>
        <w:sectPr>
          <w:pgSz w:w="11906" w:h="16838"/>
          <w:pgMar w:top="1440" w:right="1797" w:bottom="1440" w:left="1797" w:header="794" w:footer="964" w:gutter="0"/>
          <w:pgBorders>
            <w:top w:val="none" w:sz="0" w:space="0"/>
            <w:left w:val="none" w:sz="0" w:space="0"/>
            <w:bottom w:val="none" w:sz="0" w:space="0"/>
            <w:right w:val="none" w:sz="0" w:space="0"/>
          </w:pgBorders>
          <w:pgNumType w:fmt="numberInDash"/>
          <w:cols w:space="720" w:num="1"/>
          <w:docGrid w:type="linesAndChars" w:linePitch="312" w:charSpace="0"/>
        </w:sectPr>
      </w:pPr>
    </w:p>
    <w:p>
      <w:pPr>
        <w:spacing w:before="156" w:beforeLines="50" w:line="360" w:lineRule="auto"/>
        <w:ind w:firstLine="504" w:firstLineChars="200"/>
        <w:rPr>
          <w:color w:val="auto"/>
          <w:spacing w:val="6"/>
          <w:kern w:val="0"/>
          <w:sz w:val="24"/>
          <w:u w:val="single"/>
        </w:rPr>
      </w:pPr>
      <w:r>
        <w:rPr>
          <w:color w:val="auto"/>
          <w:spacing w:val="6"/>
          <w:kern w:val="0"/>
          <w:sz w:val="24"/>
          <w:u w:val="single"/>
        </w:rPr>
        <w:t>本项目主要污染源估算模型计算结果见下表。</w:t>
      </w:r>
    </w:p>
    <w:p>
      <w:pPr>
        <w:pStyle w:val="36"/>
        <w:bidi w:val="0"/>
        <w:rPr>
          <w:rFonts w:ascii="Times New Roman" w:hAnsi="Times New Roman" w:cs="Times New Roman"/>
          <w:color w:val="auto"/>
        </w:rPr>
      </w:pPr>
      <w:r>
        <w:rPr>
          <w:rFonts w:ascii="Times New Roman" w:hAnsi="Times New Roman" w:cs="Times New Roman"/>
          <w:color w:val="auto"/>
        </w:rPr>
        <w:t>表</w:t>
      </w:r>
      <w:r>
        <w:rPr>
          <w:rFonts w:hint="eastAsia" w:ascii="Times New Roman" w:hAnsi="Times New Roman" w:cs="Times New Roman"/>
          <w:color w:val="auto"/>
          <w:lang w:val="en-US" w:eastAsia="zh-CN"/>
        </w:rPr>
        <w:t>2.5</w:t>
      </w:r>
      <w:r>
        <w:rPr>
          <w:rFonts w:ascii="Times New Roman" w:hAnsi="Times New Roman" w:cs="Times New Roman"/>
          <w:color w:val="auto"/>
        </w:rPr>
        <w:t>-5   项目排放主要污染物估算模型计算结果表</w:t>
      </w:r>
    </w:p>
    <w:tbl>
      <w:tblPr>
        <w:tblStyle w:val="27"/>
        <w:tblW w:w="87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275"/>
        <w:gridCol w:w="1701"/>
        <w:gridCol w:w="1134"/>
        <w:gridCol w:w="1418"/>
        <w:gridCol w:w="1010"/>
      </w:tblGrid>
      <w:tr>
        <w:trPr>
          <w:trHeight w:val="340" w:hRule="atLeast"/>
          <w:jc w:val="center"/>
        </w:trPr>
        <w:tc>
          <w:tcPr>
            <w:tcW w:w="3510" w:type="dxa"/>
            <w:gridSpan w:val="3"/>
            <w:noWrap w:val="0"/>
            <w:vAlign w:val="center"/>
          </w:tcPr>
          <w:p>
            <w:pPr>
              <w:adjustRightInd w:val="0"/>
              <w:snapToGrid w:val="0"/>
              <w:jc w:val="center"/>
              <w:rPr>
                <w:rFonts w:hint="default" w:ascii="Times New Roman" w:hAnsi="Times New Roman" w:cs="Times New Roman"/>
                <w:snapToGrid w:val="0"/>
                <w:color w:val="auto"/>
                <w:szCs w:val="21"/>
                <w:u w:val="single"/>
              </w:rPr>
            </w:pPr>
            <w:r>
              <w:rPr>
                <w:rFonts w:hint="default" w:ascii="Times New Roman" w:hAnsi="Times New Roman" w:cs="Times New Roman"/>
                <w:snapToGrid w:val="0"/>
                <w:color w:val="auto"/>
                <w:szCs w:val="21"/>
                <w:u w:val="single"/>
              </w:rPr>
              <w:t>评价因子</w:t>
            </w:r>
          </w:p>
        </w:tc>
        <w:tc>
          <w:tcPr>
            <w:tcW w:w="1701" w:type="dxa"/>
            <w:noWrap w:val="0"/>
            <w:vAlign w:val="center"/>
          </w:tcPr>
          <w:p>
            <w:pPr>
              <w:widowControl w:val="0"/>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C</w:t>
            </w:r>
            <w:r>
              <w:rPr>
                <w:rFonts w:hint="default" w:ascii="Times New Roman" w:hAnsi="Times New Roman" w:cs="Times New Roman"/>
                <w:color w:val="auto"/>
                <w:szCs w:val="21"/>
                <w:u w:val="single"/>
                <w:vertAlign w:val="subscript"/>
              </w:rPr>
              <w:t>max</w:t>
            </w:r>
            <w:r>
              <w:rPr>
                <w:rFonts w:hint="default" w:ascii="Times New Roman" w:hAnsi="Times New Roman" w:cs="Times New Roman"/>
                <w:color w:val="auto"/>
                <w:szCs w:val="21"/>
                <w:u w:val="single"/>
              </w:rPr>
              <w:t>预测质量浓度/（mg/m</w:t>
            </w:r>
            <w:r>
              <w:rPr>
                <w:rFonts w:hint="default" w:ascii="Times New Roman" w:hAnsi="Times New Roman" w:cs="Times New Roman"/>
                <w:color w:val="auto"/>
                <w:szCs w:val="21"/>
                <w:u w:val="single"/>
                <w:vertAlign w:val="superscript"/>
              </w:rPr>
              <w:t>3</w:t>
            </w:r>
            <w:r>
              <w:rPr>
                <w:rFonts w:hint="default" w:ascii="Times New Roman" w:hAnsi="Times New Roman" w:cs="Times New Roman"/>
                <w:color w:val="auto"/>
                <w:szCs w:val="21"/>
                <w:u w:val="single"/>
              </w:rPr>
              <w:t>）</w:t>
            </w:r>
          </w:p>
        </w:tc>
        <w:tc>
          <w:tcPr>
            <w:tcW w:w="1134" w:type="dxa"/>
            <w:tcBorders>
              <w:right w:val="single" w:color="000000" w:sz="4" w:space="0"/>
            </w:tcBorders>
            <w:noWrap w:val="0"/>
            <w:vAlign w:val="center"/>
          </w:tcPr>
          <w:p>
            <w:pPr>
              <w:widowControl w:val="0"/>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P</w:t>
            </w:r>
            <w:r>
              <w:rPr>
                <w:rFonts w:hint="default" w:ascii="Times New Roman" w:hAnsi="Times New Roman" w:cs="Times New Roman"/>
                <w:color w:val="auto"/>
                <w:szCs w:val="21"/>
                <w:u w:val="single"/>
                <w:vertAlign w:val="subscript"/>
              </w:rPr>
              <w:t>max</w:t>
            </w:r>
            <w:r>
              <w:rPr>
                <w:rFonts w:hint="default" w:ascii="Times New Roman" w:hAnsi="Times New Roman" w:cs="Times New Roman"/>
                <w:color w:val="auto"/>
                <w:szCs w:val="21"/>
                <w:u w:val="single"/>
              </w:rPr>
              <w:t>占标率/%</w:t>
            </w:r>
          </w:p>
        </w:tc>
        <w:tc>
          <w:tcPr>
            <w:tcW w:w="1418" w:type="dxa"/>
            <w:tcBorders>
              <w:right w:val="single" w:color="000000" w:sz="4" w:space="0"/>
            </w:tcBorders>
            <w:noWrap w:val="0"/>
            <w:vAlign w:val="center"/>
          </w:tcPr>
          <w:p>
            <w:pPr>
              <w:adjustRightInd w:val="0"/>
              <w:snapToGrid w:val="0"/>
              <w:jc w:val="center"/>
              <w:rPr>
                <w:rFonts w:hint="default" w:ascii="Times New Roman" w:hAnsi="Times New Roman" w:cs="Times New Roman"/>
                <w:snapToGrid w:val="0"/>
                <w:color w:val="auto"/>
                <w:szCs w:val="21"/>
                <w:u w:val="single"/>
              </w:rPr>
            </w:pPr>
            <w:r>
              <w:rPr>
                <w:rFonts w:hint="default" w:ascii="Times New Roman" w:hAnsi="Times New Roman" w:cs="Times New Roman"/>
                <w:color w:val="auto"/>
                <w:szCs w:val="21"/>
                <w:u w:val="single"/>
              </w:rPr>
              <w:t>下风向最大质量浓度出现距离m</w:t>
            </w:r>
          </w:p>
        </w:tc>
        <w:tc>
          <w:tcPr>
            <w:tcW w:w="1010" w:type="dxa"/>
            <w:tcBorders>
              <w:left w:val="single" w:color="000000" w:sz="4" w:space="0"/>
            </w:tcBorders>
            <w:noWrap w:val="0"/>
            <w:vAlign w:val="center"/>
          </w:tcPr>
          <w:p>
            <w:pPr>
              <w:adjustRightInd w:val="0"/>
              <w:snapToGrid w:val="0"/>
              <w:jc w:val="center"/>
              <w:rPr>
                <w:rFonts w:hint="default" w:ascii="Times New Roman" w:hAnsi="Times New Roman" w:cs="Times New Roman"/>
                <w:snapToGrid w:val="0"/>
                <w:color w:val="auto"/>
                <w:szCs w:val="21"/>
                <w:u w:val="single"/>
              </w:rPr>
            </w:pPr>
            <w:r>
              <w:rPr>
                <w:rFonts w:hint="default" w:ascii="Times New Roman" w:hAnsi="Times New Roman" w:cs="Times New Roman"/>
                <w:snapToGrid w:val="0"/>
                <w:color w:val="auto"/>
                <w:szCs w:val="21"/>
                <w:u w:val="single"/>
              </w:rPr>
              <w:t>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75" w:type="dxa"/>
            <w:vMerge w:val="restart"/>
            <w:noWrap w:val="0"/>
            <w:vAlign w:val="center"/>
          </w:tcPr>
          <w:p>
            <w:pPr>
              <w:adjustRightInd w:val="0"/>
              <w:snapToGrid w:val="0"/>
              <w:jc w:val="center"/>
              <w:rPr>
                <w:rFonts w:hint="default" w:ascii="Times New Roman" w:hAnsi="Times New Roman" w:cs="Times New Roman"/>
                <w:snapToGrid w:val="0"/>
                <w:color w:val="auto"/>
                <w:szCs w:val="21"/>
                <w:u w:val="single"/>
              </w:rPr>
            </w:pPr>
            <w:r>
              <w:rPr>
                <w:rFonts w:hint="default" w:ascii="Times New Roman" w:hAnsi="Times New Roman" w:cs="Times New Roman"/>
                <w:snapToGrid w:val="0"/>
                <w:color w:val="auto"/>
                <w:szCs w:val="21"/>
                <w:u w:val="single"/>
              </w:rPr>
              <w:t>有组织</w:t>
            </w:r>
          </w:p>
        </w:tc>
        <w:tc>
          <w:tcPr>
            <w:tcW w:w="1560" w:type="dxa"/>
            <w:vMerge w:val="restart"/>
            <w:noWrap w:val="0"/>
            <w:vAlign w:val="center"/>
          </w:tcPr>
          <w:p>
            <w:pPr>
              <w:adjustRightInd w:val="0"/>
              <w:snapToGrid w:val="0"/>
              <w:jc w:val="center"/>
              <w:rPr>
                <w:rFonts w:hint="default" w:ascii="Times New Roman" w:hAnsi="Times New Roman" w:cs="Times New Roman"/>
                <w:snapToGrid w:val="0"/>
                <w:color w:val="auto"/>
                <w:szCs w:val="21"/>
                <w:u w:val="single"/>
              </w:rPr>
            </w:pPr>
            <w:r>
              <w:rPr>
                <w:rFonts w:hint="default" w:ascii="Times New Roman" w:hAnsi="Times New Roman" w:cs="Times New Roman"/>
                <w:color w:val="auto"/>
                <w:szCs w:val="21"/>
                <w:u w:val="single"/>
              </w:rPr>
              <w:t>P1</w:t>
            </w:r>
            <w:r>
              <w:rPr>
                <w:rFonts w:hint="eastAsia" w:ascii="Times New Roman" w:hAnsi="Times New Roman" w:cs="Times New Roman"/>
                <w:color w:val="auto"/>
                <w:szCs w:val="21"/>
                <w:u w:val="single"/>
                <w:lang w:val="en-US" w:eastAsia="zh-CN"/>
              </w:rPr>
              <w:t>工艺</w:t>
            </w:r>
            <w:r>
              <w:rPr>
                <w:rFonts w:hint="default" w:ascii="Times New Roman" w:hAnsi="Times New Roman" w:cs="Times New Roman"/>
                <w:color w:val="auto"/>
                <w:szCs w:val="21"/>
                <w:u w:val="single"/>
              </w:rPr>
              <w:t>废气排气筒</w:t>
            </w:r>
          </w:p>
        </w:tc>
        <w:tc>
          <w:tcPr>
            <w:tcW w:w="1275" w:type="dxa"/>
            <w:noWrap w:val="0"/>
            <w:vAlign w:val="center"/>
          </w:tcPr>
          <w:p>
            <w:pPr>
              <w:pStyle w:val="8"/>
              <w:spacing w:line="240" w:lineRule="auto"/>
              <w:ind w:firstLine="0"/>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VOCs</w:t>
            </w:r>
          </w:p>
        </w:tc>
        <w:tc>
          <w:tcPr>
            <w:tcW w:w="1701" w:type="dxa"/>
            <w:noWrap w:val="0"/>
            <w:vAlign w:val="center"/>
          </w:tcPr>
          <w:p>
            <w:pPr>
              <w:adjustRightInd w:val="0"/>
              <w:snapToGrid w:val="0"/>
              <w:jc w:val="center"/>
              <w:rPr>
                <w:rFonts w:hint="default" w:ascii="Times New Roman" w:hAnsi="Times New Roman" w:eastAsia="宋体" w:cs="Times New Roman"/>
                <w:snapToGrid w:val="0"/>
                <w:color w:val="auto"/>
                <w:szCs w:val="21"/>
                <w:u w:val="single"/>
                <w:lang w:val="en-US" w:eastAsia="zh-CN"/>
              </w:rPr>
            </w:pPr>
            <w:r>
              <w:rPr>
                <w:rFonts w:hint="eastAsia" w:ascii="Times New Roman" w:hAnsi="Times New Roman" w:cs="Times New Roman"/>
                <w:snapToGrid w:val="0"/>
                <w:color w:val="auto"/>
                <w:szCs w:val="21"/>
                <w:u w:val="single"/>
                <w:lang w:val="en-US" w:eastAsia="zh-CN"/>
              </w:rPr>
              <w:t>0.010901</w:t>
            </w:r>
          </w:p>
        </w:tc>
        <w:tc>
          <w:tcPr>
            <w:tcW w:w="1134" w:type="dxa"/>
            <w:tcBorders>
              <w:right w:val="single" w:color="000000" w:sz="4" w:space="0"/>
            </w:tcBorders>
            <w:noWrap w:val="0"/>
            <w:vAlign w:val="center"/>
          </w:tcPr>
          <w:p>
            <w:pPr>
              <w:adjustRightInd w:val="0"/>
              <w:snapToGrid w:val="0"/>
              <w:jc w:val="center"/>
              <w:rPr>
                <w:rFonts w:hint="default" w:ascii="Times New Roman" w:hAnsi="Times New Roman" w:eastAsia="宋体" w:cs="Times New Roman"/>
                <w:snapToGrid w:val="0"/>
                <w:color w:val="auto"/>
                <w:szCs w:val="21"/>
                <w:u w:val="single"/>
                <w:lang w:val="en-US" w:eastAsia="zh-CN"/>
              </w:rPr>
            </w:pPr>
            <w:r>
              <w:rPr>
                <w:rFonts w:hint="eastAsia" w:ascii="Times New Roman" w:hAnsi="Times New Roman" w:cs="Times New Roman"/>
                <w:snapToGrid w:val="0"/>
                <w:color w:val="auto"/>
                <w:szCs w:val="21"/>
                <w:u w:val="single"/>
                <w:lang w:val="en-US" w:eastAsia="zh-CN"/>
              </w:rPr>
              <w:t>1.51</w:t>
            </w:r>
          </w:p>
        </w:tc>
        <w:tc>
          <w:tcPr>
            <w:tcW w:w="1418" w:type="dxa"/>
            <w:vMerge w:val="restart"/>
            <w:tcBorders>
              <w:right w:val="single" w:color="000000" w:sz="4" w:space="0"/>
            </w:tcBorders>
            <w:noWrap w:val="0"/>
            <w:vAlign w:val="center"/>
          </w:tcPr>
          <w:p>
            <w:pPr>
              <w:widowControl w:val="0"/>
              <w:adjustRightInd w:val="0"/>
              <w:snapToGrid w:val="0"/>
              <w:jc w:val="center"/>
              <w:rPr>
                <w:rFonts w:hint="default" w:ascii="Times New Roman" w:hAnsi="Times New Roman" w:eastAsia="宋体" w:cs="Times New Roman"/>
                <w:bCs/>
                <w:color w:val="auto"/>
                <w:szCs w:val="21"/>
                <w:u w:val="single"/>
                <w:lang w:val="en-US" w:eastAsia="zh-CN"/>
              </w:rPr>
            </w:pPr>
            <w:r>
              <w:rPr>
                <w:rFonts w:hint="eastAsia" w:ascii="Times New Roman" w:hAnsi="Times New Roman" w:cs="Times New Roman"/>
                <w:bCs/>
                <w:color w:val="auto"/>
                <w:szCs w:val="21"/>
                <w:u w:val="single"/>
                <w:lang w:val="en-US" w:eastAsia="zh-CN"/>
              </w:rPr>
              <w:t>23</w:t>
            </w:r>
          </w:p>
        </w:tc>
        <w:tc>
          <w:tcPr>
            <w:tcW w:w="1010" w:type="dxa"/>
            <w:vMerge w:val="restart"/>
            <w:tcBorders>
              <w:left w:val="single" w:color="000000" w:sz="4" w:space="0"/>
            </w:tcBorders>
            <w:noWrap w:val="0"/>
            <w:vAlign w:val="center"/>
          </w:tcPr>
          <w:p>
            <w:pPr>
              <w:adjustRightInd w:val="0"/>
              <w:snapToGrid w:val="0"/>
              <w:jc w:val="center"/>
              <w:rPr>
                <w:rFonts w:hint="default" w:ascii="Times New Roman" w:hAnsi="Times New Roman" w:cs="Times New Roman"/>
                <w:snapToGrid w:val="0"/>
                <w:color w:val="auto"/>
                <w:szCs w:val="21"/>
                <w:u w:val="single"/>
              </w:rPr>
            </w:pPr>
            <w:r>
              <w:rPr>
                <w:rFonts w:hint="default" w:ascii="Times New Roman" w:hAnsi="Times New Roman" w:cs="Times New Roman"/>
                <w:snapToGrid w:val="0"/>
                <w:color w:val="auto"/>
                <w:szCs w:val="21"/>
                <w:u w:val="single"/>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75" w:type="dxa"/>
            <w:vMerge w:val="continue"/>
            <w:noWrap w:val="0"/>
            <w:vAlign w:val="center"/>
          </w:tcPr>
          <w:p>
            <w:pPr>
              <w:adjustRightInd w:val="0"/>
              <w:snapToGrid w:val="0"/>
              <w:jc w:val="center"/>
              <w:rPr>
                <w:rFonts w:hint="default" w:ascii="Times New Roman" w:hAnsi="Times New Roman" w:cs="Times New Roman"/>
                <w:snapToGrid w:val="0"/>
                <w:color w:val="auto"/>
                <w:szCs w:val="21"/>
                <w:u w:val="single"/>
              </w:rPr>
            </w:pPr>
          </w:p>
        </w:tc>
        <w:tc>
          <w:tcPr>
            <w:tcW w:w="1560" w:type="dxa"/>
            <w:vMerge w:val="continue"/>
            <w:noWrap w:val="0"/>
            <w:vAlign w:val="center"/>
          </w:tcPr>
          <w:p>
            <w:pPr>
              <w:adjustRightInd w:val="0"/>
              <w:snapToGrid w:val="0"/>
              <w:jc w:val="center"/>
              <w:rPr>
                <w:rFonts w:hint="default" w:ascii="Times New Roman" w:hAnsi="Times New Roman" w:cs="Times New Roman"/>
                <w:color w:val="auto"/>
                <w:szCs w:val="21"/>
                <w:u w:val="single"/>
              </w:rPr>
            </w:pPr>
          </w:p>
        </w:tc>
        <w:tc>
          <w:tcPr>
            <w:tcW w:w="1275" w:type="dxa"/>
            <w:noWrap w:val="0"/>
            <w:vAlign w:val="center"/>
          </w:tcPr>
          <w:p>
            <w:pPr>
              <w:pStyle w:val="8"/>
              <w:spacing w:line="240" w:lineRule="auto"/>
              <w:ind w:firstLine="0"/>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甲醇</w:t>
            </w:r>
          </w:p>
        </w:tc>
        <w:tc>
          <w:tcPr>
            <w:tcW w:w="1701"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eastAsia" w:ascii="Times New Roman" w:hAnsi="Times New Roman" w:cs="Times New Roman"/>
                <w:snapToGrid w:val="0"/>
                <w:color w:val="auto"/>
                <w:szCs w:val="21"/>
                <w:u w:val="single"/>
                <w:lang w:val="en-US" w:eastAsia="zh-CN"/>
              </w:rPr>
              <w:t>0.004542</w:t>
            </w:r>
          </w:p>
        </w:tc>
        <w:tc>
          <w:tcPr>
            <w:tcW w:w="1134" w:type="dxa"/>
            <w:tcBorders>
              <w:right w:val="single" w:color="000000" w:sz="4" w:space="0"/>
            </w:tcBorders>
            <w:noWrap w:val="0"/>
            <w:vAlign w:val="center"/>
          </w:tcPr>
          <w:p>
            <w:pPr>
              <w:adjustRightInd w:val="0"/>
              <w:snapToGrid w:val="0"/>
              <w:jc w:val="center"/>
              <w:rPr>
                <w:rFonts w:hint="default" w:ascii="Times New Roman" w:hAnsi="Times New Roman" w:eastAsia="宋体" w:cs="Times New Roman"/>
                <w:snapToGrid w:val="0"/>
                <w:color w:val="auto"/>
                <w:szCs w:val="21"/>
                <w:u w:val="single"/>
                <w:lang w:val="en-US" w:eastAsia="zh-CN"/>
              </w:rPr>
            </w:pPr>
            <w:r>
              <w:rPr>
                <w:rFonts w:hint="eastAsia" w:ascii="Times New Roman" w:hAnsi="Times New Roman" w:cs="Times New Roman"/>
                <w:snapToGrid w:val="0"/>
                <w:color w:val="auto"/>
                <w:szCs w:val="21"/>
                <w:u w:val="single"/>
                <w:lang w:val="en-US" w:eastAsia="zh-CN"/>
              </w:rPr>
              <w:t>0.25</w:t>
            </w:r>
          </w:p>
        </w:tc>
        <w:tc>
          <w:tcPr>
            <w:tcW w:w="1418" w:type="dxa"/>
            <w:vMerge w:val="continue"/>
            <w:tcBorders>
              <w:right w:val="single" w:color="000000" w:sz="4" w:space="0"/>
            </w:tcBorders>
            <w:noWrap w:val="0"/>
            <w:vAlign w:val="center"/>
          </w:tcPr>
          <w:p>
            <w:pPr>
              <w:widowControl w:val="0"/>
              <w:adjustRightInd w:val="0"/>
              <w:snapToGrid w:val="0"/>
              <w:jc w:val="center"/>
              <w:rPr>
                <w:rFonts w:hint="default" w:ascii="Times New Roman" w:hAnsi="Times New Roman" w:cs="Times New Roman"/>
                <w:bCs/>
                <w:color w:val="auto"/>
                <w:szCs w:val="21"/>
                <w:u w:val="single"/>
              </w:rPr>
            </w:pPr>
          </w:p>
        </w:tc>
        <w:tc>
          <w:tcPr>
            <w:tcW w:w="1010" w:type="dxa"/>
            <w:vMerge w:val="continue"/>
            <w:tcBorders>
              <w:left w:val="single" w:color="000000" w:sz="4" w:space="0"/>
            </w:tcBorders>
            <w:noWrap w:val="0"/>
            <w:vAlign w:val="center"/>
          </w:tcPr>
          <w:p>
            <w:pPr>
              <w:adjustRightInd w:val="0"/>
              <w:snapToGrid w:val="0"/>
              <w:jc w:val="center"/>
              <w:rPr>
                <w:rFonts w:hint="default" w:ascii="Times New Roman" w:hAnsi="Times New Roman" w:cs="Times New Roman"/>
                <w:snapToGrid w:val="0"/>
                <w:color w:val="auto"/>
                <w:szCs w:val="21"/>
                <w:u w:val="single"/>
              </w:rPr>
            </w:pPr>
          </w:p>
        </w:tc>
      </w:tr>
      <w:tr>
        <w:trPr>
          <w:trHeight w:val="340" w:hRule="atLeast"/>
          <w:jc w:val="center"/>
        </w:trPr>
        <w:tc>
          <w:tcPr>
            <w:tcW w:w="675" w:type="dxa"/>
            <w:vMerge w:val="continue"/>
            <w:noWrap w:val="0"/>
            <w:vAlign w:val="center"/>
          </w:tcPr>
          <w:p>
            <w:pPr>
              <w:adjustRightInd w:val="0"/>
              <w:snapToGrid w:val="0"/>
              <w:jc w:val="center"/>
              <w:rPr>
                <w:rFonts w:hint="default" w:ascii="Times New Roman" w:hAnsi="Times New Roman" w:cs="Times New Roman"/>
                <w:snapToGrid w:val="0"/>
                <w:color w:val="auto"/>
                <w:szCs w:val="21"/>
                <w:u w:val="single"/>
              </w:rPr>
            </w:pPr>
          </w:p>
        </w:tc>
        <w:tc>
          <w:tcPr>
            <w:tcW w:w="1560" w:type="dxa"/>
            <w:vMerge w:val="restart"/>
            <w:noWrap w:val="0"/>
            <w:vAlign w:val="center"/>
          </w:tcPr>
          <w:p>
            <w:pPr>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P</w:t>
            </w:r>
            <w:r>
              <w:rPr>
                <w:rFonts w:hint="eastAsia" w:ascii="Times New Roman" w:hAnsi="Times New Roman" w:cs="Times New Roman"/>
                <w:color w:val="auto"/>
                <w:szCs w:val="21"/>
                <w:u w:val="single"/>
                <w:lang w:val="en-US" w:eastAsia="zh-CN"/>
              </w:rPr>
              <w:t>2储罐废气</w:t>
            </w:r>
            <w:r>
              <w:rPr>
                <w:rFonts w:hint="default" w:ascii="Times New Roman" w:hAnsi="Times New Roman" w:cs="Times New Roman"/>
                <w:color w:val="auto"/>
                <w:szCs w:val="21"/>
                <w:u w:val="single"/>
              </w:rPr>
              <w:t>排气筒</w:t>
            </w:r>
          </w:p>
        </w:tc>
        <w:tc>
          <w:tcPr>
            <w:tcW w:w="1275" w:type="dxa"/>
            <w:noWrap w:val="0"/>
            <w:vAlign w:val="center"/>
          </w:tcPr>
          <w:p>
            <w:pPr>
              <w:pStyle w:val="8"/>
              <w:spacing w:line="240" w:lineRule="auto"/>
              <w:ind w:firstLine="0" w:firstLineChars="0"/>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VOCs</w:t>
            </w:r>
          </w:p>
        </w:tc>
        <w:tc>
          <w:tcPr>
            <w:tcW w:w="1701" w:type="dxa"/>
            <w:noWrap w:val="0"/>
            <w:vAlign w:val="center"/>
          </w:tcPr>
          <w:p>
            <w:pPr>
              <w:adjustRightInd w:val="0"/>
              <w:snapToGrid w:val="0"/>
              <w:jc w:val="center"/>
              <w:rPr>
                <w:rFonts w:hint="default" w:ascii="Times New Roman" w:hAnsi="Times New Roman" w:cs="Times New Roman"/>
                <w:snapToGrid w:val="0"/>
                <w:color w:val="auto"/>
                <w:szCs w:val="21"/>
                <w:u w:val="single"/>
              </w:rPr>
            </w:pPr>
            <w:r>
              <w:rPr>
                <w:rFonts w:hint="default" w:ascii="Times New Roman" w:hAnsi="Times New Roman" w:cs="Times New Roman"/>
                <w:snapToGrid w:val="0"/>
                <w:color w:val="auto"/>
                <w:szCs w:val="21"/>
                <w:u w:val="single"/>
              </w:rPr>
              <w:t>0.006095</w:t>
            </w:r>
          </w:p>
        </w:tc>
        <w:tc>
          <w:tcPr>
            <w:tcW w:w="1134" w:type="dxa"/>
            <w:tcBorders>
              <w:right w:val="single" w:color="000000" w:sz="4" w:space="0"/>
            </w:tcBorders>
            <w:noWrap w:val="0"/>
            <w:vAlign w:val="center"/>
          </w:tcPr>
          <w:p>
            <w:pPr>
              <w:adjustRightInd w:val="0"/>
              <w:snapToGrid w:val="0"/>
              <w:jc w:val="center"/>
              <w:rPr>
                <w:rFonts w:hint="default" w:ascii="Times New Roman" w:hAnsi="Times New Roman" w:eastAsia="宋体" w:cs="Times New Roman"/>
                <w:snapToGrid w:val="0"/>
                <w:color w:val="auto"/>
                <w:szCs w:val="21"/>
                <w:u w:val="single"/>
                <w:lang w:val="en-US" w:eastAsia="zh-CN"/>
              </w:rPr>
            </w:pPr>
            <w:r>
              <w:rPr>
                <w:rFonts w:hint="eastAsia" w:ascii="Times New Roman" w:hAnsi="Times New Roman" w:cs="Times New Roman"/>
                <w:snapToGrid w:val="0"/>
                <w:color w:val="auto"/>
                <w:szCs w:val="21"/>
                <w:u w:val="single"/>
                <w:lang w:val="en-US" w:eastAsia="zh-CN"/>
              </w:rPr>
              <w:t>0.85</w:t>
            </w:r>
          </w:p>
        </w:tc>
        <w:tc>
          <w:tcPr>
            <w:tcW w:w="1418" w:type="dxa"/>
            <w:vMerge w:val="restart"/>
            <w:tcBorders>
              <w:right w:val="single" w:color="000000" w:sz="4" w:space="0"/>
            </w:tcBorders>
            <w:noWrap w:val="0"/>
            <w:vAlign w:val="center"/>
          </w:tcPr>
          <w:p>
            <w:pPr>
              <w:widowControl w:val="0"/>
              <w:adjustRightInd w:val="0"/>
              <w:snapToGrid w:val="0"/>
              <w:jc w:val="center"/>
              <w:rPr>
                <w:rFonts w:hint="default" w:ascii="Times New Roman" w:hAnsi="Times New Roman" w:eastAsia="宋体" w:cs="Times New Roman"/>
                <w:bCs/>
                <w:color w:val="auto"/>
                <w:szCs w:val="21"/>
                <w:u w:val="single"/>
                <w:lang w:val="en-US" w:eastAsia="zh-CN"/>
              </w:rPr>
            </w:pPr>
            <w:r>
              <w:rPr>
                <w:rFonts w:hint="eastAsia" w:ascii="Times New Roman" w:hAnsi="Times New Roman" w:cs="Times New Roman"/>
                <w:bCs/>
                <w:color w:val="auto"/>
                <w:szCs w:val="21"/>
                <w:u w:val="single"/>
                <w:lang w:val="en-US" w:eastAsia="zh-CN"/>
              </w:rPr>
              <w:t>20</w:t>
            </w:r>
          </w:p>
        </w:tc>
        <w:tc>
          <w:tcPr>
            <w:tcW w:w="1010" w:type="dxa"/>
            <w:vMerge w:val="restart"/>
            <w:tcBorders>
              <w:left w:val="single" w:color="000000" w:sz="4" w:space="0"/>
            </w:tcBorders>
            <w:noWrap w:val="0"/>
            <w:vAlign w:val="center"/>
          </w:tcPr>
          <w:p>
            <w:pPr>
              <w:adjustRightInd w:val="0"/>
              <w:snapToGrid w:val="0"/>
              <w:jc w:val="center"/>
              <w:rPr>
                <w:rFonts w:hint="default" w:ascii="Times New Roman" w:hAnsi="Times New Roman" w:cs="Times New Roman"/>
                <w:snapToGrid w:val="0"/>
                <w:color w:val="auto"/>
                <w:szCs w:val="21"/>
                <w:u w:val="single"/>
              </w:rPr>
            </w:pPr>
            <w:r>
              <w:rPr>
                <w:rFonts w:hint="default" w:ascii="Times New Roman" w:hAnsi="Times New Roman" w:cs="Times New Roman"/>
                <w:snapToGrid w:val="0"/>
                <w:color w:val="auto"/>
                <w:szCs w:val="21"/>
                <w:u w:val="single"/>
              </w:rPr>
              <w:t>二级</w:t>
            </w:r>
          </w:p>
        </w:tc>
      </w:tr>
      <w:tr>
        <w:trPr>
          <w:trHeight w:val="340" w:hRule="atLeast"/>
          <w:jc w:val="center"/>
        </w:trPr>
        <w:tc>
          <w:tcPr>
            <w:tcW w:w="675" w:type="dxa"/>
            <w:vMerge w:val="continue"/>
            <w:noWrap w:val="0"/>
            <w:vAlign w:val="center"/>
          </w:tcPr>
          <w:p>
            <w:pPr>
              <w:adjustRightInd w:val="0"/>
              <w:snapToGrid w:val="0"/>
              <w:jc w:val="center"/>
              <w:rPr>
                <w:rFonts w:hint="default" w:ascii="Times New Roman" w:hAnsi="Times New Roman" w:cs="Times New Roman"/>
                <w:snapToGrid w:val="0"/>
                <w:color w:val="auto"/>
                <w:szCs w:val="21"/>
                <w:u w:val="single"/>
              </w:rPr>
            </w:pPr>
          </w:p>
        </w:tc>
        <w:tc>
          <w:tcPr>
            <w:tcW w:w="1560" w:type="dxa"/>
            <w:vMerge w:val="continue"/>
            <w:noWrap w:val="0"/>
            <w:vAlign w:val="center"/>
          </w:tcPr>
          <w:p>
            <w:pPr>
              <w:adjustRightInd w:val="0"/>
              <w:snapToGrid w:val="0"/>
              <w:jc w:val="center"/>
              <w:rPr>
                <w:rFonts w:hint="default" w:ascii="Times New Roman" w:hAnsi="Times New Roman" w:cs="Times New Roman"/>
                <w:color w:val="auto"/>
                <w:szCs w:val="21"/>
                <w:u w:val="single"/>
              </w:rPr>
            </w:pPr>
          </w:p>
        </w:tc>
        <w:tc>
          <w:tcPr>
            <w:tcW w:w="1275" w:type="dxa"/>
            <w:noWrap w:val="0"/>
            <w:vAlign w:val="center"/>
          </w:tcPr>
          <w:p>
            <w:pPr>
              <w:pStyle w:val="8"/>
              <w:spacing w:line="240" w:lineRule="auto"/>
              <w:ind w:firstLine="0" w:firstLineChars="0"/>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甲醇</w:t>
            </w:r>
          </w:p>
        </w:tc>
        <w:tc>
          <w:tcPr>
            <w:tcW w:w="1701" w:type="dxa"/>
            <w:noWrap w:val="0"/>
            <w:vAlign w:val="center"/>
          </w:tcPr>
          <w:p>
            <w:pPr>
              <w:adjustRightInd w:val="0"/>
              <w:snapToGrid w:val="0"/>
              <w:jc w:val="center"/>
              <w:rPr>
                <w:rFonts w:hint="default" w:ascii="Times New Roman" w:hAnsi="Times New Roman" w:cs="Times New Roman"/>
                <w:snapToGrid w:val="0"/>
                <w:color w:val="auto"/>
                <w:szCs w:val="21"/>
                <w:u w:val="single"/>
              </w:rPr>
            </w:pPr>
            <w:r>
              <w:rPr>
                <w:rFonts w:hint="default" w:ascii="Times New Roman" w:hAnsi="Times New Roman" w:cs="Times New Roman"/>
                <w:snapToGrid w:val="0"/>
                <w:color w:val="auto"/>
                <w:szCs w:val="21"/>
                <w:u w:val="single"/>
              </w:rPr>
              <w:t>0.000051</w:t>
            </w:r>
          </w:p>
        </w:tc>
        <w:tc>
          <w:tcPr>
            <w:tcW w:w="1134" w:type="dxa"/>
            <w:tcBorders>
              <w:right w:val="single" w:color="000000" w:sz="4" w:space="0"/>
            </w:tcBorders>
            <w:noWrap w:val="0"/>
            <w:vAlign w:val="center"/>
          </w:tcPr>
          <w:p>
            <w:pPr>
              <w:adjustRightInd w:val="0"/>
              <w:snapToGrid w:val="0"/>
              <w:jc w:val="center"/>
              <w:rPr>
                <w:rFonts w:hint="default" w:ascii="Times New Roman" w:hAnsi="Times New Roman" w:eastAsia="宋体" w:cs="Times New Roman"/>
                <w:snapToGrid w:val="0"/>
                <w:color w:val="auto"/>
                <w:szCs w:val="21"/>
                <w:u w:val="single"/>
                <w:lang w:val="en-US" w:eastAsia="zh-CN"/>
              </w:rPr>
            </w:pPr>
            <w:r>
              <w:rPr>
                <w:rFonts w:hint="eastAsia" w:ascii="Times New Roman" w:hAnsi="Times New Roman" w:cs="Times New Roman"/>
                <w:snapToGrid w:val="0"/>
                <w:color w:val="auto"/>
                <w:szCs w:val="21"/>
                <w:u w:val="single"/>
                <w:lang w:val="en-US" w:eastAsia="zh-CN"/>
              </w:rPr>
              <w:t>0.01</w:t>
            </w:r>
          </w:p>
        </w:tc>
        <w:tc>
          <w:tcPr>
            <w:tcW w:w="1418" w:type="dxa"/>
            <w:vMerge w:val="continue"/>
            <w:tcBorders>
              <w:right w:val="single" w:color="000000" w:sz="4" w:space="0"/>
            </w:tcBorders>
            <w:noWrap w:val="0"/>
            <w:vAlign w:val="center"/>
          </w:tcPr>
          <w:p>
            <w:pPr>
              <w:widowControl w:val="0"/>
              <w:adjustRightInd w:val="0"/>
              <w:snapToGrid w:val="0"/>
              <w:jc w:val="center"/>
              <w:rPr>
                <w:rFonts w:hint="default" w:ascii="Times New Roman" w:hAnsi="Times New Roman" w:cs="Times New Roman"/>
                <w:bCs/>
                <w:color w:val="auto"/>
                <w:szCs w:val="21"/>
                <w:u w:val="single"/>
              </w:rPr>
            </w:pPr>
          </w:p>
        </w:tc>
        <w:tc>
          <w:tcPr>
            <w:tcW w:w="1010" w:type="dxa"/>
            <w:vMerge w:val="continue"/>
            <w:tcBorders>
              <w:left w:val="single" w:color="000000" w:sz="4" w:space="0"/>
            </w:tcBorders>
            <w:noWrap w:val="0"/>
            <w:vAlign w:val="center"/>
          </w:tcPr>
          <w:p>
            <w:pPr>
              <w:adjustRightInd w:val="0"/>
              <w:snapToGrid w:val="0"/>
              <w:jc w:val="center"/>
              <w:rPr>
                <w:rFonts w:hint="default" w:ascii="Times New Roman" w:hAnsi="Times New Roman" w:cs="Times New Roman"/>
                <w:snapToGrid w:val="0"/>
                <w:color w:val="auto"/>
                <w:szCs w:val="21"/>
                <w:u w:val="single"/>
              </w:rPr>
            </w:pPr>
          </w:p>
        </w:tc>
      </w:tr>
      <w:tr>
        <w:trPr>
          <w:trHeight w:val="340" w:hRule="atLeast"/>
          <w:jc w:val="center"/>
        </w:trPr>
        <w:tc>
          <w:tcPr>
            <w:tcW w:w="675" w:type="dxa"/>
            <w:vMerge w:val="restart"/>
            <w:noWrap w:val="0"/>
            <w:vAlign w:val="center"/>
          </w:tcPr>
          <w:p>
            <w:pPr>
              <w:adjustRightInd w:val="0"/>
              <w:snapToGrid w:val="0"/>
              <w:jc w:val="center"/>
              <w:rPr>
                <w:rFonts w:hint="default" w:ascii="Times New Roman" w:hAnsi="Times New Roman" w:cs="Times New Roman"/>
                <w:snapToGrid w:val="0"/>
                <w:color w:val="auto"/>
                <w:szCs w:val="21"/>
                <w:u w:val="single"/>
              </w:rPr>
            </w:pPr>
            <w:r>
              <w:rPr>
                <w:rFonts w:hint="default" w:ascii="Times New Roman" w:hAnsi="Times New Roman" w:cs="Times New Roman"/>
                <w:snapToGrid w:val="0"/>
                <w:color w:val="auto"/>
                <w:szCs w:val="21"/>
                <w:u w:val="single"/>
              </w:rPr>
              <w:t>无组织</w:t>
            </w:r>
          </w:p>
        </w:tc>
        <w:tc>
          <w:tcPr>
            <w:tcW w:w="1560" w:type="dxa"/>
            <w:vMerge w:val="restart"/>
            <w:noWrap w:val="0"/>
            <w:vAlign w:val="center"/>
          </w:tcPr>
          <w:p>
            <w:pPr>
              <w:adjustRightInd w:val="0"/>
              <w:snapToGrid w:val="0"/>
              <w:jc w:val="center"/>
              <w:rPr>
                <w:rFonts w:hint="default" w:ascii="Times New Roman" w:hAnsi="Times New Roman" w:cs="Times New Roman"/>
                <w:snapToGrid w:val="0"/>
                <w:color w:val="auto"/>
                <w:szCs w:val="21"/>
                <w:u w:val="single"/>
              </w:rPr>
            </w:pPr>
            <w:r>
              <w:rPr>
                <w:rFonts w:hint="default" w:ascii="Times New Roman" w:hAnsi="Times New Roman" w:cs="Times New Roman"/>
                <w:snapToGrid w:val="0"/>
                <w:color w:val="auto"/>
                <w:szCs w:val="21"/>
                <w:u w:val="single"/>
              </w:rPr>
              <w:t>生产装置区</w:t>
            </w:r>
          </w:p>
        </w:tc>
        <w:tc>
          <w:tcPr>
            <w:tcW w:w="1275" w:type="dxa"/>
            <w:noWrap w:val="0"/>
            <w:vAlign w:val="center"/>
          </w:tcPr>
          <w:p>
            <w:pPr>
              <w:pStyle w:val="8"/>
              <w:spacing w:line="240" w:lineRule="auto"/>
              <w:ind w:firstLine="0"/>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VOCs</w:t>
            </w:r>
          </w:p>
        </w:tc>
        <w:tc>
          <w:tcPr>
            <w:tcW w:w="1701" w:type="dxa"/>
            <w:noWrap w:val="0"/>
            <w:vAlign w:val="center"/>
          </w:tcPr>
          <w:p>
            <w:pPr>
              <w:adjustRightInd w:val="0"/>
              <w:snapToGrid w:val="0"/>
              <w:jc w:val="center"/>
              <w:rPr>
                <w:rFonts w:hint="default" w:ascii="Times New Roman" w:hAnsi="Times New Roman" w:cs="Times New Roman"/>
                <w:bCs/>
                <w:color w:val="auto"/>
                <w:szCs w:val="21"/>
                <w:u w:val="single"/>
              </w:rPr>
            </w:pPr>
            <w:r>
              <w:rPr>
                <w:rFonts w:hint="eastAsia" w:ascii="Times New Roman" w:hAnsi="Times New Roman" w:cs="Times New Roman"/>
                <w:snapToGrid w:val="0"/>
                <w:color w:val="auto"/>
                <w:szCs w:val="21"/>
                <w:u w:val="single"/>
                <w:lang w:val="en-US" w:eastAsia="zh-CN"/>
              </w:rPr>
              <w:t>0.43979</w:t>
            </w:r>
          </w:p>
        </w:tc>
        <w:tc>
          <w:tcPr>
            <w:tcW w:w="1134" w:type="dxa"/>
            <w:tcBorders>
              <w:right w:val="single" w:color="000000" w:sz="4" w:space="0"/>
            </w:tcBorders>
            <w:noWrap w:val="0"/>
            <w:vAlign w:val="center"/>
          </w:tcPr>
          <w:p>
            <w:pPr>
              <w:adjustRightInd w:val="0"/>
              <w:snapToGrid w:val="0"/>
              <w:jc w:val="center"/>
              <w:rPr>
                <w:rFonts w:hint="default" w:ascii="Times New Roman" w:hAnsi="Times New Roman" w:eastAsia="宋体" w:cs="Times New Roman"/>
                <w:bCs/>
                <w:color w:val="auto"/>
                <w:szCs w:val="21"/>
                <w:u w:val="single"/>
                <w:lang w:val="en-US" w:eastAsia="zh-CN"/>
              </w:rPr>
            </w:pPr>
            <w:r>
              <w:rPr>
                <w:rFonts w:hint="eastAsia" w:ascii="Times New Roman" w:hAnsi="Times New Roman" w:cs="Times New Roman"/>
                <w:bCs/>
                <w:color w:val="auto"/>
                <w:szCs w:val="21"/>
                <w:u w:val="single"/>
                <w:lang w:val="en-US" w:eastAsia="zh-CN"/>
              </w:rPr>
              <w:t>36.62</w:t>
            </w:r>
          </w:p>
        </w:tc>
        <w:tc>
          <w:tcPr>
            <w:tcW w:w="1418" w:type="dxa"/>
            <w:vMerge w:val="restart"/>
            <w:tcBorders>
              <w:right w:val="single" w:color="000000" w:sz="4" w:space="0"/>
            </w:tcBorders>
            <w:noWrap w:val="0"/>
            <w:vAlign w:val="center"/>
          </w:tcPr>
          <w:p>
            <w:pPr>
              <w:widowControl w:val="0"/>
              <w:adjustRightInd w:val="0"/>
              <w:snapToGrid w:val="0"/>
              <w:jc w:val="center"/>
              <w:rPr>
                <w:rFonts w:hint="default" w:ascii="Times New Roman" w:hAnsi="Times New Roman" w:eastAsia="宋体" w:cs="Times New Roman"/>
                <w:bCs/>
                <w:color w:val="auto"/>
                <w:szCs w:val="21"/>
                <w:u w:val="single"/>
                <w:lang w:val="en-US" w:eastAsia="zh-CN"/>
              </w:rPr>
            </w:pPr>
            <w:r>
              <w:rPr>
                <w:rFonts w:hint="eastAsia" w:ascii="Times New Roman" w:hAnsi="Times New Roman" w:cs="Times New Roman"/>
                <w:bCs/>
                <w:color w:val="auto"/>
                <w:szCs w:val="21"/>
                <w:u w:val="single"/>
                <w:lang w:val="en-US" w:eastAsia="zh-CN"/>
              </w:rPr>
              <w:t>18</w:t>
            </w:r>
          </w:p>
        </w:tc>
        <w:tc>
          <w:tcPr>
            <w:tcW w:w="1010" w:type="dxa"/>
            <w:vMerge w:val="restart"/>
            <w:tcBorders>
              <w:left w:val="single" w:color="000000" w:sz="4" w:space="0"/>
            </w:tcBorders>
            <w:noWrap w:val="0"/>
            <w:vAlign w:val="center"/>
          </w:tcPr>
          <w:p>
            <w:pPr>
              <w:adjustRightInd w:val="0"/>
              <w:snapToGrid w:val="0"/>
              <w:jc w:val="center"/>
              <w:rPr>
                <w:rFonts w:hint="default" w:ascii="Times New Roman" w:hAnsi="Times New Roman" w:cs="Times New Roman"/>
                <w:snapToGrid w:val="0"/>
                <w:color w:val="auto"/>
                <w:szCs w:val="21"/>
                <w:u w:val="single"/>
              </w:rPr>
            </w:pPr>
            <w:r>
              <w:rPr>
                <w:rFonts w:hint="default" w:ascii="Times New Roman" w:hAnsi="Times New Roman" w:cs="Times New Roman"/>
                <w:snapToGrid w:val="0"/>
                <w:color w:val="auto"/>
                <w:szCs w:val="21"/>
                <w:u w:val="single"/>
              </w:rPr>
              <w:t>二级</w:t>
            </w:r>
          </w:p>
        </w:tc>
      </w:tr>
      <w:tr>
        <w:trPr>
          <w:trHeight w:val="340" w:hRule="atLeast"/>
          <w:jc w:val="center"/>
        </w:trPr>
        <w:tc>
          <w:tcPr>
            <w:tcW w:w="675" w:type="dxa"/>
            <w:vMerge w:val="continue"/>
            <w:noWrap w:val="0"/>
            <w:vAlign w:val="center"/>
          </w:tcPr>
          <w:p>
            <w:pPr>
              <w:adjustRightInd w:val="0"/>
              <w:snapToGrid w:val="0"/>
              <w:jc w:val="center"/>
              <w:rPr>
                <w:rFonts w:hint="default" w:ascii="Times New Roman" w:hAnsi="Times New Roman" w:cs="Times New Roman"/>
                <w:snapToGrid w:val="0"/>
                <w:color w:val="auto"/>
                <w:szCs w:val="21"/>
                <w:u w:val="single"/>
              </w:rPr>
            </w:pPr>
          </w:p>
        </w:tc>
        <w:tc>
          <w:tcPr>
            <w:tcW w:w="1560" w:type="dxa"/>
            <w:vMerge w:val="continue"/>
            <w:noWrap w:val="0"/>
            <w:vAlign w:val="center"/>
          </w:tcPr>
          <w:p>
            <w:pPr>
              <w:adjustRightInd w:val="0"/>
              <w:snapToGrid w:val="0"/>
              <w:jc w:val="center"/>
              <w:rPr>
                <w:rFonts w:hint="default" w:ascii="Times New Roman" w:hAnsi="Times New Roman" w:cs="Times New Roman"/>
                <w:snapToGrid w:val="0"/>
                <w:color w:val="auto"/>
                <w:szCs w:val="21"/>
                <w:u w:val="single"/>
              </w:rPr>
            </w:pPr>
          </w:p>
        </w:tc>
        <w:tc>
          <w:tcPr>
            <w:tcW w:w="1275" w:type="dxa"/>
            <w:noWrap w:val="0"/>
            <w:vAlign w:val="center"/>
          </w:tcPr>
          <w:p>
            <w:pPr>
              <w:pStyle w:val="8"/>
              <w:spacing w:line="240" w:lineRule="auto"/>
              <w:ind w:firstLine="0"/>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甲醇</w:t>
            </w:r>
          </w:p>
        </w:tc>
        <w:tc>
          <w:tcPr>
            <w:tcW w:w="1701" w:type="dxa"/>
            <w:noWrap w:val="0"/>
            <w:vAlign w:val="center"/>
          </w:tcPr>
          <w:p>
            <w:pPr>
              <w:adjustRightInd w:val="0"/>
              <w:snapToGrid w:val="0"/>
              <w:jc w:val="center"/>
              <w:rPr>
                <w:rFonts w:hint="default" w:ascii="Times New Roman" w:hAnsi="Times New Roman" w:cs="Times New Roman"/>
                <w:bCs/>
                <w:color w:val="auto"/>
                <w:szCs w:val="21"/>
                <w:u w:val="single"/>
              </w:rPr>
            </w:pPr>
            <w:r>
              <w:rPr>
                <w:rFonts w:hint="eastAsia" w:ascii="Times New Roman" w:hAnsi="Times New Roman" w:cs="Times New Roman"/>
                <w:snapToGrid w:val="0"/>
                <w:color w:val="auto"/>
                <w:szCs w:val="21"/>
                <w:u w:val="single"/>
                <w:lang w:val="en-US" w:eastAsia="zh-CN"/>
              </w:rPr>
              <w:t>0.000946</w:t>
            </w:r>
          </w:p>
        </w:tc>
        <w:tc>
          <w:tcPr>
            <w:tcW w:w="1134" w:type="dxa"/>
            <w:tcBorders>
              <w:right w:val="single" w:color="000000" w:sz="4" w:space="0"/>
            </w:tcBorders>
            <w:noWrap w:val="0"/>
            <w:vAlign w:val="center"/>
          </w:tcPr>
          <w:p>
            <w:pPr>
              <w:adjustRightInd w:val="0"/>
              <w:snapToGrid w:val="0"/>
              <w:jc w:val="center"/>
              <w:rPr>
                <w:rFonts w:hint="default" w:ascii="Times New Roman" w:hAnsi="Times New Roman" w:eastAsia="宋体" w:cs="Times New Roman"/>
                <w:bCs/>
                <w:color w:val="auto"/>
                <w:szCs w:val="21"/>
                <w:u w:val="single"/>
                <w:lang w:val="en-US" w:eastAsia="zh-CN"/>
              </w:rPr>
            </w:pPr>
            <w:r>
              <w:rPr>
                <w:rFonts w:hint="eastAsia" w:ascii="Times New Roman" w:hAnsi="Times New Roman" w:cs="Times New Roman"/>
                <w:bCs/>
                <w:color w:val="auto"/>
                <w:szCs w:val="21"/>
                <w:u w:val="single"/>
                <w:lang w:val="en-US" w:eastAsia="zh-CN"/>
              </w:rPr>
              <w:t>0.03</w:t>
            </w:r>
          </w:p>
        </w:tc>
        <w:tc>
          <w:tcPr>
            <w:tcW w:w="1418" w:type="dxa"/>
            <w:vMerge w:val="continue"/>
            <w:tcBorders>
              <w:right w:val="single" w:color="000000" w:sz="4" w:space="0"/>
            </w:tcBorders>
            <w:noWrap w:val="0"/>
            <w:vAlign w:val="center"/>
          </w:tcPr>
          <w:p>
            <w:pPr>
              <w:widowControl w:val="0"/>
              <w:adjustRightInd w:val="0"/>
              <w:snapToGrid w:val="0"/>
              <w:jc w:val="center"/>
              <w:rPr>
                <w:rFonts w:hint="default" w:ascii="Times New Roman" w:hAnsi="Times New Roman" w:cs="Times New Roman"/>
                <w:bCs/>
                <w:color w:val="auto"/>
                <w:szCs w:val="21"/>
                <w:u w:val="single"/>
              </w:rPr>
            </w:pPr>
          </w:p>
        </w:tc>
        <w:tc>
          <w:tcPr>
            <w:tcW w:w="1010" w:type="dxa"/>
            <w:vMerge w:val="continue"/>
            <w:tcBorders>
              <w:left w:val="single" w:color="000000" w:sz="4" w:space="0"/>
            </w:tcBorders>
            <w:noWrap w:val="0"/>
            <w:vAlign w:val="center"/>
          </w:tcPr>
          <w:p>
            <w:pPr>
              <w:adjustRightInd w:val="0"/>
              <w:snapToGrid w:val="0"/>
              <w:jc w:val="center"/>
              <w:rPr>
                <w:rFonts w:hint="default" w:ascii="Times New Roman" w:hAnsi="Times New Roman" w:cs="Times New Roman"/>
                <w:snapToGrid w:val="0"/>
                <w:color w:val="auto"/>
                <w:szCs w:val="21"/>
                <w:u w:val="single"/>
              </w:rPr>
            </w:pPr>
          </w:p>
        </w:tc>
      </w:tr>
    </w:tbl>
    <w:p>
      <w:pPr>
        <w:widowControl w:val="0"/>
        <w:adjustRightInd w:val="0"/>
        <w:snapToGrid w:val="0"/>
        <w:spacing w:before="156" w:beforeLines="50" w:line="360" w:lineRule="auto"/>
        <w:jc w:val="center"/>
        <w:rPr>
          <w:rFonts w:hint="eastAsia"/>
          <w:color w:val="auto"/>
          <w:spacing w:val="6"/>
          <w:kern w:val="0"/>
          <w:sz w:val="24"/>
        </w:rPr>
      </w:pPr>
      <w:r>
        <w:rPr>
          <w:color w:val="auto"/>
        </w:rPr>
        <w:drawing>
          <wp:inline distT="0" distB="0" distL="114300" distR="114300">
            <wp:extent cx="5894705" cy="3086100"/>
            <wp:effectExtent l="0" t="0" r="10795" b="0"/>
            <wp:docPr id="11"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2"/>
                    <pic:cNvPicPr>
                      <a:picLocks noChangeAspect="1"/>
                    </pic:cNvPicPr>
                  </pic:nvPicPr>
                  <pic:blipFill>
                    <a:blip r:embed="rId16"/>
                    <a:stretch>
                      <a:fillRect/>
                    </a:stretch>
                  </pic:blipFill>
                  <pic:spPr>
                    <a:xfrm>
                      <a:off x="0" y="0"/>
                      <a:ext cx="5894705" cy="3086100"/>
                    </a:xfrm>
                    <a:prstGeom prst="rect">
                      <a:avLst/>
                    </a:prstGeom>
                    <a:noFill/>
                    <a:ln>
                      <a:noFill/>
                    </a:ln>
                  </pic:spPr>
                </pic:pic>
              </a:graphicData>
            </a:graphic>
          </wp:inline>
        </w:drawing>
      </w:r>
    </w:p>
    <w:p>
      <w:pPr>
        <w:pStyle w:val="36"/>
        <w:bidi w:val="0"/>
        <w:rPr>
          <w:rFonts w:hint="default"/>
          <w:color w:val="auto"/>
        </w:rPr>
      </w:pPr>
      <w:r>
        <w:rPr>
          <w:rFonts w:hint="eastAsia" w:ascii="Times New Roman" w:hAnsi="Times New Roman" w:cs="Times New Roman"/>
          <w:color w:val="auto"/>
          <w:lang w:eastAsia="zh-CN"/>
        </w:rPr>
        <w:t>图</w:t>
      </w:r>
      <w:r>
        <w:rPr>
          <w:rFonts w:hint="eastAsia" w:ascii="Times New Roman" w:hAnsi="Times New Roman" w:cs="Times New Roman"/>
          <w:color w:val="auto"/>
          <w:lang w:val="en-US" w:eastAsia="zh-CN"/>
        </w:rPr>
        <w:t>2.5</w:t>
      </w:r>
      <w:r>
        <w:rPr>
          <w:rFonts w:ascii="Times New Roman" w:hAnsi="Times New Roman" w:cs="Times New Roman"/>
          <w:color w:val="auto"/>
        </w:rPr>
        <w:t>-</w:t>
      </w:r>
      <w:r>
        <w:rPr>
          <w:rFonts w:hint="eastAsia" w:ascii="Times New Roman" w:hAnsi="Times New Roman" w:cs="Times New Roman"/>
          <w:color w:val="auto"/>
          <w:lang w:val="en-US" w:eastAsia="zh-CN"/>
        </w:rPr>
        <w:t>1</w:t>
      </w:r>
      <w:r>
        <w:rPr>
          <w:rFonts w:ascii="Times New Roman" w:hAnsi="Times New Roman" w:cs="Times New Roman"/>
          <w:color w:val="auto"/>
        </w:rPr>
        <w:t xml:space="preserve">   </w:t>
      </w:r>
      <w:r>
        <w:rPr>
          <w:rFonts w:hint="eastAsia" w:ascii="Times New Roman" w:hAnsi="Times New Roman" w:cs="Times New Roman"/>
          <w:color w:val="auto"/>
          <w:lang w:eastAsia="zh-CN"/>
        </w:rPr>
        <w:t>项目排放主要污染物估算模型图</w:t>
      </w:r>
    </w:p>
    <w:p>
      <w:pPr>
        <w:pStyle w:val="33"/>
        <w:bidi w:val="0"/>
        <w:rPr>
          <w:rFonts w:hint="default"/>
          <w:color w:val="auto"/>
          <w:u w:val="single"/>
        </w:rPr>
      </w:pPr>
      <w:r>
        <w:rPr>
          <w:rFonts w:hint="default"/>
          <w:color w:val="auto"/>
          <w:u w:val="single"/>
        </w:rPr>
        <w:t>由估算模式的计算结果可知，本项目生产装置区无组织面源的</w:t>
      </w:r>
      <w:r>
        <w:rPr>
          <w:rFonts w:hint="eastAsia"/>
          <w:color w:val="auto"/>
          <w:u w:val="single"/>
          <w:lang w:val="en-US" w:eastAsia="zh-CN"/>
        </w:rPr>
        <w:t>VOCs</w:t>
      </w:r>
      <w:r>
        <w:rPr>
          <w:rFonts w:hint="default"/>
          <w:color w:val="auto"/>
          <w:u w:val="single"/>
        </w:rPr>
        <w:t>Pmax=</w:t>
      </w:r>
      <w:r>
        <w:rPr>
          <w:rFonts w:hint="eastAsia"/>
          <w:color w:val="auto"/>
          <w:u w:val="single"/>
          <w:lang w:val="en-US" w:eastAsia="zh-CN"/>
        </w:rPr>
        <w:t>36.65</w:t>
      </w:r>
      <w:r>
        <w:rPr>
          <w:rFonts w:hint="default"/>
          <w:color w:val="auto"/>
          <w:u w:val="single"/>
        </w:rPr>
        <w:t>%＞10%，因此，本项目大气评价等级为一级。</w:t>
      </w:r>
    </w:p>
    <w:p>
      <w:pPr>
        <w:widowControl w:val="0"/>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2"/>
          <w:sz w:val="24"/>
          <w:szCs w:val="22"/>
          <w:u w:val="single"/>
          <w:lang w:val="en-US" w:eastAsia="zh-CN" w:bidi="ar-SA"/>
        </w:rPr>
      </w:pPr>
      <w:r>
        <w:rPr>
          <w:rFonts w:hint="default" w:ascii="Times New Roman" w:hAnsi="Times New Roman" w:eastAsia="宋体" w:cs="Times New Roman"/>
          <w:color w:val="auto"/>
          <w:kern w:val="2"/>
          <w:sz w:val="24"/>
          <w:szCs w:val="22"/>
          <w:u w:val="single"/>
          <w:lang w:val="en-US" w:eastAsia="zh-CN" w:bidi="ar-SA"/>
        </w:rPr>
        <w:t>（2）评价范围</w:t>
      </w:r>
    </w:p>
    <w:p>
      <w:pPr>
        <w:widowControl w:val="0"/>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2"/>
          <w:sz w:val="24"/>
          <w:szCs w:val="22"/>
          <w:u w:val="single"/>
          <w:lang w:val="en-US" w:eastAsia="zh-CN" w:bidi="ar-SA"/>
        </w:rPr>
      </w:pPr>
      <w:r>
        <w:rPr>
          <w:rFonts w:hint="default" w:ascii="Times New Roman" w:hAnsi="Times New Roman" w:eastAsia="宋体" w:cs="Times New Roman"/>
          <w:color w:val="auto"/>
          <w:kern w:val="2"/>
          <w:sz w:val="24"/>
          <w:szCs w:val="22"/>
          <w:u w:val="single"/>
          <w:lang w:val="en-US" w:eastAsia="zh-CN" w:bidi="ar-SA"/>
        </w:rPr>
        <w:t>本项目大气评价工作等级为一级，项目排放污染源的最远影响距离D10%为</w:t>
      </w:r>
      <w:r>
        <w:rPr>
          <w:rFonts w:hint="eastAsia" w:ascii="Times New Roman" w:hAnsi="Times New Roman" w:cs="Times New Roman"/>
          <w:color w:val="auto"/>
          <w:kern w:val="2"/>
          <w:sz w:val="24"/>
          <w:szCs w:val="22"/>
          <w:u w:val="single"/>
          <w:lang w:val="en-US" w:eastAsia="zh-CN" w:bidi="ar-SA"/>
        </w:rPr>
        <w:t>23</w:t>
      </w:r>
      <w:r>
        <w:rPr>
          <w:rFonts w:hint="default" w:ascii="Times New Roman" w:hAnsi="Times New Roman" w:eastAsia="宋体" w:cs="Times New Roman"/>
          <w:color w:val="auto"/>
          <w:kern w:val="2"/>
          <w:sz w:val="24"/>
          <w:szCs w:val="22"/>
          <w:u w:val="single"/>
          <w:lang w:val="en-US" w:eastAsia="zh-CN" w:bidi="ar-SA"/>
        </w:rPr>
        <w:t>m，小于2.5km，因此本项目大气评价范围为以项目厂址为中心，边长5km的矩形区域。</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2.5.2地表水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ascii="Times New Roman" w:hAnsi="Times New Roman" w:eastAsia="宋体" w:cs="Times New Roman"/>
          <w:color w:val="auto"/>
          <w:kern w:val="2"/>
          <w:sz w:val="24"/>
          <w:szCs w:val="20"/>
          <w:lang w:val="en-US" w:eastAsia="zh-CN" w:bidi="ar-SA"/>
        </w:rPr>
        <w:t>本项目外排废水为</w:t>
      </w:r>
      <w:r>
        <w:rPr>
          <w:rFonts w:hint="eastAsia" w:ascii="Times New Roman" w:hAnsi="Times New Roman" w:cs="Times New Roman"/>
          <w:color w:val="auto"/>
          <w:kern w:val="2"/>
          <w:sz w:val="24"/>
          <w:szCs w:val="20"/>
          <w:lang w:val="en-US" w:eastAsia="zh-CN" w:bidi="ar-SA"/>
        </w:rPr>
        <w:t>生产</w:t>
      </w:r>
      <w:r>
        <w:rPr>
          <w:rFonts w:hint="eastAsia" w:ascii="Times New Roman" w:hAnsi="Times New Roman" w:eastAsia="宋体" w:cs="Times New Roman"/>
          <w:color w:val="auto"/>
          <w:kern w:val="2"/>
          <w:sz w:val="24"/>
          <w:szCs w:val="20"/>
          <w:lang w:val="en-US" w:eastAsia="zh-CN" w:bidi="ar-SA"/>
        </w:rPr>
        <w:t>污水以及生活污水，其中生产废水量</w:t>
      </w:r>
      <w:r>
        <w:rPr>
          <w:rFonts w:hint="eastAsia" w:ascii="Times New Roman" w:hAnsi="Times New Roman" w:cs="Times New Roman"/>
          <w:color w:val="auto"/>
          <w:kern w:val="2"/>
          <w:sz w:val="24"/>
          <w:szCs w:val="20"/>
          <w:lang w:val="en-US" w:eastAsia="zh-CN" w:bidi="ar-SA"/>
        </w:rPr>
        <w:t>9.54</w:t>
      </w:r>
      <w:r>
        <w:rPr>
          <w:rFonts w:hint="eastAsia" w:ascii="Times New Roman" w:hAnsi="Times New Roman" w:eastAsia="宋体" w:cs="Times New Roman"/>
          <w:color w:val="auto"/>
          <w:kern w:val="2"/>
          <w:sz w:val="24"/>
          <w:szCs w:val="20"/>
          <w:lang w:val="en-US" w:eastAsia="zh-CN" w:bidi="ar-SA"/>
        </w:rPr>
        <w:t>t/d，生活污水量</w:t>
      </w:r>
      <w:r>
        <w:rPr>
          <w:rFonts w:hint="eastAsia" w:ascii="Times New Roman" w:hAnsi="Times New Roman" w:cs="Times New Roman"/>
          <w:color w:val="auto"/>
          <w:kern w:val="2"/>
          <w:sz w:val="24"/>
          <w:szCs w:val="20"/>
          <w:lang w:val="en-US" w:eastAsia="zh-CN" w:bidi="ar-SA"/>
        </w:rPr>
        <w:t>1.44</w:t>
      </w:r>
      <w:r>
        <w:rPr>
          <w:rFonts w:hint="eastAsia" w:ascii="Times New Roman" w:hAnsi="Times New Roman" w:eastAsia="宋体" w:cs="Times New Roman"/>
          <w:color w:val="auto"/>
          <w:kern w:val="2"/>
          <w:sz w:val="24"/>
          <w:szCs w:val="20"/>
          <w:lang w:val="en-US" w:eastAsia="zh-CN" w:bidi="ar-SA"/>
        </w:rPr>
        <w:t>t/d。</w:t>
      </w:r>
      <w:r>
        <w:rPr>
          <w:rFonts w:hint="eastAsia" w:ascii="Times New Roman" w:hAnsi="Times New Roman" w:cs="Times New Roman"/>
          <w:color w:val="auto"/>
          <w:kern w:val="2"/>
          <w:sz w:val="24"/>
          <w:szCs w:val="20"/>
          <w:lang w:val="en-US" w:eastAsia="zh-CN" w:bidi="ar-SA"/>
        </w:rPr>
        <w:t>本项目生产废水经项目自建污水处理厂预处理达到</w:t>
      </w:r>
      <w:r>
        <w:rPr>
          <w:rFonts w:hint="eastAsia" w:ascii="Times New Roman" w:hAnsi="Times New Roman" w:eastAsia="宋体" w:cs="Times New Roman"/>
          <w:color w:val="auto"/>
          <w:kern w:val="2"/>
          <w:sz w:val="24"/>
          <w:szCs w:val="20"/>
          <w:lang w:val="en-US" w:eastAsia="zh-CN" w:bidi="ar-SA"/>
        </w:rPr>
        <w:t>《石油化学工业污染物排放标准》(GB31571-2015)表1间接排放限值</w:t>
      </w:r>
      <w:r>
        <w:rPr>
          <w:rFonts w:hint="eastAsia" w:ascii="Times New Roman" w:hAnsi="Times New Roman" w:cs="Times New Roman"/>
          <w:color w:val="auto"/>
          <w:kern w:val="2"/>
          <w:sz w:val="24"/>
          <w:szCs w:val="20"/>
          <w:lang w:val="en-US" w:eastAsia="zh-CN" w:bidi="ar-SA"/>
        </w:rPr>
        <w:t>和</w:t>
      </w:r>
      <w:r>
        <w:rPr>
          <w:rFonts w:hint="eastAsia" w:ascii="Times New Roman" w:hAnsi="Times New Roman" w:eastAsia="宋体" w:cs="Times New Roman"/>
          <w:color w:val="auto"/>
          <w:kern w:val="2"/>
          <w:sz w:val="24"/>
          <w:szCs w:val="20"/>
          <w:lang w:val="en-US" w:eastAsia="zh-CN" w:bidi="ar-SA"/>
        </w:rPr>
        <w:t>《合成树脂工业污染物排放标准》(GB31572-2015)间接排放标准，并满足云溪区污水处理厂接管标准</w:t>
      </w:r>
      <w:r>
        <w:rPr>
          <w:rFonts w:hint="eastAsia" w:ascii="Times New Roman" w:hAnsi="Times New Roman" w:cs="Times New Roman"/>
          <w:color w:val="auto"/>
          <w:kern w:val="2"/>
          <w:sz w:val="24"/>
          <w:szCs w:val="20"/>
          <w:lang w:val="en-US" w:eastAsia="zh-CN" w:bidi="ar-SA"/>
        </w:rPr>
        <w:t>后排入云溪区污水处理厂。云溪区污水处理厂</w:t>
      </w:r>
      <w:r>
        <w:rPr>
          <w:rFonts w:hint="eastAsia" w:ascii="Times New Roman" w:hAnsi="Times New Roman" w:eastAsia="宋体" w:cs="Times New Roman"/>
          <w:color w:val="auto"/>
          <w:kern w:val="2"/>
          <w:sz w:val="24"/>
          <w:szCs w:val="20"/>
          <w:lang w:val="en-US" w:eastAsia="zh-CN" w:bidi="ar-SA"/>
        </w:rPr>
        <w:t>处理达到《城镇污水处理厂污染物排放标准》（GB18918-2002）一级A标准，进入云溪区污水管网后排入长江。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ascii="Times New Roman" w:hAnsi="Times New Roman" w:eastAsia="宋体" w:cs="Times New Roman"/>
          <w:color w:val="auto"/>
          <w:kern w:val="2"/>
          <w:sz w:val="24"/>
          <w:szCs w:val="20"/>
          <w:lang w:val="en-US" w:eastAsia="zh-CN" w:bidi="ar-SA"/>
        </w:rPr>
        <w:t>生活污水</w:t>
      </w:r>
      <w:r>
        <w:rPr>
          <w:rFonts w:hint="eastAsia" w:ascii="Times New Roman" w:hAnsi="Times New Roman" w:cs="Times New Roman"/>
          <w:color w:val="auto"/>
          <w:kern w:val="2"/>
          <w:sz w:val="24"/>
          <w:szCs w:val="20"/>
          <w:lang w:val="en-US" w:eastAsia="zh-CN" w:bidi="ar-SA"/>
        </w:rPr>
        <w:t>经过</w:t>
      </w:r>
      <w:r>
        <w:rPr>
          <w:rFonts w:hint="eastAsia" w:ascii="Times New Roman" w:hAnsi="Times New Roman" w:eastAsia="宋体" w:cs="Times New Roman"/>
          <w:color w:val="auto"/>
          <w:kern w:val="2"/>
          <w:sz w:val="24"/>
          <w:szCs w:val="20"/>
          <w:lang w:val="en-US" w:eastAsia="zh-CN" w:bidi="ar-SA"/>
        </w:rPr>
        <w:t>化粪池处理后达到《污水综合排放标准》（GB8978-1996）表4中三级标准后排入</w:t>
      </w:r>
      <w:r>
        <w:rPr>
          <w:rFonts w:hint="eastAsia" w:ascii="Times New Roman" w:hAnsi="Times New Roman" w:cs="Times New Roman"/>
          <w:color w:val="auto"/>
          <w:kern w:val="2"/>
          <w:sz w:val="24"/>
          <w:szCs w:val="20"/>
          <w:lang w:val="en-US" w:eastAsia="zh-CN" w:bidi="ar-SA"/>
        </w:rPr>
        <w:t>云溪</w:t>
      </w:r>
      <w:r>
        <w:rPr>
          <w:rFonts w:hint="eastAsia" w:ascii="Times New Roman" w:hAnsi="Times New Roman" w:eastAsia="宋体" w:cs="Times New Roman"/>
          <w:color w:val="auto"/>
          <w:kern w:val="2"/>
          <w:sz w:val="24"/>
          <w:szCs w:val="20"/>
          <w:lang w:val="en-US" w:eastAsia="zh-CN" w:bidi="ar-SA"/>
        </w:rPr>
        <w:t>污水处理厂，处理达到《城镇污水处理厂污染物排放标准》（GB18918-2002）一级A标准，进入云溪区污水管网后排入长江。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本项目生产废水和生活污水为间接排放，根据《环境影响评价技术导则——地表水环境》（HJ2.3-2018）</w:t>
      </w:r>
      <w:r>
        <w:rPr>
          <w:rFonts w:hint="eastAsia" w:ascii="Times New Roman" w:hAnsi="Times New Roman" w:cs="Times New Roman"/>
          <w:color w:val="auto"/>
          <w:kern w:val="2"/>
          <w:sz w:val="24"/>
          <w:szCs w:val="20"/>
          <w:lang w:val="en-US" w:eastAsia="zh-CN" w:bidi="ar-SA"/>
        </w:rPr>
        <w:t>中5.2.2.2小节</w:t>
      </w:r>
      <w:r>
        <w:rPr>
          <w:rFonts w:hint="eastAsia" w:ascii="Times New Roman" w:hAnsi="Times New Roman" w:eastAsia="宋体" w:cs="Times New Roman"/>
          <w:color w:val="auto"/>
          <w:kern w:val="2"/>
          <w:sz w:val="24"/>
          <w:szCs w:val="20"/>
          <w:lang w:val="en-US" w:eastAsia="zh-CN" w:bidi="ar-SA"/>
        </w:rPr>
        <w:t>，地表水环境影响评价工作等级为三级B。</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2.5.3地下水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拟建项目属于化工项目。根据《环境影响评价技术导则一地下水环境》(HJ610-2016)附录A地下环境影响行业分类表中“基本化学原料制造”，地下水环境评价项目类别报告书属I类项目。项目厂址位于湖南岳阳绿色化工产业园内。评价范围内不涉及集中式饮用水源准保护区及以外的补给径流区、热水、矿泉水、温泉等特殊地下水资源保护区及以外的分布环境敏感区、分散式饮用水水源地，项目所在地区域内生活用水由市政自来水管网供给，因此，地下水敏感程度为地下水评价导则中的不敏感区。</w:t>
      </w:r>
    </w:p>
    <w:p>
      <w:pPr>
        <w:widowControl w:val="0"/>
        <w:bidi w:val="0"/>
        <w:spacing w:line="360" w:lineRule="auto"/>
        <w:jc w:val="center"/>
        <w:rPr>
          <w:rFonts w:ascii="Times New Roman" w:hAnsi="Times New Roman" w:eastAsia="宋体" w:cs="Times New Roman"/>
          <w:b/>
          <w:color w:val="auto"/>
          <w:kern w:val="2"/>
          <w:sz w:val="24"/>
          <w:szCs w:val="22"/>
          <w:lang w:val="en-US" w:eastAsia="zh-CN" w:bidi="ar-SA"/>
        </w:rPr>
      </w:pPr>
      <w:r>
        <w:rPr>
          <w:rFonts w:ascii="Times New Roman" w:hAnsi="Times New Roman" w:eastAsia="宋体" w:cs="Times New Roman"/>
          <w:b/>
          <w:color w:val="auto"/>
          <w:kern w:val="2"/>
          <w:sz w:val="24"/>
          <w:szCs w:val="22"/>
          <w:lang w:val="en-US" w:eastAsia="zh-CN" w:bidi="ar-SA"/>
        </w:rPr>
        <w:t>表</w:t>
      </w:r>
      <w:r>
        <w:rPr>
          <w:rFonts w:hint="eastAsia" w:ascii="Times New Roman" w:hAnsi="Times New Roman" w:eastAsia="宋体" w:cs="Times New Roman"/>
          <w:b/>
          <w:color w:val="auto"/>
          <w:kern w:val="2"/>
          <w:sz w:val="24"/>
          <w:szCs w:val="22"/>
          <w:lang w:val="en-US" w:eastAsia="zh-CN" w:bidi="ar-SA"/>
        </w:rPr>
        <w:t>2</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5</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cs="Times New Roman"/>
          <w:b/>
          <w:color w:val="auto"/>
          <w:kern w:val="2"/>
          <w:sz w:val="24"/>
          <w:szCs w:val="22"/>
          <w:lang w:val="en-US" w:eastAsia="zh-CN" w:bidi="ar-SA"/>
        </w:rPr>
        <w:t>6</w:t>
      </w:r>
      <w:r>
        <w:rPr>
          <w:rFonts w:ascii="Times New Roman" w:hAnsi="Times New Roman" w:eastAsia="宋体" w:cs="Times New Roman"/>
          <w:b/>
          <w:color w:val="auto"/>
          <w:kern w:val="2"/>
          <w:sz w:val="24"/>
          <w:szCs w:val="22"/>
          <w:lang w:val="en-US" w:eastAsia="zh-CN" w:bidi="ar-SA"/>
        </w:rPr>
        <w:t xml:space="preserve">  地下水评价工作等级分级表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8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40" w:type="pct"/>
            <w:tcBorders>
              <w:tl2br w:val="nil"/>
              <w:tr2bl w:val="nil"/>
            </w:tcBorders>
            <w:noWrap w:val="0"/>
            <w:vAlign w:val="center"/>
          </w:tcPr>
          <w:p>
            <w:pPr>
              <w:tabs>
                <w:tab w:val="left" w:pos="5147"/>
              </w:tabs>
              <w:adjustRightInd w:val="0"/>
              <w:snapToGrid w:val="0"/>
              <w:spacing w:line="240" w:lineRule="auto"/>
              <w:jc w:val="center"/>
              <w:rPr>
                <w:rFonts w:hint="eastAsia" w:ascii="Calibri" w:hAnsi="宋体" w:eastAsia="宋体"/>
                <w:color w:val="auto"/>
                <w:sz w:val="21"/>
                <w:szCs w:val="21"/>
                <w:vertAlign w:val="baseline"/>
                <w:lang w:eastAsia="zh-CN"/>
              </w:rPr>
            </w:pPr>
            <w:r>
              <w:rPr>
                <w:rFonts w:hint="eastAsia" w:ascii="Calibri" w:hAnsi="宋体" w:eastAsia="宋体"/>
                <w:color w:val="auto"/>
                <w:sz w:val="21"/>
                <w:szCs w:val="21"/>
                <w:vertAlign w:val="baseline"/>
                <w:lang w:eastAsia="zh-CN"/>
              </w:rPr>
              <w:t>敏感程度</w:t>
            </w:r>
          </w:p>
        </w:tc>
        <w:tc>
          <w:tcPr>
            <w:tcW w:w="4659" w:type="pct"/>
            <w:tcBorders>
              <w:tl2br w:val="nil"/>
              <w:tr2bl w:val="nil"/>
            </w:tcBorders>
            <w:noWrap w:val="0"/>
            <w:vAlign w:val="center"/>
          </w:tcPr>
          <w:p>
            <w:pPr>
              <w:tabs>
                <w:tab w:val="left" w:pos="5147"/>
              </w:tabs>
              <w:adjustRightInd w:val="0"/>
              <w:snapToGrid w:val="0"/>
              <w:spacing w:line="240" w:lineRule="auto"/>
              <w:jc w:val="center"/>
              <w:rPr>
                <w:rFonts w:hint="eastAsia" w:ascii="Calibri" w:hAnsi="宋体" w:eastAsia="宋体"/>
                <w:color w:val="auto"/>
                <w:sz w:val="21"/>
                <w:szCs w:val="21"/>
                <w:vertAlign w:val="baseline"/>
                <w:lang w:eastAsia="zh-CN"/>
              </w:rPr>
            </w:pPr>
            <w:r>
              <w:rPr>
                <w:rFonts w:hint="eastAsia" w:ascii="Calibri" w:hAnsi="宋体" w:eastAsia="宋体"/>
                <w:color w:val="auto"/>
                <w:sz w:val="21"/>
                <w:szCs w:val="21"/>
                <w:vertAlign w:val="baseline"/>
                <w:lang w:eastAsia="zh-CN"/>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40" w:type="pct"/>
            <w:tcBorders>
              <w:tl2br w:val="nil"/>
              <w:tr2bl w:val="nil"/>
            </w:tcBorders>
            <w:noWrap w:val="0"/>
            <w:vAlign w:val="center"/>
          </w:tcPr>
          <w:p>
            <w:pPr>
              <w:tabs>
                <w:tab w:val="left" w:pos="5147"/>
              </w:tabs>
              <w:adjustRightInd w:val="0"/>
              <w:snapToGrid w:val="0"/>
              <w:spacing w:line="240" w:lineRule="auto"/>
              <w:jc w:val="center"/>
              <w:rPr>
                <w:rFonts w:hint="eastAsia" w:ascii="Calibri" w:hAnsi="宋体" w:eastAsia="宋体"/>
                <w:color w:val="auto"/>
                <w:sz w:val="21"/>
                <w:szCs w:val="21"/>
                <w:vertAlign w:val="baseline"/>
                <w:lang w:eastAsia="zh-CN"/>
              </w:rPr>
            </w:pPr>
            <w:r>
              <w:rPr>
                <w:rFonts w:hint="eastAsia" w:ascii="Calibri" w:hAnsi="宋体" w:eastAsia="宋体"/>
                <w:color w:val="auto"/>
                <w:sz w:val="21"/>
                <w:szCs w:val="21"/>
                <w:vertAlign w:val="baseline"/>
                <w:lang w:eastAsia="zh-CN"/>
              </w:rPr>
              <w:t>敏感</w:t>
            </w:r>
          </w:p>
        </w:tc>
        <w:tc>
          <w:tcPr>
            <w:tcW w:w="4659" w:type="pct"/>
            <w:tcBorders>
              <w:tl2br w:val="nil"/>
              <w:tr2bl w:val="nil"/>
            </w:tcBorders>
            <w:noWrap w:val="0"/>
            <w:vAlign w:val="center"/>
          </w:tcPr>
          <w:p>
            <w:pPr>
              <w:tabs>
                <w:tab w:val="left" w:pos="5147"/>
              </w:tabs>
              <w:adjustRightInd w:val="0"/>
              <w:snapToGrid w:val="0"/>
              <w:spacing w:line="240" w:lineRule="auto"/>
              <w:jc w:val="center"/>
              <w:rPr>
                <w:rFonts w:hint="eastAsia" w:ascii="Calibri" w:hAnsi="宋体" w:eastAsia="宋体"/>
                <w:color w:val="auto"/>
                <w:sz w:val="21"/>
                <w:szCs w:val="21"/>
                <w:vertAlign w:val="baseline"/>
              </w:rPr>
            </w:pPr>
            <w:r>
              <w:rPr>
                <w:rFonts w:hint="eastAsia" w:ascii="Calibri" w:hAnsi="宋体" w:eastAsia="宋体"/>
                <w:color w:val="auto"/>
                <w:sz w:val="21"/>
                <w:szCs w:val="21"/>
                <w:vertAlign w:val="baseline"/>
              </w:rPr>
              <w:t>集中式饮用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40" w:type="pct"/>
            <w:tcBorders>
              <w:tl2br w:val="nil"/>
              <w:tr2bl w:val="nil"/>
            </w:tcBorders>
            <w:noWrap w:val="0"/>
            <w:vAlign w:val="center"/>
          </w:tcPr>
          <w:p>
            <w:pPr>
              <w:tabs>
                <w:tab w:val="left" w:pos="5147"/>
              </w:tabs>
              <w:adjustRightInd w:val="0"/>
              <w:snapToGrid w:val="0"/>
              <w:spacing w:line="240" w:lineRule="auto"/>
              <w:jc w:val="center"/>
              <w:rPr>
                <w:rFonts w:hint="eastAsia" w:ascii="Calibri" w:hAnsi="宋体" w:eastAsia="宋体"/>
                <w:color w:val="auto"/>
                <w:sz w:val="21"/>
                <w:szCs w:val="21"/>
                <w:vertAlign w:val="baseline"/>
                <w:lang w:eastAsia="zh-CN"/>
              </w:rPr>
            </w:pPr>
            <w:r>
              <w:rPr>
                <w:rFonts w:hint="eastAsia" w:ascii="Calibri" w:hAnsi="宋体" w:eastAsia="宋体"/>
                <w:color w:val="auto"/>
                <w:sz w:val="21"/>
                <w:szCs w:val="21"/>
                <w:vertAlign w:val="baseline"/>
                <w:lang w:eastAsia="zh-CN"/>
              </w:rPr>
              <w:t>较敏感</w:t>
            </w:r>
          </w:p>
        </w:tc>
        <w:tc>
          <w:tcPr>
            <w:tcW w:w="4659" w:type="pct"/>
            <w:tcBorders>
              <w:tl2br w:val="nil"/>
              <w:tr2bl w:val="nil"/>
            </w:tcBorders>
            <w:noWrap w:val="0"/>
            <w:vAlign w:val="center"/>
          </w:tcPr>
          <w:p>
            <w:pPr>
              <w:tabs>
                <w:tab w:val="left" w:pos="5147"/>
              </w:tabs>
              <w:adjustRightInd w:val="0"/>
              <w:snapToGrid w:val="0"/>
              <w:spacing w:line="240" w:lineRule="auto"/>
              <w:jc w:val="center"/>
              <w:rPr>
                <w:rFonts w:hint="eastAsia" w:ascii="Calibri" w:hAnsi="宋体" w:eastAsia="宋体"/>
                <w:color w:val="auto"/>
                <w:sz w:val="21"/>
                <w:szCs w:val="21"/>
                <w:vertAlign w:val="baseline"/>
              </w:rPr>
            </w:pPr>
            <w:r>
              <w:rPr>
                <w:rFonts w:hint="eastAsia" w:ascii="Calibri" w:hAnsi="宋体" w:eastAsia="宋体"/>
                <w:color w:val="auto"/>
                <w:sz w:val="21"/>
                <w:szCs w:val="21"/>
                <w:vertAlign w:val="baseline"/>
              </w:rPr>
              <w:t>集中式饮用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40" w:type="pct"/>
            <w:tcBorders>
              <w:tl2br w:val="nil"/>
              <w:tr2bl w:val="nil"/>
            </w:tcBorders>
            <w:noWrap w:val="0"/>
            <w:vAlign w:val="center"/>
          </w:tcPr>
          <w:p>
            <w:pPr>
              <w:tabs>
                <w:tab w:val="left" w:pos="5147"/>
              </w:tabs>
              <w:adjustRightInd w:val="0"/>
              <w:snapToGrid w:val="0"/>
              <w:spacing w:line="240" w:lineRule="auto"/>
              <w:jc w:val="center"/>
              <w:rPr>
                <w:rFonts w:hint="eastAsia" w:ascii="Calibri" w:hAnsi="宋体" w:eastAsia="宋体"/>
                <w:color w:val="auto"/>
                <w:sz w:val="21"/>
                <w:szCs w:val="21"/>
                <w:vertAlign w:val="baseline"/>
                <w:lang w:eastAsia="zh-CN"/>
              </w:rPr>
            </w:pPr>
            <w:r>
              <w:rPr>
                <w:rFonts w:hint="eastAsia" w:ascii="Calibri" w:hAnsi="宋体" w:eastAsia="宋体"/>
                <w:color w:val="auto"/>
                <w:sz w:val="21"/>
                <w:szCs w:val="21"/>
                <w:vertAlign w:val="baseline"/>
                <w:lang w:eastAsia="zh-CN"/>
              </w:rPr>
              <w:t>不敏感</w:t>
            </w:r>
          </w:p>
        </w:tc>
        <w:tc>
          <w:tcPr>
            <w:tcW w:w="4659" w:type="pct"/>
            <w:tcBorders>
              <w:tl2br w:val="nil"/>
              <w:tr2bl w:val="nil"/>
            </w:tcBorders>
            <w:noWrap w:val="0"/>
            <w:vAlign w:val="center"/>
          </w:tcPr>
          <w:p>
            <w:pPr>
              <w:tabs>
                <w:tab w:val="left" w:pos="5147"/>
              </w:tabs>
              <w:adjustRightInd w:val="0"/>
              <w:snapToGrid w:val="0"/>
              <w:spacing w:line="240" w:lineRule="auto"/>
              <w:jc w:val="center"/>
              <w:rPr>
                <w:rFonts w:hint="eastAsia" w:ascii="Calibri" w:hAnsi="宋体" w:eastAsia="宋体"/>
                <w:color w:val="auto"/>
                <w:sz w:val="21"/>
                <w:szCs w:val="21"/>
                <w:vertAlign w:val="baseline"/>
              </w:rPr>
            </w:pPr>
            <w:r>
              <w:rPr>
                <w:rFonts w:hint="eastAsia" w:ascii="Calibri" w:hAnsi="宋体" w:eastAsia="宋体"/>
                <w:color w:val="auto"/>
                <w:sz w:val="21"/>
                <w:szCs w:val="21"/>
                <w:vertAlign w:val="baseline"/>
              </w:rPr>
              <w:t>上述地区之外的其他地区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000" w:type="pct"/>
            <w:gridSpan w:val="2"/>
            <w:tcBorders>
              <w:tl2br w:val="nil"/>
              <w:tr2bl w:val="nil"/>
            </w:tcBorders>
            <w:noWrap w:val="0"/>
            <w:vAlign w:val="center"/>
          </w:tcPr>
          <w:p>
            <w:pPr>
              <w:tabs>
                <w:tab w:val="left" w:pos="5147"/>
              </w:tabs>
              <w:adjustRightInd w:val="0"/>
              <w:snapToGrid w:val="0"/>
              <w:spacing w:line="240" w:lineRule="auto"/>
              <w:jc w:val="center"/>
              <w:rPr>
                <w:rFonts w:hint="eastAsia" w:ascii="Calibri" w:hAnsi="宋体" w:eastAsia="宋体"/>
                <w:color w:val="auto"/>
                <w:sz w:val="21"/>
                <w:szCs w:val="21"/>
                <w:vertAlign w:val="baseline"/>
              </w:rPr>
            </w:pPr>
            <w:r>
              <w:rPr>
                <w:rFonts w:hint="eastAsia" w:ascii="Calibri" w:hAnsi="宋体" w:eastAsia="宋体"/>
                <w:color w:val="auto"/>
                <w:sz w:val="21"/>
                <w:szCs w:val="21"/>
                <w:vertAlign w:val="baseline"/>
              </w:rPr>
              <w:t>注:a“环境敏感区”是指《建设项目环境影响评价分类管理名录》中所界定的涉及地下水的环境敏感区</w:t>
            </w:r>
          </w:p>
        </w:tc>
      </w:tr>
    </w:tbl>
    <w:p>
      <w:pPr>
        <w:widowControl w:val="0"/>
        <w:bidi w:val="0"/>
        <w:spacing w:line="360" w:lineRule="auto"/>
        <w:jc w:val="center"/>
        <w:rPr>
          <w:rFonts w:ascii="Times New Roman" w:hAnsi="Times New Roman" w:eastAsia="宋体" w:cs="Times New Roman"/>
          <w:b/>
          <w:color w:val="auto"/>
          <w:kern w:val="2"/>
          <w:sz w:val="24"/>
          <w:szCs w:val="24"/>
          <w:lang w:val="en-US" w:eastAsia="zh-CN" w:bidi="ar-SA"/>
        </w:rPr>
      </w:pPr>
      <w:r>
        <w:rPr>
          <w:rFonts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color w:val="auto"/>
          <w:kern w:val="2"/>
          <w:sz w:val="24"/>
          <w:szCs w:val="24"/>
          <w:lang w:val="en-US" w:eastAsia="zh-CN" w:bidi="ar-SA"/>
        </w:rPr>
        <w:t>2</w:t>
      </w:r>
      <w:r>
        <w:rPr>
          <w:rFonts w:ascii="Times New Roman" w:hAnsi="Times New Roman" w:eastAsia="宋体" w:cs="Times New Roman"/>
          <w:b/>
          <w:color w:val="auto"/>
          <w:kern w:val="2"/>
          <w:sz w:val="24"/>
          <w:szCs w:val="24"/>
          <w:lang w:val="en-US" w:eastAsia="zh-CN" w:bidi="ar-SA"/>
        </w:rPr>
        <w:t>.</w:t>
      </w:r>
      <w:r>
        <w:rPr>
          <w:rFonts w:hint="eastAsia" w:ascii="Times New Roman" w:hAnsi="Times New Roman" w:eastAsia="宋体" w:cs="Times New Roman"/>
          <w:b/>
          <w:color w:val="auto"/>
          <w:kern w:val="2"/>
          <w:sz w:val="24"/>
          <w:szCs w:val="24"/>
          <w:lang w:val="en-US" w:eastAsia="zh-CN" w:bidi="ar-SA"/>
        </w:rPr>
        <w:t>5</w:t>
      </w:r>
      <w:r>
        <w:rPr>
          <w:rFonts w:ascii="Times New Roman" w:hAnsi="Times New Roman" w:eastAsia="宋体" w:cs="Times New Roman"/>
          <w:b/>
          <w:color w:val="auto"/>
          <w:kern w:val="2"/>
          <w:sz w:val="24"/>
          <w:szCs w:val="24"/>
          <w:lang w:val="en-US" w:eastAsia="zh-CN" w:bidi="ar-SA"/>
        </w:rPr>
        <w:t>-</w:t>
      </w:r>
      <w:r>
        <w:rPr>
          <w:rFonts w:hint="eastAsia" w:ascii="Times New Roman" w:hAnsi="Times New Roman" w:cs="Times New Roman"/>
          <w:b/>
          <w:bCs/>
          <w:color w:val="auto"/>
          <w:kern w:val="2"/>
          <w:sz w:val="24"/>
          <w:szCs w:val="24"/>
          <w:lang w:val="en-US" w:eastAsia="zh-CN" w:bidi="ar-SA"/>
        </w:rPr>
        <w:t>7</w:t>
      </w:r>
      <w:r>
        <w:rPr>
          <w:rFonts w:ascii="Times New Roman" w:hAnsi="Times New Roman" w:eastAsia="宋体" w:cs="Times New Roman"/>
          <w:b/>
          <w:bCs/>
          <w:color w:val="auto"/>
          <w:kern w:val="2"/>
          <w:sz w:val="24"/>
          <w:szCs w:val="24"/>
          <w:lang w:val="en-US" w:eastAsia="zh-CN" w:bidi="ar-SA"/>
        </w:rPr>
        <w:t xml:space="preserve">  </w:t>
      </w:r>
      <w:r>
        <w:rPr>
          <w:rFonts w:ascii="Times New Roman" w:hAnsi="Times New Roman" w:eastAsia="宋体" w:cs="Times New Roman"/>
          <w:b/>
          <w:bCs/>
          <w:color w:val="auto"/>
          <w:spacing w:val="1"/>
          <w:kern w:val="2"/>
          <w:sz w:val="24"/>
          <w:szCs w:val="24"/>
          <w:lang w:val="en-US" w:eastAsia="zh-CN" w:bidi="ar-SA"/>
        </w:rPr>
        <w:t>地下水评价工作等级分级表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781"/>
        <w:gridCol w:w="2181"/>
        <w:gridCol w:w="2183"/>
        <w:gridCol w:w="21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79" w:hRule="atLeast"/>
        </w:trPr>
        <w:tc>
          <w:tcPr>
            <w:tcW w:w="1491" w:type="pct"/>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 xml:space="preserve">         </w:t>
            </w:r>
          </w:p>
          <w:p>
            <w:pPr>
              <w:widowControl w:val="0"/>
              <w:bidi w:val="0"/>
              <w:snapToGrid w:val="0"/>
              <w:spacing w:before="20" w:line="240" w:lineRule="auto"/>
              <w:ind w:firstLine="0" w:firstLineChars="0"/>
              <w:jc w:val="both"/>
              <mc:AlternateContent>
                <mc:Choice Requires="wpsCustomData">
                  <wpsCustomData:diagonalParaType/>
                </mc:Choice>
              </mc:AlternateContent>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环境敏感程度</w:t>
            </w:r>
          </w:p>
          <w:p>
            <w:pPr>
              <w:widowControl w:val="0"/>
              <w:bidi w:val="0"/>
              <w:spacing w:before="20" w:line="240" w:lineRule="auto"/>
              <w:ind w:firstLine="0" w:firstLineChars="0"/>
              <w:jc w:val="both"/>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项目类别</w:t>
            </w:r>
          </w:p>
        </w:tc>
        <w:tc>
          <w:tcPr>
            <w:tcW w:w="11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Ⅰ类项目</w:t>
            </w:r>
          </w:p>
        </w:tc>
        <w:tc>
          <w:tcPr>
            <w:tcW w:w="117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Ⅱ类项目</w:t>
            </w:r>
          </w:p>
        </w:tc>
        <w:tc>
          <w:tcPr>
            <w:tcW w:w="116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Ⅲ类项目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0" w:hRule="exact"/>
        </w:trPr>
        <w:tc>
          <w:tcPr>
            <w:tcW w:w="149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敏感</w:t>
            </w:r>
          </w:p>
        </w:tc>
        <w:tc>
          <w:tcPr>
            <w:tcW w:w="11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一</w:t>
            </w:r>
          </w:p>
        </w:tc>
        <w:tc>
          <w:tcPr>
            <w:tcW w:w="117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一</w:t>
            </w:r>
          </w:p>
        </w:tc>
        <w:tc>
          <w:tcPr>
            <w:tcW w:w="116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0" w:hRule="exact"/>
        </w:trPr>
        <w:tc>
          <w:tcPr>
            <w:tcW w:w="149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较</w:t>
            </w:r>
            <w:r>
              <w:rPr>
                <w:rFonts w:hint="eastAsia" w:ascii="Times New Roman" w:hAnsi="Times New Roman" w:eastAsia="宋体" w:cs="Times New Roman"/>
                <w:color w:val="auto"/>
                <w:kern w:val="2"/>
                <w:sz w:val="21"/>
                <w:szCs w:val="20"/>
                <w:lang w:val="en-US" w:eastAsia="zh-CN" w:bidi="ar-SA"/>
              </w:rPr>
              <w:t>敏感</w:t>
            </w:r>
            <w:r>
              <w:rPr>
                <w:rFonts w:ascii="Times New Roman" w:hAnsi="Times New Roman" w:eastAsia="宋体" w:cs="Times New Roman"/>
                <w:color w:val="auto"/>
                <w:kern w:val="2"/>
                <w:sz w:val="21"/>
                <w:szCs w:val="20"/>
                <w:lang w:val="en-US" w:eastAsia="zh-CN" w:bidi="ar-SA"/>
              </w:rPr>
              <w:t>感</w:t>
            </w:r>
          </w:p>
        </w:tc>
        <w:tc>
          <w:tcPr>
            <w:tcW w:w="11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一</w:t>
            </w:r>
          </w:p>
        </w:tc>
        <w:tc>
          <w:tcPr>
            <w:tcW w:w="117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w:t>
            </w:r>
          </w:p>
        </w:tc>
        <w:tc>
          <w:tcPr>
            <w:tcW w:w="116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0" w:hRule="exact"/>
        </w:trPr>
        <w:tc>
          <w:tcPr>
            <w:tcW w:w="1491" w:type="pct"/>
            <w:tcBorders>
              <w:tl2br w:val="nil"/>
              <w:tr2bl w:val="nil"/>
            </w:tcBorders>
            <w:shd w:val="clear" w:color="auto" w:fill="auto"/>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不敏感</w:t>
            </w:r>
          </w:p>
        </w:tc>
        <w:tc>
          <w:tcPr>
            <w:tcW w:w="1169" w:type="pct"/>
            <w:tcBorders>
              <w:tl2br w:val="nil"/>
              <w:tr2bl w:val="nil"/>
            </w:tcBorders>
            <w:shd w:val="clear" w:color="auto" w:fill="BEBEBE"/>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w:t>
            </w:r>
          </w:p>
        </w:tc>
        <w:tc>
          <w:tcPr>
            <w:tcW w:w="117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三</w:t>
            </w:r>
          </w:p>
        </w:tc>
        <w:tc>
          <w:tcPr>
            <w:tcW w:w="116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三</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根据《环境影响评价技术导则一地下水环境》(HJ610-2016)的规定，建设项目的地下水环境敏感程度可分为敏感、较敏感、不敏感三级，分级原则见表2.5-</w:t>
      </w:r>
      <w:r>
        <w:rPr>
          <w:rFonts w:hint="eastAsia" w:ascii="Times New Roman" w:hAnsi="Times New Roman" w:cs="Times New Roman"/>
          <w:color w:val="auto"/>
          <w:kern w:val="2"/>
          <w:sz w:val="24"/>
          <w:szCs w:val="20"/>
          <w:lang w:val="en-US" w:eastAsia="zh-CN" w:bidi="ar-SA"/>
        </w:rPr>
        <w:t>6</w:t>
      </w:r>
      <w:r>
        <w:rPr>
          <w:rFonts w:hint="eastAsia" w:ascii="Times New Roman" w:hAnsi="Times New Roman" w:eastAsia="宋体" w:cs="Times New Roman"/>
          <w:color w:val="auto"/>
          <w:kern w:val="2"/>
          <w:sz w:val="24"/>
          <w:szCs w:val="20"/>
          <w:lang w:val="en-US" w:eastAsia="zh-CN" w:bidi="ar-SA"/>
        </w:rPr>
        <w:t>所示;地下水环境影响评价工作等级划分见表2.5-</w:t>
      </w:r>
      <w:r>
        <w:rPr>
          <w:rFonts w:hint="eastAsia" w:ascii="Times New Roman" w:hAnsi="Times New Roman" w:cs="Times New Roman"/>
          <w:color w:val="auto"/>
          <w:kern w:val="2"/>
          <w:sz w:val="24"/>
          <w:szCs w:val="20"/>
          <w:lang w:val="en-US" w:eastAsia="zh-CN" w:bidi="ar-SA"/>
        </w:rPr>
        <w:t>7</w:t>
      </w:r>
      <w:r>
        <w:rPr>
          <w:rFonts w:hint="eastAsia" w:ascii="Times New Roman" w:hAnsi="Times New Roman" w:eastAsia="宋体" w:cs="Times New Roman"/>
          <w:color w:val="auto"/>
          <w:kern w:val="2"/>
          <w:sz w:val="24"/>
          <w:szCs w:val="20"/>
          <w:lang w:val="en-US" w:eastAsia="zh-CN" w:bidi="ar-SA"/>
        </w:rPr>
        <w:t>所示。对照表2.5-</w:t>
      </w:r>
      <w:r>
        <w:rPr>
          <w:rFonts w:hint="eastAsia" w:ascii="Times New Roman" w:hAnsi="Times New Roman" w:cs="Times New Roman"/>
          <w:color w:val="auto"/>
          <w:kern w:val="2"/>
          <w:sz w:val="24"/>
          <w:szCs w:val="20"/>
          <w:lang w:val="en-US" w:eastAsia="zh-CN" w:bidi="ar-SA"/>
        </w:rPr>
        <w:t>6</w:t>
      </w:r>
      <w:r>
        <w:rPr>
          <w:rFonts w:hint="eastAsia" w:ascii="Times New Roman" w:hAnsi="Times New Roman" w:eastAsia="宋体" w:cs="Times New Roman"/>
          <w:color w:val="auto"/>
          <w:kern w:val="2"/>
          <w:sz w:val="24"/>
          <w:szCs w:val="20"/>
          <w:lang w:val="en-US" w:eastAsia="zh-CN" w:bidi="ar-SA"/>
        </w:rPr>
        <w:t>、表2.5-</w:t>
      </w:r>
      <w:r>
        <w:rPr>
          <w:rFonts w:hint="eastAsia" w:ascii="Times New Roman" w:hAnsi="Times New Roman" w:cs="Times New Roman"/>
          <w:color w:val="auto"/>
          <w:kern w:val="2"/>
          <w:sz w:val="24"/>
          <w:szCs w:val="20"/>
          <w:lang w:val="en-US" w:eastAsia="zh-CN" w:bidi="ar-SA"/>
        </w:rPr>
        <w:t>7</w:t>
      </w:r>
      <w:r>
        <w:rPr>
          <w:rFonts w:hint="eastAsia" w:ascii="Times New Roman" w:hAnsi="Times New Roman" w:eastAsia="宋体" w:cs="Times New Roman"/>
          <w:color w:val="auto"/>
          <w:kern w:val="2"/>
          <w:sz w:val="24"/>
          <w:szCs w:val="20"/>
          <w:lang w:val="en-US" w:eastAsia="zh-CN" w:bidi="ar-SA"/>
        </w:rPr>
        <w:t>，拟建项目评价等级为二级。</w:t>
      </w:r>
    </w:p>
    <w:p>
      <w:pPr>
        <w:keepNext/>
        <w:keepLines/>
        <w:widowControl w:val="0"/>
        <w:bidi w:val="0"/>
        <w:spacing w:before="260" w:beforeLines="0" w:beforeAutospacing="0" w:after="260" w:afterLines="0" w:afterAutospacing="0" w:line="360" w:lineRule="auto"/>
        <w:jc w:val="both"/>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2.5.4声环境</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根据《环境影响评价技术导则声环境》(HJ2.4-2009)关于声环境评价工作等级的划分原则，结合环境敏感区的分布等综合考虑，声环境影响评价工作等级确定为三级。</w:t>
      </w:r>
    </w:p>
    <w:p>
      <w:pPr>
        <w:widowControl w:val="0"/>
        <w:bidi w:val="0"/>
        <w:spacing w:line="360" w:lineRule="auto"/>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default" w:ascii="Times New Roman" w:hAnsi="Times New Roman" w:eastAsia="宋体" w:cs="Times New Roman"/>
          <w:b/>
          <w:color w:val="auto"/>
          <w:kern w:val="2"/>
          <w:sz w:val="24"/>
          <w:szCs w:val="24"/>
          <w:lang w:val="en-US" w:eastAsia="zh-CN" w:bidi="ar-SA"/>
        </w:rPr>
        <w:t>2.5-</w:t>
      </w:r>
      <w:r>
        <w:rPr>
          <w:rFonts w:hint="eastAsia" w:ascii="Times New Roman" w:hAnsi="Times New Roman" w:cs="Times New Roman"/>
          <w:b/>
          <w:bCs/>
          <w:color w:val="auto"/>
          <w:kern w:val="2"/>
          <w:sz w:val="24"/>
          <w:szCs w:val="24"/>
          <w:lang w:val="en-US" w:eastAsia="zh-CN" w:bidi="ar-SA"/>
        </w:rPr>
        <w:t>8</w:t>
      </w:r>
      <w:r>
        <w:rPr>
          <w:rFonts w:hint="default"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spacing w:val="1"/>
          <w:kern w:val="2"/>
          <w:sz w:val="24"/>
          <w:szCs w:val="24"/>
          <w:lang w:val="en-US" w:eastAsia="zh-CN" w:bidi="ar-SA"/>
        </w:rPr>
        <w:t>项目声环境评价工作等级划分表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7660"/>
      </w:tblGrid>
      <w:tr>
        <w:tc>
          <w:tcPr>
            <w:tcW w:w="97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HJ2.4-2009划分原则</w:t>
            </w:r>
          </w:p>
        </w:tc>
        <w:tc>
          <w:tcPr>
            <w:tcW w:w="402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建设项目所处的声环境功能区为GB3096规定的3类、4类地区，或建设项目建设前后评价范围内敏感目标噪声级增高量在3dB(A)以下[不含3dB(A)]，且受影响人口数量变化不大时，按三级评价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7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项目所在区域环境功能区划</w:t>
            </w:r>
          </w:p>
        </w:tc>
        <w:tc>
          <w:tcPr>
            <w:tcW w:w="402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r>
              <w:rPr>
                <w:rFonts w:hint="eastAsia" w:ascii="Times New Roman" w:hAnsi="Times New Roman" w:cs="Times New Roman"/>
                <w:color w:val="auto"/>
                <w:kern w:val="2"/>
                <w:sz w:val="21"/>
                <w:szCs w:val="20"/>
                <w:lang w:val="en-US" w:eastAsia="zh-CN" w:bidi="ar-SA"/>
              </w:rPr>
              <w:t>声环境质量标准</w:t>
            </w:r>
            <w:r>
              <w:rPr>
                <w:rFonts w:hint="eastAsia" w:ascii="Times New Roman" w:hAnsi="Times New Roman" w:eastAsia="宋体" w:cs="Times New Roman"/>
                <w:color w:val="auto"/>
                <w:kern w:val="2"/>
                <w:sz w:val="21"/>
                <w:szCs w:val="20"/>
                <w:lang w:val="en-US" w:eastAsia="zh-CN" w:bidi="ar-SA"/>
              </w:rPr>
              <w:t>》GB3096-2008中3类</w:t>
            </w:r>
            <w:r>
              <w:rPr>
                <w:rFonts w:hint="eastAsia" w:ascii="Times New Roman" w:hAnsi="Times New Roman" w:cs="Times New Roman"/>
                <w:color w:val="auto"/>
                <w:kern w:val="2"/>
                <w:sz w:val="21"/>
                <w:szCs w:val="20"/>
                <w:lang w:val="en-US" w:eastAsia="zh-CN" w:bidi="ar-SA"/>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7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受影响人口</w:t>
            </w:r>
          </w:p>
        </w:tc>
        <w:tc>
          <w:tcPr>
            <w:tcW w:w="402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周边均为工业用地，项目200m范围内无声敏感点，敏感目标噪声级增高量在3dB(A)以下，受影响人口不大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7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评价等级</w:t>
            </w:r>
          </w:p>
        </w:tc>
        <w:tc>
          <w:tcPr>
            <w:tcW w:w="402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三级</w:t>
            </w:r>
          </w:p>
        </w:tc>
      </w:tr>
    </w:tbl>
    <w:p>
      <w:pPr>
        <w:keepNext w:val="0"/>
        <w:keepLines w:val="0"/>
        <w:pageBreakBefore w:val="0"/>
        <w:widowControl w:val="0"/>
        <w:kinsoku/>
        <w:wordWrap/>
        <w:overflowPunct/>
        <w:topLinePunct w:val="0"/>
        <w:autoSpaceDE/>
        <w:autoSpaceDN/>
        <w:bidi w:val="0"/>
        <w:adjustRightInd/>
        <w:snapToGrid/>
        <w:spacing w:beforeLines="0" w:beforeAutospacing="0" w:after="0" w:afterLines="0" w:afterAutospacing="0" w:line="360" w:lineRule="auto"/>
        <w:ind w:firstLine="480" w:firstLineChars="200"/>
        <w:jc w:val="both"/>
        <w:textAlignment w:val="auto"/>
        <w:outlineLvl w:val="9"/>
        <w:rPr>
          <w:rFonts w:hint="eastAsia"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color w:val="auto"/>
          <w:kern w:val="2"/>
          <w:sz w:val="24"/>
          <w:szCs w:val="20"/>
          <w:lang w:val="en-US" w:eastAsia="zh-CN" w:bidi="ar-SA"/>
        </w:rPr>
        <w:t>根据《环境影响评价技术导则声环境》(HJ2.4- 2009)关于声环境评价工作等级的划分原则，结合环境敏感区的分布等综合考虑，声环境影响评价工作等级确定为三级。</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2.5.5生态环境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本项目位于湖南岳阳绿色化工产业园内，其区域生态敏感性为一般区域，项目占地面积小于2km</w:t>
      </w:r>
      <w:r>
        <w:rPr>
          <w:rFonts w:hint="eastAsia" w:ascii="Times New Roman" w:hAnsi="Times New Roman" w:eastAsia="宋体" w:cs="Times New Roman"/>
          <w:color w:val="auto"/>
          <w:kern w:val="2"/>
          <w:sz w:val="24"/>
          <w:szCs w:val="20"/>
          <w:vertAlign w:val="superscript"/>
          <w:lang w:val="en-US" w:eastAsia="zh-CN" w:bidi="ar-SA"/>
        </w:rPr>
        <w:t>2</w:t>
      </w:r>
      <w:r>
        <w:rPr>
          <w:rFonts w:hint="eastAsia" w:ascii="Times New Roman" w:hAnsi="Times New Roman" w:eastAsia="宋体" w:cs="Times New Roman"/>
          <w:color w:val="auto"/>
          <w:kern w:val="2"/>
          <w:sz w:val="24"/>
          <w:szCs w:val="20"/>
          <w:lang w:val="en-US" w:eastAsia="zh-CN" w:bidi="ar-SA"/>
        </w:rPr>
        <w:t>，项目周边无特殊生态敏感区和重要生态敏感区，对生态环境影响甚微。根据《环境影响评价技术导则——生态影响》（HJ19-2011），因此将生态环境评价定为三级。具体评定过程见表2</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5</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9</w:t>
      </w:r>
      <w:r>
        <w:rPr>
          <w:rFonts w:hint="eastAsia" w:ascii="Times New Roman" w:hAnsi="Times New Roman" w:eastAsia="宋体" w:cs="Times New Roman"/>
          <w:color w:val="auto"/>
          <w:kern w:val="2"/>
          <w:sz w:val="24"/>
          <w:szCs w:val="20"/>
          <w:lang w:val="en-US" w:eastAsia="zh-CN" w:bidi="ar-SA"/>
        </w:rPr>
        <w:t>。</w:t>
      </w:r>
    </w:p>
    <w:p>
      <w:pPr>
        <w:widowControl w:val="0"/>
        <w:bidi w:val="0"/>
        <w:spacing w:line="360" w:lineRule="auto"/>
        <w:jc w:val="center"/>
        <w:rPr>
          <w:rFonts w:ascii="Times New Roman" w:hAnsi="Times New Roman" w:eastAsia="宋体" w:cs="Times New Roman"/>
          <w:b/>
          <w:color w:val="auto"/>
          <w:kern w:val="2"/>
          <w:sz w:val="24"/>
          <w:szCs w:val="22"/>
          <w:lang w:val="en-US" w:eastAsia="zh-CN" w:bidi="ar-SA"/>
        </w:rPr>
      </w:pPr>
      <w:r>
        <w:rPr>
          <w:rFonts w:ascii="Times New Roman" w:hAnsi="Times New Roman" w:eastAsia="宋体" w:cs="Times New Roman"/>
          <w:b/>
          <w:color w:val="auto"/>
          <w:kern w:val="2"/>
          <w:sz w:val="24"/>
          <w:szCs w:val="22"/>
          <w:lang w:val="en-US" w:eastAsia="zh-CN" w:bidi="ar-SA"/>
        </w:rPr>
        <w:t>表</w:t>
      </w:r>
      <w:r>
        <w:rPr>
          <w:rFonts w:hint="eastAsia" w:ascii="Times New Roman" w:hAnsi="Times New Roman" w:eastAsia="宋体" w:cs="Times New Roman"/>
          <w:b/>
          <w:color w:val="auto"/>
          <w:kern w:val="2"/>
          <w:sz w:val="24"/>
          <w:szCs w:val="22"/>
          <w:lang w:val="en-US" w:eastAsia="zh-CN" w:bidi="ar-SA"/>
        </w:rPr>
        <w:t>2</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5</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cs="Times New Roman"/>
          <w:b/>
          <w:color w:val="auto"/>
          <w:kern w:val="2"/>
          <w:sz w:val="24"/>
          <w:szCs w:val="22"/>
          <w:lang w:val="en-US" w:eastAsia="zh-CN" w:bidi="ar-SA"/>
        </w:rPr>
        <w:t>9</w:t>
      </w:r>
      <w:r>
        <w:rPr>
          <w:rFonts w:ascii="Times New Roman" w:hAnsi="Times New Roman" w:eastAsia="宋体" w:cs="Times New Roman"/>
          <w:b/>
          <w:color w:val="auto"/>
          <w:kern w:val="2"/>
          <w:sz w:val="24"/>
          <w:szCs w:val="22"/>
          <w:lang w:val="en-US" w:eastAsia="zh-CN" w:bidi="ar-SA"/>
        </w:rPr>
        <w:t xml:space="preserve">  生态影响评价工作等级</w:t>
      </w:r>
      <w:r>
        <w:rPr>
          <w:rFonts w:hint="eastAsia" w:ascii="Times New Roman" w:hAnsi="Times New Roman" w:eastAsia="宋体" w:cs="Times New Roman"/>
          <w:b/>
          <w:color w:val="auto"/>
          <w:kern w:val="2"/>
          <w:sz w:val="24"/>
          <w:szCs w:val="22"/>
          <w:lang w:val="en-US" w:eastAsia="zh-CN" w:bidi="ar-SA"/>
        </w:rPr>
        <w:t>划分</w:t>
      </w:r>
      <w:r>
        <w:rPr>
          <w:rFonts w:ascii="Times New Roman" w:hAnsi="Times New Roman" w:eastAsia="宋体" w:cs="Times New Roman"/>
          <w:b/>
          <w:color w:val="auto"/>
          <w:kern w:val="2"/>
          <w:sz w:val="24"/>
          <w:szCs w:val="22"/>
          <w:lang w:val="en-US" w:eastAsia="zh-CN" w:bidi="ar-SA"/>
        </w:rPr>
        <w:t>表</w:t>
      </w:r>
    </w:p>
    <w:tbl>
      <w:tblPr>
        <w:tblStyle w:val="27"/>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483"/>
        <w:gridCol w:w="2168"/>
        <w:gridCol w:w="2632"/>
        <w:gridCol w:w="20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3" w:hRule="exact"/>
        </w:trPr>
        <w:tc>
          <w:tcPr>
            <w:tcW w:w="1331"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影响区域生态敏感性</w:t>
            </w:r>
          </w:p>
        </w:tc>
        <w:tc>
          <w:tcPr>
            <w:tcW w:w="3668" w:type="pct"/>
            <w:gridSpan w:val="3"/>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项目占地（水域）范围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15" w:hRule="exact"/>
        </w:trPr>
        <w:tc>
          <w:tcPr>
            <w:tcW w:w="1331"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16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面积≥20km</w:t>
            </w:r>
            <w:r>
              <w:rPr>
                <w:rFonts w:hint="eastAsia" w:ascii="Times New Roman" w:hAnsi="Times New Roman" w:eastAsia="宋体" w:cs="Times New Roman"/>
                <w:color w:val="auto"/>
                <w:kern w:val="2"/>
                <w:sz w:val="21"/>
                <w:szCs w:val="20"/>
                <w:vertAlign w:val="superscript"/>
                <w:lang w:val="en-US" w:eastAsia="zh-CN" w:bidi="ar-SA"/>
              </w:rPr>
              <w:t>2</w:t>
            </w:r>
            <w:r>
              <w:rPr>
                <w:rFonts w:ascii="Times New Roman" w:hAnsi="Times New Roman" w:eastAsia="宋体" w:cs="Times New Roman"/>
                <w:color w:val="auto"/>
                <w:kern w:val="2"/>
                <w:sz w:val="21"/>
                <w:szCs w:val="20"/>
                <w:lang w:val="en-US" w:eastAsia="zh-CN" w:bidi="ar-SA"/>
              </w:rPr>
              <w:t>或长度≥100km</w:t>
            </w:r>
          </w:p>
        </w:tc>
        <w:tc>
          <w:tcPr>
            <w:tcW w:w="141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面积 2km</w:t>
            </w:r>
            <w:r>
              <w:rPr>
                <w:rFonts w:hint="eastAsia" w:ascii="Times New Roman" w:hAnsi="Times New Roman" w:eastAsia="宋体" w:cs="Times New Roman"/>
                <w:color w:val="auto"/>
                <w:kern w:val="2"/>
                <w:sz w:val="21"/>
                <w:szCs w:val="20"/>
                <w:vertAlign w:val="superscript"/>
                <w:lang w:val="en-US" w:eastAsia="zh-CN" w:bidi="ar-SA"/>
              </w:rPr>
              <w:t>2</w:t>
            </w:r>
            <w:r>
              <w:rPr>
                <w:rFonts w:ascii="Times New Roman" w:hAnsi="Times New Roman" w:eastAsia="宋体" w:cs="Times New Roman"/>
                <w:color w:val="auto"/>
                <w:kern w:val="2"/>
                <w:sz w:val="21"/>
                <w:szCs w:val="20"/>
                <w:lang w:val="en-US" w:eastAsia="zh-CN" w:bidi="ar-SA"/>
              </w:rPr>
              <w:t>～20km</w:t>
            </w:r>
            <w:r>
              <w:rPr>
                <w:rFonts w:hint="eastAsia" w:ascii="Times New Roman" w:hAnsi="Times New Roman" w:eastAsia="宋体" w:cs="Times New Roman"/>
                <w:color w:val="auto"/>
                <w:kern w:val="2"/>
                <w:sz w:val="21"/>
                <w:szCs w:val="20"/>
                <w:vertAlign w:val="superscript"/>
                <w:lang w:val="en-US" w:eastAsia="zh-CN" w:bidi="ar-SA"/>
              </w:rPr>
              <w:t>2</w:t>
            </w:r>
            <w:r>
              <w:rPr>
                <w:rFonts w:ascii="Times New Roman" w:hAnsi="Times New Roman" w:eastAsia="宋体" w:cs="Times New Roman"/>
                <w:color w:val="auto"/>
                <w:kern w:val="2"/>
                <w:sz w:val="21"/>
                <w:szCs w:val="20"/>
                <w:lang w:val="en-US" w:eastAsia="zh-CN" w:bidi="ar-SA"/>
              </w:rPr>
              <w:t>或长度 50km～100km</w:t>
            </w:r>
          </w:p>
        </w:tc>
        <w:tc>
          <w:tcPr>
            <w:tcW w:w="109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面积≤2km</w:t>
            </w:r>
            <w:r>
              <w:rPr>
                <w:rFonts w:hint="eastAsia" w:ascii="Times New Roman" w:hAnsi="Times New Roman" w:eastAsia="宋体" w:cs="Times New Roman"/>
                <w:color w:val="auto"/>
                <w:kern w:val="2"/>
                <w:sz w:val="21"/>
                <w:szCs w:val="20"/>
                <w:vertAlign w:val="superscript"/>
                <w:lang w:val="en-US" w:eastAsia="zh-CN" w:bidi="ar-SA"/>
              </w:rPr>
              <w:t>2</w:t>
            </w:r>
            <w:r>
              <w:rPr>
                <w:rFonts w:ascii="Times New Roman" w:hAnsi="Times New Roman" w:eastAsia="宋体" w:cs="Times New Roman"/>
                <w:color w:val="auto"/>
                <w:kern w:val="2"/>
                <w:sz w:val="21"/>
                <w:szCs w:val="20"/>
                <w:lang w:val="en-US" w:eastAsia="zh-CN" w:bidi="ar-SA"/>
              </w:rPr>
              <w:t xml:space="preserve"> 或长度≤50km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5" w:hRule="exact"/>
        </w:trPr>
        <w:tc>
          <w:tcPr>
            <w:tcW w:w="133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特殊生态敏感区</w:t>
            </w:r>
          </w:p>
        </w:tc>
        <w:tc>
          <w:tcPr>
            <w:tcW w:w="116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一级</w:t>
            </w:r>
          </w:p>
        </w:tc>
        <w:tc>
          <w:tcPr>
            <w:tcW w:w="141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一级</w:t>
            </w:r>
          </w:p>
        </w:tc>
        <w:tc>
          <w:tcPr>
            <w:tcW w:w="109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5" w:hRule="exact"/>
        </w:trPr>
        <w:tc>
          <w:tcPr>
            <w:tcW w:w="133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重要生态敏感区</w:t>
            </w:r>
          </w:p>
        </w:tc>
        <w:tc>
          <w:tcPr>
            <w:tcW w:w="116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一级</w:t>
            </w:r>
          </w:p>
        </w:tc>
        <w:tc>
          <w:tcPr>
            <w:tcW w:w="141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二级</w:t>
            </w:r>
          </w:p>
        </w:tc>
        <w:tc>
          <w:tcPr>
            <w:tcW w:w="109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2" w:hRule="exact"/>
        </w:trPr>
        <w:tc>
          <w:tcPr>
            <w:tcW w:w="1331" w:type="pct"/>
            <w:tcBorders>
              <w:tl2br w:val="nil"/>
              <w:tr2bl w:val="nil"/>
            </w:tcBorders>
            <w:shd w:val="clear" w:color="auto" w:fill="auto"/>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一般区域</w:t>
            </w:r>
          </w:p>
        </w:tc>
        <w:tc>
          <w:tcPr>
            <w:tcW w:w="1162" w:type="pct"/>
            <w:tcBorders>
              <w:tl2br w:val="nil"/>
              <w:tr2bl w:val="nil"/>
            </w:tcBorders>
            <w:shd w:val="clear" w:color="auto" w:fill="auto"/>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二级</w:t>
            </w:r>
          </w:p>
        </w:tc>
        <w:tc>
          <w:tcPr>
            <w:tcW w:w="1411" w:type="pct"/>
            <w:tcBorders>
              <w:tl2br w:val="nil"/>
              <w:tr2bl w:val="nil"/>
            </w:tcBorders>
            <w:shd w:val="clear" w:color="auto" w:fill="auto"/>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三级</w:t>
            </w:r>
          </w:p>
        </w:tc>
        <w:tc>
          <w:tcPr>
            <w:tcW w:w="1094" w:type="pct"/>
            <w:tcBorders>
              <w:tl2br w:val="nil"/>
              <w:tr2bl w:val="nil"/>
            </w:tcBorders>
            <w:shd w:val="clear" w:color="auto" w:fill="DFDFDF"/>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三级</w:t>
            </w:r>
          </w:p>
        </w:tc>
      </w:tr>
    </w:tbl>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2.5.6土壤环境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根据《环境影响评价技术导则土壤环境》(HJ964-2018)附录A，本项目行根据《环境影响评价技术导则土壤环境》(HJ964-2018)附录A，本项目行别为“I类”。项目占地面积小于5km</w:t>
      </w:r>
      <w:r>
        <w:rPr>
          <w:rFonts w:hint="eastAsia" w:ascii="Times New Roman" w:hAnsi="Times New Roman" w:eastAsia="宋体" w:cs="Times New Roman"/>
          <w:color w:val="auto"/>
          <w:kern w:val="2"/>
          <w:sz w:val="24"/>
          <w:szCs w:val="20"/>
          <w:vertAlign w:val="superscript"/>
          <w:lang w:val="en-US" w:eastAsia="zh-CN" w:bidi="ar-SA"/>
        </w:rPr>
        <w:t>2</w:t>
      </w:r>
      <w:r>
        <w:rPr>
          <w:rFonts w:hint="eastAsia" w:ascii="Times New Roman" w:hAnsi="Times New Roman" w:eastAsia="宋体" w:cs="Times New Roman"/>
          <w:color w:val="auto"/>
          <w:kern w:val="2"/>
          <w:sz w:val="24"/>
          <w:szCs w:val="20"/>
          <w:lang w:val="en-US" w:eastAsia="zh-CN" w:bidi="ar-SA"/>
        </w:rPr>
        <w:t>，占地规模为“小型”。污染影响型项目所在地周边的土壤环境敏感程度分为敏感、较敏感、不敏感，判别依据见下表。本项目选址于</w:t>
      </w:r>
      <w:r>
        <w:rPr>
          <w:rFonts w:hint="eastAsia" w:ascii="Times New Roman" w:hAnsi="Times New Roman" w:cs="Times New Roman"/>
          <w:color w:val="auto"/>
          <w:kern w:val="2"/>
          <w:sz w:val="24"/>
          <w:szCs w:val="20"/>
          <w:lang w:val="en-US" w:eastAsia="zh-CN" w:bidi="ar-SA"/>
        </w:rPr>
        <w:t>湖南</w:t>
      </w:r>
      <w:r>
        <w:rPr>
          <w:rFonts w:hint="eastAsia" w:ascii="Times New Roman" w:hAnsi="Times New Roman" w:eastAsia="宋体" w:cs="Times New Roman"/>
          <w:color w:val="auto"/>
          <w:kern w:val="2"/>
          <w:sz w:val="24"/>
          <w:szCs w:val="20"/>
          <w:lang w:val="en-US" w:eastAsia="zh-CN" w:bidi="ar-SA"/>
        </w:rPr>
        <w:t>岳阳绿色化工园内，敏感程度为“不敏感”。</w:t>
      </w:r>
    </w:p>
    <w:p>
      <w:pPr>
        <w:widowControl w:val="0"/>
        <w:bidi w:val="0"/>
        <w:spacing w:line="360" w:lineRule="auto"/>
        <w:jc w:val="center"/>
        <w:rPr>
          <w:rFonts w:hint="eastAsia" w:ascii="Times New Roman" w:hAnsi="Times New Roman" w:eastAsia="宋体" w:cs="Times New Roman"/>
          <w:b/>
          <w:color w:val="auto"/>
          <w:kern w:val="2"/>
          <w:sz w:val="24"/>
          <w:szCs w:val="22"/>
          <w:lang w:val="en-US" w:eastAsia="zh-CN" w:bidi="ar-SA"/>
        </w:rPr>
      </w:pPr>
      <w:r>
        <w:rPr>
          <w:rFonts w:ascii="Times New Roman" w:hAnsi="Times New Roman" w:eastAsia="宋体" w:cs="Times New Roman"/>
          <w:b/>
          <w:color w:val="auto"/>
          <w:kern w:val="2"/>
          <w:sz w:val="24"/>
          <w:szCs w:val="22"/>
          <w:lang w:val="en-US" w:eastAsia="zh-CN" w:bidi="ar-SA"/>
        </w:rPr>
        <w:t>表</w:t>
      </w:r>
      <w:r>
        <w:rPr>
          <w:rFonts w:hint="eastAsia" w:ascii="Times New Roman" w:hAnsi="Times New Roman" w:eastAsia="宋体" w:cs="Times New Roman"/>
          <w:b/>
          <w:color w:val="auto"/>
          <w:kern w:val="2"/>
          <w:sz w:val="24"/>
          <w:szCs w:val="22"/>
          <w:lang w:val="en-US" w:eastAsia="zh-CN" w:bidi="ar-SA"/>
        </w:rPr>
        <w:t>2</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5</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cs="Times New Roman"/>
          <w:b/>
          <w:color w:val="auto"/>
          <w:kern w:val="2"/>
          <w:sz w:val="24"/>
          <w:szCs w:val="22"/>
          <w:lang w:val="en-US" w:eastAsia="zh-CN" w:bidi="ar-SA"/>
        </w:rPr>
        <w:t>10</w:t>
      </w:r>
      <w:r>
        <w:rPr>
          <w:rFonts w:ascii="Times New Roman" w:hAnsi="Times New Roman" w:eastAsia="宋体" w:cs="Times New Roman"/>
          <w:b/>
          <w:color w:val="auto"/>
          <w:kern w:val="2"/>
          <w:sz w:val="24"/>
          <w:szCs w:val="22"/>
          <w:lang w:val="en-US" w:eastAsia="zh-CN" w:bidi="ar-SA"/>
        </w:rPr>
        <w:t xml:space="preserve">  </w:t>
      </w:r>
      <w:r>
        <w:rPr>
          <w:rFonts w:hint="eastAsia" w:ascii="Times New Roman" w:hAnsi="Times New Roman" w:eastAsia="宋体" w:cs="Times New Roman"/>
          <w:b/>
          <w:color w:val="auto"/>
          <w:kern w:val="2"/>
          <w:sz w:val="24"/>
          <w:szCs w:val="22"/>
          <w:lang w:val="en-US" w:eastAsia="zh-CN" w:bidi="ar-SA"/>
        </w:rPr>
        <w:t>污染影响型敏感程度分级表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86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7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敏感程度</w:t>
            </w:r>
          </w:p>
        </w:tc>
        <w:tc>
          <w:tcPr>
            <w:tcW w:w="452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7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敏感</w:t>
            </w:r>
          </w:p>
        </w:tc>
        <w:tc>
          <w:tcPr>
            <w:tcW w:w="452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建设项目周边存在耕地、园地、牧草地、饮用水水源地或居民区、学校、医院、疗养院、养老院等土壤环境敏感目标的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7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较敏感</w:t>
            </w:r>
          </w:p>
        </w:tc>
        <w:tc>
          <w:tcPr>
            <w:tcW w:w="452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建设项目周边存在其他土壤环境敏感目标的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7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不敏感</w:t>
            </w:r>
          </w:p>
        </w:tc>
        <w:tc>
          <w:tcPr>
            <w:tcW w:w="452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其他情况</w:t>
            </w:r>
          </w:p>
        </w:tc>
      </w:tr>
    </w:tbl>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根据土壤环境影响评价项目类别、占地规模与敏感程度划分评价工作等级。</w:t>
      </w:r>
    </w:p>
    <w:p>
      <w:pPr>
        <w:widowControl w:val="0"/>
        <w:bidi w:val="0"/>
        <w:spacing w:line="360" w:lineRule="auto"/>
        <w:jc w:val="center"/>
        <w:rPr>
          <w:rFonts w:ascii="Times New Roman" w:hAnsi="Times New Roman" w:eastAsia="宋体" w:cs="Times New Roman"/>
          <w:b/>
          <w:color w:val="auto"/>
          <w:kern w:val="2"/>
          <w:sz w:val="24"/>
          <w:szCs w:val="22"/>
          <w:lang w:val="en-US" w:eastAsia="zh-CN" w:bidi="ar-SA"/>
        </w:rPr>
      </w:pPr>
      <w:r>
        <w:rPr>
          <w:rFonts w:ascii="Times New Roman" w:hAnsi="Times New Roman" w:eastAsia="宋体" w:cs="Times New Roman"/>
          <w:b/>
          <w:color w:val="auto"/>
          <w:kern w:val="2"/>
          <w:sz w:val="24"/>
          <w:szCs w:val="22"/>
          <w:lang w:val="en-US" w:eastAsia="zh-CN" w:bidi="ar-SA"/>
        </w:rPr>
        <w:t>表</w:t>
      </w:r>
      <w:r>
        <w:rPr>
          <w:rFonts w:hint="eastAsia" w:ascii="Times New Roman" w:hAnsi="Times New Roman" w:eastAsia="宋体" w:cs="Times New Roman"/>
          <w:b/>
          <w:color w:val="auto"/>
          <w:kern w:val="2"/>
          <w:sz w:val="24"/>
          <w:szCs w:val="22"/>
          <w:lang w:val="en-US" w:eastAsia="zh-CN" w:bidi="ar-SA"/>
        </w:rPr>
        <w:t>2</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5</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cs="Times New Roman"/>
          <w:b/>
          <w:color w:val="auto"/>
          <w:kern w:val="2"/>
          <w:sz w:val="24"/>
          <w:szCs w:val="22"/>
          <w:lang w:val="en-US" w:eastAsia="zh-CN" w:bidi="ar-SA"/>
        </w:rPr>
        <w:t>11</w:t>
      </w:r>
      <w:r>
        <w:rPr>
          <w:rFonts w:ascii="Times New Roman" w:hAnsi="Times New Roman" w:eastAsia="宋体" w:cs="Times New Roman"/>
          <w:b/>
          <w:color w:val="auto"/>
          <w:kern w:val="2"/>
          <w:sz w:val="24"/>
          <w:szCs w:val="22"/>
          <w:lang w:val="en-US" w:eastAsia="zh-CN" w:bidi="ar-SA"/>
        </w:rPr>
        <w:t xml:space="preserve">  </w:t>
      </w:r>
      <w:r>
        <w:rPr>
          <w:rFonts w:hint="eastAsia" w:ascii="Times New Roman" w:hAnsi="Times New Roman" w:eastAsia="宋体" w:cs="Times New Roman"/>
          <w:b/>
          <w:color w:val="auto"/>
          <w:kern w:val="2"/>
          <w:sz w:val="24"/>
          <w:szCs w:val="22"/>
          <w:lang w:val="en-US" w:eastAsia="zh-CN" w:bidi="ar-SA"/>
        </w:rPr>
        <w:t>污染影响型评价工作等级划分表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432"/>
        <w:gridCol w:w="830"/>
        <w:gridCol w:w="780"/>
        <w:gridCol w:w="784"/>
        <w:gridCol w:w="780"/>
        <w:gridCol w:w="780"/>
        <w:gridCol w:w="782"/>
        <w:gridCol w:w="780"/>
        <w:gridCol w:w="780"/>
        <w:gridCol w:w="7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64" w:hRule="atLeast"/>
        </w:trPr>
        <w:tc>
          <w:tcPr>
            <w:tcW w:w="1279"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 xml:space="preserve">          </w:t>
            </w:r>
            <w:r>
              <w:rPr>
                <w:rFonts w:ascii="Times New Roman" w:hAnsi="Times New Roman" w:eastAsia="宋体" w:cs="Times New Roman"/>
                <w:color w:val="auto"/>
                <w:kern w:val="2"/>
                <w:sz w:val="21"/>
                <w:szCs w:val="20"/>
                <w:lang w:val="en-US" w:eastAsia="zh-CN" w:bidi="ar-SA"/>
              </w:rPr>
              <w:t>占地规模</w:t>
            </w:r>
          </w:p>
          <w:p>
            <w:pPr>
              <w:widowControl w:val="0"/>
              <w:bidi w:val="0"/>
              <w:spacing w:before="20" w:line="240" w:lineRule="auto"/>
              <w:ind w:firstLine="0" w:firstLineChars="0"/>
              <w:jc w:val="both"/>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评价工作等级</w:t>
            </w:r>
          </w:p>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p>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敏感程度</w:t>
            </w:r>
          </w:p>
        </w:tc>
        <w:tc>
          <w:tcPr>
            <w:tcW w:w="1259" w:type="pct"/>
            <w:gridSpan w:val="3"/>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Ⅰ类</w:t>
            </w:r>
          </w:p>
        </w:tc>
        <w:tc>
          <w:tcPr>
            <w:tcW w:w="1231" w:type="pct"/>
            <w:gridSpan w:val="3"/>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Ⅱ类</w:t>
            </w:r>
          </w:p>
        </w:tc>
        <w:tc>
          <w:tcPr>
            <w:tcW w:w="1229" w:type="pct"/>
            <w:gridSpan w:val="3"/>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Ⅲ类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2" w:hRule="atLeast"/>
        </w:trPr>
        <w:tc>
          <w:tcPr>
            <w:tcW w:w="1279"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3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中</w:t>
            </w:r>
          </w:p>
        </w:tc>
        <w:tc>
          <w:tcPr>
            <w:tcW w:w="41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小</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中</w:t>
            </w:r>
          </w:p>
        </w:tc>
        <w:tc>
          <w:tcPr>
            <w:tcW w:w="41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小</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中</w:t>
            </w:r>
          </w:p>
        </w:tc>
        <w:tc>
          <w:tcPr>
            <w:tcW w:w="40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127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敏感</w:t>
            </w:r>
          </w:p>
        </w:tc>
        <w:tc>
          <w:tcPr>
            <w:tcW w:w="43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一级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一级</w:t>
            </w:r>
          </w:p>
        </w:tc>
        <w:tc>
          <w:tcPr>
            <w:tcW w:w="41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一级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二级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二级</w:t>
            </w:r>
          </w:p>
        </w:tc>
        <w:tc>
          <w:tcPr>
            <w:tcW w:w="41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二级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三级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三级</w:t>
            </w:r>
          </w:p>
        </w:tc>
        <w:tc>
          <w:tcPr>
            <w:tcW w:w="40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127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较敏感</w:t>
            </w:r>
          </w:p>
        </w:tc>
        <w:tc>
          <w:tcPr>
            <w:tcW w:w="43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一级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一级</w:t>
            </w:r>
          </w:p>
        </w:tc>
        <w:tc>
          <w:tcPr>
            <w:tcW w:w="41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二级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二级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二级</w:t>
            </w:r>
          </w:p>
        </w:tc>
        <w:tc>
          <w:tcPr>
            <w:tcW w:w="41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三级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三级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三级</w:t>
            </w:r>
          </w:p>
        </w:tc>
        <w:tc>
          <w:tcPr>
            <w:tcW w:w="40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127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不敏感</w:t>
            </w:r>
          </w:p>
        </w:tc>
        <w:tc>
          <w:tcPr>
            <w:tcW w:w="43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一级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二级</w:t>
            </w:r>
          </w:p>
        </w:tc>
        <w:tc>
          <w:tcPr>
            <w:tcW w:w="41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highlight w:val="lightGray"/>
                <w:lang w:val="en-US" w:eastAsia="zh-CN" w:bidi="ar-SA"/>
              </w:rPr>
              <w:t>二级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二级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三级</w:t>
            </w:r>
          </w:p>
        </w:tc>
        <w:tc>
          <w:tcPr>
            <w:tcW w:w="41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三级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三级</w:t>
            </w:r>
          </w:p>
        </w:tc>
        <w:tc>
          <w:tcPr>
            <w:tcW w:w="41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c>
          <w:tcPr>
            <w:tcW w:w="40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5000" w:type="pct"/>
            <w:gridSpan w:val="10"/>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注：“-”表示可不开展土壤环境影响评价工作。</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根据上表可知，本项目土壤环境影响评价工作等级为“二级”。</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2.5.7环境风险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建设项目环境风险评价技术导则》(HJ169-2018)中的4.3，环境风险评价工作等级划分为一级、二级、三级和简单分析。根据建设项目涉及的危险物质最大储存量及工艺系统危险性和所在地的环境敏感性，确定环境风险潜势，按照下表确定评价工作等级。</w:t>
      </w:r>
    </w:p>
    <w:p>
      <w:pPr>
        <w:widowControl w:val="0"/>
        <w:bidi w:val="0"/>
        <w:spacing w:line="360" w:lineRule="auto"/>
        <w:jc w:val="center"/>
        <w:rPr>
          <w:rFonts w:ascii="Times New Roman" w:hAnsi="Times New Roman" w:eastAsia="宋体" w:cs="Times New Roman"/>
          <w:b/>
          <w:color w:val="auto"/>
          <w:kern w:val="2"/>
          <w:sz w:val="24"/>
          <w:szCs w:val="22"/>
          <w:lang w:val="en-US" w:eastAsia="zh-CN" w:bidi="ar-SA"/>
        </w:rPr>
      </w:pPr>
      <w:r>
        <w:rPr>
          <w:rFonts w:hint="eastAsia" w:ascii="Times New Roman" w:hAnsi="Times New Roman" w:eastAsia="宋体" w:cs="Times New Roman"/>
          <w:b/>
          <w:color w:val="auto"/>
          <w:kern w:val="2"/>
          <w:sz w:val="24"/>
          <w:szCs w:val="22"/>
          <w:lang w:val="en-US" w:eastAsia="zh-CN" w:bidi="ar-SA"/>
        </w:rPr>
        <w:t>表2.5-</w:t>
      </w:r>
      <w:r>
        <w:rPr>
          <w:rFonts w:hint="eastAsia" w:ascii="Times New Roman" w:hAnsi="Times New Roman" w:cs="Times New Roman"/>
          <w:b/>
          <w:color w:val="auto"/>
          <w:kern w:val="2"/>
          <w:sz w:val="24"/>
          <w:szCs w:val="22"/>
          <w:lang w:val="en-US" w:eastAsia="zh-CN" w:bidi="ar-SA"/>
        </w:rPr>
        <w:t>12</w:t>
      </w:r>
      <w:r>
        <w:rPr>
          <w:rFonts w:hint="eastAsia" w:ascii="Times New Roman" w:hAnsi="Times New Roman" w:eastAsia="宋体" w:cs="Times New Roman"/>
          <w:b/>
          <w:color w:val="auto"/>
          <w:kern w:val="2"/>
          <w:sz w:val="24"/>
          <w:szCs w:val="22"/>
          <w:lang w:val="en-US" w:eastAsia="zh-CN" w:bidi="ar-SA"/>
        </w:rPr>
        <w:t xml:space="preserve">  环境风险评价工作等级划分</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66"/>
        <w:gridCol w:w="1858"/>
        <w:gridCol w:w="1860"/>
        <w:gridCol w:w="1858"/>
        <w:gridCol w:w="18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exact"/>
          <w:jc w:val="center"/>
        </w:trPr>
        <w:tc>
          <w:tcPr>
            <w:tcW w:w="108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环境风险潜势</w:t>
            </w:r>
          </w:p>
        </w:tc>
        <w:tc>
          <w:tcPr>
            <w:tcW w:w="97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Ⅳ</w:t>
            </w:r>
            <w:r>
              <w:rPr>
                <w:rFonts w:ascii="Times New Roman" w:hAnsi="Times New Roman" w:eastAsia="宋体" w:cs="Times New Roman"/>
                <w:color w:val="auto"/>
                <w:kern w:val="2"/>
                <w:sz w:val="21"/>
                <w:szCs w:val="20"/>
                <w:lang w:val="en-US" w:eastAsia="zh-CN" w:bidi="ar-SA"/>
              </w:rPr>
              <w:t>、</w:t>
            </w:r>
            <w:r>
              <w:rPr>
                <w:rFonts w:hint="eastAsia" w:ascii="Times New Roman" w:hAnsi="Times New Roman" w:eastAsia="宋体" w:cs="Times New Roman"/>
                <w:color w:val="auto"/>
                <w:kern w:val="2"/>
                <w:sz w:val="21"/>
                <w:szCs w:val="20"/>
                <w:lang w:val="en-US" w:eastAsia="zh-CN" w:bidi="ar-SA"/>
              </w:rPr>
              <w:t>Ⅳ</w:t>
            </w:r>
            <w:r>
              <w:rPr>
                <w:rFonts w:ascii="Times New Roman" w:hAnsi="Times New Roman" w:eastAsia="宋体" w:cs="Times New Roman"/>
                <w:color w:val="auto"/>
                <w:kern w:val="2"/>
                <w:sz w:val="21"/>
                <w:szCs w:val="20"/>
                <w:lang w:val="en-US" w:eastAsia="zh-CN" w:bidi="ar-SA"/>
              </w:rPr>
              <w:t>+</w:t>
            </w:r>
          </w:p>
        </w:tc>
        <w:tc>
          <w:tcPr>
            <w:tcW w:w="97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Ⅲ</w:t>
            </w:r>
          </w:p>
        </w:tc>
        <w:tc>
          <w:tcPr>
            <w:tcW w:w="97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Ⅱ</w:t>
            </w:r>
          </w:p>
        </w:tc>
        <w:tc>
          <w:tcPr>
            <w:tcW w:w="97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exact"/>
          <w:jc w:val="center"/>
        </w:trPr>
        <w:tc>
          <w:tcPr>
            <w:tcW w:w="108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评价工作等级</w:t>
            </w:r>
          </w:p>
        </w:tc>
        <w:tc>
          <w:tcPr>
            <w:tcW w:w="97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一</w:t>
            </w:r>
          </w:p>
        </w:tc>
        <w:tc>
          <w:tcPr>
            <w:tcW w:w="97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highlight w:val="lightGray"/>
                <w:lang w:val="en-US" w:eastAsia="zh-CN" w:bidi="ar-SA"/>
              </w:rPr>
              <w:t>二</w:t>
            </w:r>
          </w:p>
        </w:tc>
        <w:tc>
          <w:tcPr>
            <w:tcW w:w="97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highlight w:val="none"/>
                <w:lang w:val="en-US" w:eastAsia="zh-CN" w:bidi="ar-SA"/>
              </w:rPr>
              <w:t>三</w:t>
            </w:r>
          </w:p>
        </w:tc>
        <w:tc>
          <w:tcPr>
            <w:tcW w:w="97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简单分析</w:t>
            </w:r>
            <w:r>
              <w:rPr>
                <w:rFonts w:hint="eastAsia" w:ascii="Times New Roman" w:hAnsi="Times New Roman" w:eastAsia="宋体" w:cs="Times New Roman"/>
                <w:color w:val="auto"/>
                <w:kern w:val="2"/>
                <w:sz w:val="21"/>
                <w:szCs w:val="20"/>
                <w:lang w:val="en-US" w:eastAsia="zh-CN" w:bidi="ar-SA"/>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2" w:hRule="exact"/>
          <w:jc w:val="center"/>
        </w:trPr>
        <w:tc>
          <w:tcPr>
            <w:tcW w:w="5000" w:type="pct"/>
            <w:gridSpan w:val="5"/>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a</w:t>
            </w:r>
            <w:r>
              <w:rPr>
                <w:rFonts w:hint="eastAsia" w:ascii="Times New Roman" w:hAnsi="Times New Roman" w:eastAsia="宋体" w:cs="Times New Roman"/>
                <w:color w:val="auto"/>
                <w:kern w:val="2"/>
                <w:sz w:val="21"/>
                <w:szCs w:val="20"/>
                <w:lang w:val="en-US" w:eastAsia="zh-CN" w:bidi="ar-SA"/>
              </w:rPr>
              <w:t>是相对于详细评价工作内容而言，在描述危险物质、环境影响途径、环境危害后果、风险防范措施等方面给出定性的说明。见附录A。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u w:val="none"/>
          <w:lang w:val="en-US" w:eastAsia="zh-CN" w:bidi="ar-SA"/>
        </w:rPr>
        <w:t>根据9.2节评价等级确定，</w:t>
      </w:r>
      <w:r>
        <w:rPr>
          <w:rFonts w:hint="eastAsia" w:ascii="Times New Roman" w:hAnsi="Times New Roman" w:eastAsia="宋体" w:cs="Times New Roman"/>
          <w:color w:val="auto"/>
          <w:kern w:val="2"/>
          <w:sz w:val="24"/>
          <w:szCs w:val="20"/>
          <w:lang w:val="en-US" w:eastAsia="zh-CN" w:bidi="ar-SA"/>
        </w:rPr>
        <w:t>本项目</w:t>
      </w:r>
      <w:r>
        <w:rPr>
          <w:rFonts w:ascii="Times New Roman" w:hAnsi="Times New Roman" w:eastAsia="宋体" w:cs="Times New Roman"/>
          <w:color w:val="auto"/>
          <w:kern w:val="2"/>
          <w:sz w:val="24"/>
          <w:szCs w:val="20"/>
          <w:lang w:val="en-US" w:eastAsia="zh-CN" w:bidi="ar-SA"/>
        </w:rPr>
        <w:t>环境敏感程度为E</w:t>
      </w:r>
      <w:r>
        <w:rPr>
          <w:rFonts w:hint="eastAsia" w:ascii="Times New Roman" w:hAnsi="Times New Roman" w:cs="Times New Roman"/>
          <w:color w:val="auto"/>
          <w:kern w:val="2"/>
          <w:sz w:val="24"/>
          <w:szCs w:val="20"/>
          <w:lang w:val="en-US" w:eastAsia="zh-CN" w:bidi="ar-SA"/>
        </w:rPr>
        <w:t>1</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危险物质及工艺系统危险性（P）的分级为P</w:t>
      </w:r>
      <w:r>
        <w:rPr>
          <w:rFonts w:hint="eastAsia" w:ascii="Times New Roman" w:hAnsi="Times New Roman" w:eastAsia="宋体" w:cs="Times New Roman"/>
          <w:color w:val="auto"/>
          <w:kern w:val="2"/>
          <w:sz w:val="24"/>
          <w:szCs w:val="20"/>
          <w:lang w:val="en-US" w:eastAsia="zh-CN" w:bidi="ar-SA"/>
        </w:rPr>
        <w:t>4，则环境风险潜势为</w:t>
      </w:r>
      <w:r>
        <w:rPr>
          <w:rFonts w:hint="eastAsia" w:ascii="宋体" w:hAnsi="宋体" w:eastAsia="宋体" w:cs="宋体"/>
          <w:color w:val="auto"/>
          <w:kern w:val="2"/>
          <w:sz w:val="24"/>
          <w:szCs w:val="20"/>
          <w:lang w:val="en-US" w:eastAsia="zh-CN" w:bidi="ar-SA"/>
        </w:rPr>
        <w:t>Ⅲ</w:t>
      </w:r>
      <w:r>
        <w:rPr>
          <w:rFonts w:hint="eastAsia" w:ascii="Times New Roman" w:hAnsi="Times New Roman" w:eastAsia="宋体" w:cs="Times New Roman"/>
          <w:color w:val="auto"/>
          <w:kern w:val="2"/>
          <w:sz w:val="24"/>
          <w:szCs w:val="20"/>
          <w:lang w:val="en-US" w:eastAsia="zh-CN" w:bidi="ar-SA"/>
        </w:rPr>
        <w:t>，环境风险评价等级为</w:t>
      </w:r>
      <w:r>
        <w:rPr>
          <w:rFonts w:hint="eastAsia" w:ascii="Times New Roman" w:hAnsi="Times New Roman" w:cs="Times New Roman"/>
          <w:color w:val="auto"/>
          <w:kern w:val="2"/>
          <w:sz w:val="24"/>
          <w:szCs w:val="20"/>
          <w:lang w:val="en-US" w:eastAsia="zh-CN" w:bidi="ar-SA"/>
        </w:rPr>
        <w:t>二</w:t>
      </w:r>
      <w:r>
        <w:rPr>
          <w:rFonts w:hint="eastAsia" w:ascii="Times New Roman" w:hAnsi="Times New Roman" w:eastAsia="宋体" w:cs="Times New Roman"/>
          <w:color w:val="auto"/>
          <w:kern w:val="2"/>
          <w:sz w:val="24"/>
          <w:szCs w:val="20"/>
          <w:lang w:val="en-US" w:eastAsia="zh-CN" w:bidi="ar-SA"/>
        </w:rPr>
        <w:t>级</w:t>
      </w:r>
      <w:r>
        <w:rPr>
          <w:rFonts w:hint="eastAsia" w:ascii="Times New Roman" w:hAnsi="Times New Roman" w:cs="Times New Roman"/>
          <w:color w:val="auto"/>
          <w:kern w:val="2"/>
          <w:sz w:val="24"/>
          <w:szCs w:val="20"/>
          <w:lang w:val="en-US" w:eastAsia="zh-CN" w:bidi="ar-SA"/>
        </w:rPr>
        <w:t>。</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2.5.</w:t>
      </w:r>
      <w:r>
        <w:rPr>
          <w:rFonts w:hint="eastAsia" w:ascii="Times New Roman" w:hAnsi="Times New Roman" w:cs="Times New Roman"/>
          <w:b/>
          <w:color w:val="auto"/>
          <w:kern w:val="2"/>
          <w:sz w:val="28"/>
          <w:szCs w:val="22"/>
          <w:lang w:val="en-US" w:eastAsia="zh-CN" w:bidi="ar-SA"/>
        </w:rPr>
        <w:t>8评价范围</w:t>
      </w:r>
    </w:p>
    <w:p>
      <w:pPr>
        <w:pStyle w:val="2"/>
        <w:spacing w:line="360" w:lineRule="auto"/>
        <w:ind w:firstLine="504" w:firstLineChars="200"/>
        <w:rPr>
          <w:rFonts w:hint="eastAsia" w:ascii="Times New Roman" w:hAnsi="Times New Roman" w:eastAsia="宋体" w:cs="Times New Roman"/>
          <w:color w:val="auto"/>
          <w:spacing w:val="6"/>
          <w:sz w:val="24"/>
        </w:rPr>
      </w:pPr>
      <w:r>
        <w:rPr>
          <w:rFonts w:hint="eastAsia" w:ascii="Times New Roman" w:hAnsi="Times New Roman" w:eastAsia="宋体" w:cs="Times New Roman"/>
          <w:color w:val="auto"/>
          <w:spacing w:val="6"/>
          <w:sz w:val="24"/>
        </w:rPr>
        <w:t>根据环境影响评价技术导则以及建设项目环境影响评价等级，本次环境影响评价范围确定见下表。</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color w:val="auto"/>
        </w:rPr>
      </w:pPr>
      <w:r>
        <w:rPr>
          <w:rFonts w:hint="eastAsia" w:ascii="Times New Roman" w:hAnsi="Times New Roman" w:eastAsia="宋体" w:cs="Times New Roman"/>
          <w:b/>
          <w:color w:val="auto"/>
          <w:sz w:val="24"/>
          <w:szCs w:val="24"/>
        </w:rPr>
        <w:t>表2.</w:t>
      </w:r>
      <w:r>
        <w:rPr>
          <w:rFonts w:hint="eastAsia" w:ascii="Times New Roman" w:hAnsi="Times New Roman" w:cs="Times New Roman"/>
          <w:b/>
          <w:color w:val="auto"/>
          <w:sz w:val="24"/>
          <w:szCs w:val="24"/>
          <w:lang w:val="en-US" w:eastAsia="zh-CN"/>
        </w:rPr>
        <w:t>5</w:t>
      </w:r>
      <w:r>
        <w:rPr>
          <w:rFonts w:hint="eastAsia"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1</w:t>
      </w:r>
      <w:r>
        <w:rPr>
          <w:rFonts w:hint="eastAsia" w:cs="Times New Roman"/>
          <w:b/>
          <w:color w:val="auto"/>
          <w:sz w:val="24"/>
          <w:szCs w:val="24"/>
          <w:lang w:val="en-US" w:eastAsia="zh-CN"/>
        </w:rPr>
        <w:t>3</w:t>
      </w:r>
      <w:r>
        <w:rPr>
          <w:rFonts w:hint="eastAsia" w:ascii="Times New Roman" w:hAnsi="Times New Roman" w:eastAsia="宋体" w:cs="Times New Roman"/>
          <w:b/>
          <w:color w:val="auto"/>
          <w:sz w:val="24"/>
          <w:szCs w:val="24"/>
        </w:rPr>
        <w:t xml:space="preserve">   项目评价范围</w:t>
      </w:r>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1075"/>
        <w:gridCol w:w="81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7" w:hRule="exact"/>
        </w:trPr>
        <w:tc>
          <w:tcPr>
            <w:tcW w:w="1075"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环境要素</w:t>
            </w:r>
          </w:p>
        </w:tc>
        <w:tc>
          <w:tcPr>
            <w:tcW w:w="8123"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评价范围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3" w:hRule="exact"/>
        </w:trPr>
        <w:tc>
          <w:tcPr>
            <w:tcW w:w="1075"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地表水环境</w:t>
            </w:r>
          </w:p>
        </w:tc>
        <w:tc>
          <w:tcPr>
            <w:tcW w:w="8123"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CN" w:bidi="zh-TW"/>
              </w:rPr>
            </w:pPr>
            <w:r>
              <w:rPr>
                <w:rFonts w:hint="default" w:ascii="Times New Roman" w:hAnsi="Times New Roman" w:eastAsia="宋体" w:cs="Times New Roman"/>
                <w:color w:val="auto"/>
                <w:sz w:val="21"/>
                <w:szCs w:val="21"/>
                <w:highlight w:val="none"/>
                <w:u w:val="single"/>
                <w:lang w:val="zh-TW" w:eastAsia="zh-CN" w:bidi="zh-TW"/>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exact"/>
        </w:trPr>
        <w:tc>
          <w:tcPr>
            <w:tcW w:w="1075"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环境空气</w:t>
            </w:r>
          </w:p>
        </w:tc>
        <w:tc>
          <w:tcPr>
            <w:tcW w:w="8123"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以项目厂界外边长5km的矩形区域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8" w:hRule="exact"/>
        </w:trPr>
        <w:tc>
          <w:tcPr>
            <w:tcW w:w="1075"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地下水环境</w:t>
            </w:r>
          </w:p>
        </w:tc>
        <w:tc>
          <w:tcPr>
            <w:tcW w:w="8123"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以场地为中心，周边区域6km</w:t>
            </w:r>
            <w:r>
              <w:rPr>
                <w:rFonts w:hint="default" w:ascii="Times New Roman" w:hAnsi="Times New Roman" w:eastAsia="宋体" w:cs="Times New Roman"/>
                <w:color w:val="auto"/>
                <w:sz w:val="21"/>
                <w:szCs w:val="21"/>
                <w:highlight w:val="none"/>
                <w:u w:val="single"/>
                <w:vertAlign w:val="superscript"/>
                <w:lang w:val="zh-TW" w:eastAsia="zh-TW" w:bidi="zh-TW"/>
              </w:rPr>
              <w:t>2</w:t>
            </w:r>
            <w:r>
              <w:rPr>
                <w:rFonts w:hint="default" w:ascii="Times New Roman" w:hAnsi="Times New Roman" w:eastAsia="宋体" w:cs="Times New Roman"/>
                <w:color w:val="auto"/>
                <w:sz w:val="21"/>
                <w:szCs w:val="21"/>
                <w:highlight w:val="none"/>
                <w:u w:val="single"/>
                <w:lang w:val="zh-TW" w:eastAsia="zh-TW" w:bidi="zh-TW"/>
              </w:rPr>
              <w:t>范围</w:t>
            </w:r>
          </w:p>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区域 6km2范围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exact"/>
        </w:trPr>
        <w:tc>
          <w:tcPr>
            <w:tcW w:w="1075"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声环境</w:t>
            </w:r>
          </w:p>
        </w:tc>
        <w:tc>
          <w:tcPr>
            <w:tcW w:w="8123"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项目边界向外</w:t>
            </w:r>
            <w:r>
              <w:rPr>
                <w:rFonts w:hint="default" w:ascii="Times New Roman" w:hAnsi="Times New Roman" w:eastAsia="宋体" w:cs="Times New Roman"/>
                <w:color w:val="auto"/>
                <w:sz w:val="21"/>
                <w:szCs w:val="21"/>
                <w:highlight w:val="none"/>
                <w:u w:val="single"/>
                <w:lang w:bidi="en-US"/>
              </w:rPr>
              <w:t>200m</w:t>
            </w:r>
            <w:r>
              <w:rPr>
                <w:rFonts w:hint="default" w:ascii="Times New Roman" w:hAnsi="Times New Roman" w:eastAsia="宋体" w:cs="Times New Roman"/>
                <w:color w:val="auto"/>
                <w:sz w:val="21"/>
                <w:szCs w:val="21"/>
                <w:highlight w:val="none"/>
                <w:u w:val="single"/>
                <w:lang w:val="zh-TW" w:eastAsia="zh-TW" w:bidi="zh-TW"/>
              </w:rPr>
              <w:t>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exact"/>
        </w:trPr>
        <w:tc>
          <w:tcPr>
            <w:tcW w:w="1075"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生态环境</w:t>
            </w:r>
          </w:p>
        </w:tc>
        <w:tc>
          <w:tcPr>
            <w:tcW w:w="8123"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项目范围及其周边外延200m范围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exact"/>
        </w:trPr>
        <w:tc>
          <w:tcPr>
            <w:tcW w:w="1075"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土壤</w:t>
            </w:r>
          </w:p>
        </w:tc>
        <w:tc>
          <w:tcPr>
            <w:tcW w:w="8123"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项目占地范围外</w:t>
            </w:r>
            <w:r>
              <w:rPr>
                <w:rFonts w:hint="default" w:ascii="Times New Roman" w:hAnsi="Times New Roman" w:eastAsia="宋体" w:cs="Times New Roman"/>
                <w:color w:val="auto"/>
                <w:sz w:val="21"/>
                <w:szCs w:val="21"/>
                <w:highlight w:val="none"/>
                <w:u w:val="single"/>
                <w:lang w:bidi="en-US"/>
              </w:rPr>
              <w:t>200m</w:t>
            </w:r>
            <w:r>
              <w:rPr>
                <w:rFonts w:hint="default" w:ascii="Times New Roman" w:hAnsi="Times New Roman" w:eastAsia="宋体" w:cs="Times New Roman"/>
                <w:color w:val="auto"/>
                <w:sz w:val="21"/>
                <w:szCs w:val="21"/>
                <w:highlight w:val="none"/>
                <w:u w:val="single"/>
                <w:lang w:val="zh-TW" w:eastAsia="zh-TW" w:bidi="zh-TW"/>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239" w:hRule="exact"/>
        </w:trPr>
        <w:tc>
          <w:tcPr>
            <w:tcW w:w="1075"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风险评价</w:t>
            </w:r>
          </w:p>
        </w:tc>
        <w:tc>
          <w:tcPr>
            <w:tcW w:w="8123" w:type="dxa"/>
            <w:tcBorders>
              <w:tl2br w:val="nil"/>
              <w:tr2bl w:val="nil"/>
            </w:tcBorders>
            <w:shd w:val="clear" w:color="auto" w:fill="FFFFFF"/>
            <w:noWrap w:val="0"/>
            <w:vAlign w:val="center"/>
          </w:tcPr>
          <w:p>
            <w:pPr>
              <w:spacing w:line="274" w:lineRule="exact"/>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大气环境风险评价范围：以项目厂界外边长5km的矩形区域</w:t>
            </w:r>
          </w:p>
          <w:p>
            <w:pPr>
              <w:spacing w:line="274" w:lineRule="exact"/>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地表水环境风险评价范围：</w:t>
            </w:r>
            <w:r>
              <w:rPr>
                <w:rFonts w:hint="default" w:ascii="Times New Roman" w:hAnsi="Times New Roman" w:eastAsia="宋体" w:cs="Times New Roman"/>
                <w:color w:val="auto"/>
                <w:sz w:val="21"/>
                <w:szCs w:val="21"/>
                <w:highlight w:val="none"/>
                <w:u w:val="single"/>
                <w:lang w:val="zh-TW" w:bidi="zh-TW"/>
              </w:rPr>
              <w:t>本项目事故情况下废水不直接排入外环境水体，不涉及地表水环境风险</w:t>
            </w:r>
            <w:r>
              <w:rPr>
                <w:rFonts w:hint="eastAsia" w:ascii="Times New Roman" w:hAnsi="Times New Roman" w:eastAsia="宋体" w:cs="Times New Roman"/>
                <w:color w:val="auto"/>
                <w:sz w:val="21"/>
                <w:szCs w:val="21"/>
                <w:highlight w:val="none"/>
                <w:u w:val="single"/>
                <w:lang w:val="zh-TW" w:eastAsia="zh-CN" w:bidi="zh-TW"/>
              </w:rPr>
              <w:t>。</w:t>
            </w:r>
            <w:r>
              <w:rPr>
                <w:rFonts w:hint="default" w:ascii="Times New Roman" w:hAnsi="Times New Roman" w:eastAsia="宋体" w:cs="Times New Roman"/>
                <w:color w:val="auto"/>
                <w:sz w:val="21"/>
                <w:szCs w:val="21"/>
                <w:highlight w:val="none"/>
                <w:u w:val="single"/>
                <w:lang w:val="zh-TW" w:eastAsia="zh-TW" w:bidi="zh-TW"/>
              </w:rPr>
              <w:t>地下水水环境风险评价范围与地下水环</w:t>
            </w:r>
          </w:p>
          <w:p>
            <w:pPr>
              <w:spacing w:line="274" w:lineRule="exact"/>
              <w:jc w:val="center"/>
              <w:rPr>
                <w:rFonts w:hint="default" w:ascii="Times New Roman" w:hAnsi="Times New Roman" w:eastAsia="宋体" w:cs="Times New Roman"/>
                <w:color w:val="auto"/>
                <w:sz w:val="21"/>
                <w:szCs w:val="21"/>
                <w:highlight w:val="none"/>
                <w:u w:val="single"/>
                <w:lang w:val="zh-TW" w:eastAsia="zh-TW" w:bidi="zh-TW"/>
              </w:rPr>
            </w:pPr>
            <w:r>
              <w:rPr>
                <w:rFonts w:hint="default" w:ascii="Times New Roman" w:hAnsi="Times New Roman" w:eastAsia="宋体" w:cs="Times New Roman"/>
                <w:color w:val="auto"/>
                <w:sz w:val="21"/>
                <w:szCs w:val="21"/>
                <w:highlight w:val="none"/>
                <w:u w:val="single"/>
                <w:lang w:val="zh-TW" w:eastAsia="zh-TW" w:bidi="zh-TW"/>
              </w:rPr>
              <w:t>境影响评价范围一致</w:t>
            </w:r>
          </w:p>
        </w:tc>
      </w:tr>
    </w:tbl>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ascii="Times New Roman" w:hAnsi="Times New Roman" w:eastAsia="宋体" w:cs="Times New Roman"/>
          <w:b/>
          <w:color w:val="auto"/>
          <w:kern w:val="2"/>
          <w:sz w:val="30"/>
          <w:szCs w:val="22"/>
          <w:lang w:val="en-US" w:eastAsia="zh-CN" w:bidi="ar-SA"/>
        </w:rPr>
      </w:pPr>
      <w:bookmarkStart w:id="34" w:name="_Toc2355"/>
      <w:r>
        <w:rPr>
          <w:rFonts w:hint="eastAsia" w:ascii="Times New Roman" w:hAnsi="Times New Roman" w:eastAsia="宋体" w:cs="Times New Roman"/>
          <w:b/>
          <w:color w:val="auto"/>
          <w:kern w:val="2"/>
          <w:sz w:val="30"/>
          <w:szCs w:val="22"/>
          <w:lang w:val="en-US" w:eastAsia="zh-CN" w:bidi="ar-SA"/>
        </w:rPr>
        <w:t>2.6</w:t>
      </w:r>
      <w:r>
        <w:rPr>
          <w:rFonts w:ascii="Times New Roman" w:hAnsi="Times New Roman" w:eastAsia="宋体" w:cs="Times New Roman"/>
          <w:b/>
          <w:color w:val="auto"/>
          <w:kern w:val="2"/>
          <w:sz w:val="30"/>
          <w:szCs w:val="22"/>
          <w:lang w:val="en-US" w:eastAsia="zh-CN" w:bidi="ar-SA"/>
        </w:rPr>
        <w:t>环境保护目标</w:t>
      </w:r>
      <w:bookmarkEnd w:id="34"/>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本项目在一期建设项目基础上进行改造，一期项目北侧为岳阳市润德化工厂与岳阳市昌盛化工厂。</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经现场踏勘和调查，根据本工程性质及周围环境特征，项目所在地地下水评价范围内不存在地下水饮用水水源和特殊地下水资源环境保护目标，周边居民饮用水均来自云溪区自来水，附近井水无饮用水功能。</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环境保护目标见表2.6-1和附图3</w:t>
      </w:r>
    </w:p>
    <w:p>
      <w:pPr>
        <w:widowControl w:val="0"/>
        <w:bidi w:val="0"/>
        <w:spacing w:line="360" w:lineRule="auto"/>
        <w:jc w:val="center"/>
        <w:rPr>
          <w:rFonts w:ascii="Times New Roman" w:hAnsi="Times New Roman" w:eastAsia="宋体" w:cs="Times New Roman"/>
          <w:b/>
          <w:color w:val="auto"/>
          <w:kern w:val="2"/>
          <w:sz w:val="24"/>
          <w:szCs w:val="22"/>
          <w:lang w:val="en-US" w:eastAsia="zh-CN" w:bidi="ar-SA"/>
        </w:rPr>
      </w:pPr>
      <w:r>
        <w:rPr>
          <w:rFonts w:hint="eastAsia" w:ascii="Times New Roman" w:hAnsi="Times New Roman" w:eastAsia="宋体" w:cs="Times New Roman"/>
          <w:b/>
          <w:color w:val="auto"/>
          <w:kern w:val="2"/>
          <w:sz w:val="24"/>
          <w:szCs w:val="22"/>
          <w:lang w:val="en-US" w:eastAsia="zh-CN" w:bidi="ar-SA"/>
        </w:rPr>
        <w:t>表2.6-1  水环境保护目标一览表</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68"/>
        <w:gridCol w:w="735"/>
        <w:gridCol w:w="638"/>
        <w:gridCol w:w="849"/>
        <w:gridCol w:w="836"/>
        <w:gridCol w:w="994"/>
        <w:gridCol w:w="971"/>
        <w:gridCol w:w="866"/>
        <w:gridCol w:w="2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5" w:hRule="atLeast"/>
        </w:trPr>
        <w:tc>
          <w:tcPr>
            <w:tcW w:w="239"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类别</w:t>
            </w:r>
          </w:p>
        </w:tc>
        <w:tc>
          <w:tcPr>
            <w:tcW w:w="608"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敏感目标名称</w:t>
            </w:r>
          </w:p>
        </w:tc>
        <w:tc>
          <w:tcPr>
            <w:tcW w:w="783"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坐标/经纬度</w:t>
            </w:r>
          </w:p>
        </w:tc>
        <w:tc>
          <w:tcPr>
            <w:tcW w:w="4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与建设项目占地区域的高差</w:t>
            </w:r>
          </w:p>
        </w:tc>
        <w:tc>
          <w:tcPr>
            <w:tcW w:w="470"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与排放口的高差</w:t>
            </w:r>
          </w:p>
        </w:tc>
        <w:tc>
          <w:tcPr>
            <w:tcW w:w="553"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与厂界的相对方位及距离</w:t>
            </w:r>
          </w:p>
        </w:tc>
        <w:tc>
          <w:tcPr>
            <w:tcW w:w="538"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与排放口的相对方位及距离</w:t>
            </w:r>
          </w:p>
        </w:tc>
        <w:tc>
          <w:tcPr>
            <w:tcW w:w="486"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功能及规模</w:t>
            </w:r>
          </w:p>
        </w:tc>
        <w:tc>
          <w:tcPr>
            <w:tcW w:w="841"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5" w:hRule="atLeast"/>
        </w:trPr>
        <w:tc>
          <w:tcPr>
            <w:tcW w:w="239"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60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41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X</w:t>
            </w:r>
          </w:p>
        </w:tc>
        <w:tc>
          <w:tcPr>
            <w:tcW w:w="365"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Y</w:t>
            </w:r>
          </w:p>
        </w:tc>
        <w:tc>
          <w:tcPr>
            <w:tcW w:w="4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470"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553"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53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48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841"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Pr>
        <w:tc>
          <w:tcPr>
            <w:tcW w:w="239"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地表水</w:t>
            </w:r>
          </w:p>
        </w:tc>
        <w:tc>
          <w:tcPr>
            <w:tcW w:w="608"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松阳湖</w:t>
            </w:r>
          </w:p>
        </w:tc>
        <w:tc>
          <w:tcPr>
            <w:tcW w:w="41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-69</w:t>
            </w:r>
          </w:p>
        </w:tc>
        <w:tc>
          <w:tcPr>
            <w:tcW w:w="36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-333</w:t>
            </w:r>
          </w:p>
        </w:tc>
        <w:tc>
          <w:tcPr>
            <w:tcW w:w="47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22m</w:t>
            </w:r>
          </w:p>
        </w:tc>
        <w:tc>
          <w:tcPr>
            <w:tcW w:w="47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4m</w:t>
            </w:r>
          </w:p>
        </w:tc>
        <w:tc>
          <w:tcPr>
            <w:tcW w:w="55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南侧约100m</w:t>
            </w:r>
          </w:p>
        </w:tc>
        <w:tc>
          <w:tcPr>
            <w:tcW w:w="53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南侧约180m</w:t>
            </w:r>
          </w:p>
        </w:tc>
        <w:tc>
          <w:tcPr>
            <w:tcW w:w="48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景观娱乐用水</w:t>
            </w:r>
          </w:p>
        </w:tc>
        <w:tc>
          <w:tcPr>
            <w:tcW w:w="84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《地表水环境质量标准》（GB3838-2002）Ⅳ类标准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45" w:hRule="atLeast"/>
        </w:trPr>
        <w:tc>
          <w:tcPr>
            <w:tcW w:w="239"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p>
        </w:tc>
        <w:tc>
          <w:tcPr>
            <w:tcW w:w="608"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长江云溪道仁矶段</w:t>
            </w:r>
          </w:p>
        </w:tc>
        <w:tc>
          <w:tcPr>
            <w:tcW w:w="41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-5925</w:t>
            </w:r>
          </w:p>
        </w:tc>
        <w:tc>
          <w:tcPr>
            <w:tcW w:w="36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271</w:t>
            </w:r>
          </w:p>
        </w:tc>
        <w:tc>
          <w:tcPr>
            <w:tcW w:w="477"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30m</w:t>
            </w:r>
          </w:p>
        </w:tc>
        <w:tc>
          <w:tcPr>
            <w:tcW w:w="4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21m</w:t>
            </w:r>
          </w:p>
        </w:tc>
        <w:tc>
          <w:tcPr>
            <w:tcW w:w="553"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西北侧约6km</w:t>
            </w:r>
          </w:p>
        </w:tc>
        <w:tc>
          <w:tcPr>
            <w:tcW w:w="538"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西北侧约5.8km</w:t>
            </w:r>
          </w:p>
        </w:tc>
        <w:tc>
          <w:tcPr>
            <w:tcW w:w="48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渔业用水</w:t>
            </w:r>
          </w:p>
        </w:tc>
        <w:tc>
          <w:tcPr>
            <w:tcW w:w="84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《地表水环境质量标准》（GB3838-2002）中</w:t>
            </w:r>
            <w:r>
              <w:rPr>
                <w:rFonts w:hint="eastAsia" w:ascii="宋体" w:hAnsi="宋体" w:eastAsia="宋体" w:cs="宋体"/>
                <w:color w:val="auto"/>
                <w:kern w:val="2"/>
                <w:sz w:val="21"/>
                <w:szCs w:val="20"/>
                <w:u w:val="single"/>
                <w:lang w:val="en-US" w:eastAsia="zh-CN" w:bidi="ar-SA"/>
              </w:rPr>
              <w:t>Ⅲ</w:t>
            </w:r>
            <w:r>
              <w:rPr>
                <w:rFonts w:hint="eastAsia" w:ascii="Times New Roman" w:hAnsi="Times New Roman" w:eastAsia="宋体" w:cs="Times New Roman"/>
                <w:color w:val="auto"/>
                <w:kern w:val="2"/>
                <w:sz w:val="21"/>
                <w:szCs w:val="20"/>
                <w:u w:val="single"/>
                <w:lang w:val="en-US" w:eastAsia="zh-CN" w:bidi="ar-SA"/>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Pr>
        <w:tc>
          <w:tcPr>
            <w:tcW w:w="239"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地下水</w:t>
            </w:r>
          </w:p>
        </w:tc>
        <w:tc>
          <w:tcPr>
            <w:tcW w:w="608"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敏感目标名称</w:t>
            </w:r>
          </w:p>
        </w:tc>
        <w:tc>
          <w:tcPr>
            <w:tcW w:w="2824" w:type="pct"/>
            <w:gridSpan w:val="6"/>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环境敏感特征</w:t>
            </w:r>
          </w:p>
        </w:tc>
        <w:tc>
          <w:tcPr>
            <w:tcW w:w="48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规模</w:t>
            </w:r>
          </w:p>
        </w:tc>
        <w:tc>
          <w:tcPr>
            <w:tcW w:w="84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Pr>
        <w:tc>
          <w:tcPr>
            <w:tcW w:w="239"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p>
        </w:tc>
        <w:tc>
          <w:tcPr>
            <w:tcW w:w="608"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项目所在区域地下水</w:t>
            </w:r>
          </w:p>
        </w:tc>
        <w:tc>
          <w:tcPr>
            <w:tcW w:w="3310" w:type="pct"/>
            <w:gridSpan w:val="7"/>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评价范围内不涉及地下水饮用水水源、特殊地下水资源功能。周边居民饮用水均来自云溪自来水，附近井水无</w:t>
            </w:r>
            <w:r>
              <w:rPr>
                <w:rFonts w:hint="eastAsia" w:ascii="Times New Roman" w:hAnsi="Times New Roman" w:cs="Times New Roman"/>
                <w:color w:val="auto"/>
                <w:kern w:val="2"/>
                <w:sz w:val="21"/>
                <w:szCs w:val="20"/>
                <w:u w:val="single"/>
                <w:lang w:val="en-US" w:eastAsia="zh-CN" w:bidi="ar-SA"/>
              </w:rPr>
              <w:t>饮用</w:t>
            </w:r>
            <w:r>
              <w:rPr>
                <w:rFonts w:hint="eastAsia" w:ascii="Times New Roman" w:hAnsi="Times New Roman" w:eastAsia="宋体" w:cs="Times New Roman"/>
                <w:color w:val="auto"/>
                <w:kern w:val="2"/>
                <w:sz w:val="21"/>
                <w:szCs w:val="20"/>
                <w:u w:val="single"/>
                <w:lang w:val="en-US" w:eastAsia="zh-CN" w:bidi="ar-SA"/>
              </w:rPr>
              <w:t>功能</w:t>
            </w:r>
          </w:p>
        </w:tc>
        <w:tc>
          <w:tcPr>
            <w:tcW w:w="84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《地下水质量标准》（GB/T14848-2017）Ⅲ类标准</w:t>
            </w:r>
          </w:p>
        </w:tc>
      </w:tr>
    </w:tbl>
    <w:p>
      <w:pPr>
        <w:widowControl w:val="0"/>
        <w:bidi w:val="0"/>
        <w:spacing w:line="360" w:lineRule="auto"/>
        <w:jc w:val="center"/>
        <w:rPr>
          <w:rFonts w:ascii="Times New Roman" w:hAnsi="Times New Roman" w:eastAsia="宋体" w:cs="Times New Roman"/>
          <w:b/>
          <w:color w:val="auto"/>
          <w:kern w:val="2"/>
          <w:sz w:val="24"/>
          <w:szCs w:val="22"/>
          <w:u w:val="single"/>
          <w:lang w:val="en-US" w:eastAsia="zh-CN" w:bidi="ar-SA"/>
        </w:rPr>
      </w:pPr>
      <w:r>
        <w:rPr>
          <w:rFonts w:hint="eastAsia" w:ascii="Times New Roman" w:hAnsi="Times New Roman" w:eastAsia="宋体" w:cs="Times New Roman"/>
          <w:b/>
          <w:color w:val="auto"/>
          <w:kern w:val="2"/>
          <w:sz w:val="24"/>
          <w:szCs w:val="22"/>
          <w:u w:val="single"/>
          <w:lang w:val="en-US" w:eastAsia="zh-CN" w:bidi="ar-SA"/>
        </w:rPr>
        <w:t>表2.6-2  大气、生态环境及土壤环境保护目标一览表</w:t>
      </w:r>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32"/>
        <w:gridCol w:w="716"/>
        <w:gridCol w:w="825"/>
        <w:gridCol w:w="923"/>
        <w:gridCol w:w="173"/>
        <w:gridCol w:w="1453"/>
        <w:gridCol w:w="1617"/>
        <w:gridCol w:w="19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5" w:hRule="atLeast"/>
        </w:trPr>
        <w:tc>
          <w:tcPr>
            <w:tcW w:w="223"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类别</w:t>
            </w:r>
          </w:p>
        </w:tc>
        <w:tc>
          <w:tcPr>
            <w:tcW w:w="753"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敏感</w:t>
            </w:r>
            <w:r>
              <w:rPr>
                <w:rFonts w:ascii="Times New Roman" w:hAnsi="Times New Roman" w:eastAsia="宋体" w:cs="Times New Roman"/>
                <w:color w:val="auto"/>
                <w:kern w:val="2"/>
                <w:sz w:val="21"/>
                <w:szCs w:val="20"/>
                <w:u w:val="single"/>
                <w:lang w:val="en-US" w:eastAsia="zh-CN" w:bidi="ar-SA"/>
              </w:rPr>
              <w:t>目标</w:t>
            </w:r>
          </w:p>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名称</w:t>
            </w:r>
          </w:p>
        </w:tc>
        <w:tc>
          <w:tcPr>
            <w:tcW w:w="811"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坐标/m</w:t>
            </w:r>
          </w:p>
        </w:tc>
        <w:tc>
          <w:tcPr>
            <w:tcW w:w="485"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相对厂址方位</w:t>
            </w:r>
          </w:p>
        </w:tc>
        <w:tc>
          <w:tcPr>
            <w:tcW w:w="855" w:type="pct"/>
            <w:gridSpan w:val="2"/>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相对厂界距离</w:t>
            </w:r>
            <w:r>
              <w:rPr>
                <w:rFonts w:hint="eastAsia" w:ascii="Times New Roman" w:hAnsi="Times New Roman" w:cs="Times New Roman"/>
                <w:color w:val="auto"/>
                <w:kern w:val="2"/>
                <w:sz w:val="21"/>
                <w:szCs w:val="20"/>
                <w:u w:val="single"/>
                <w:lang w:val="en-US" w:eastAsia="zh-CN" w:bidi="ar-SA"/>
              </w:rPr>
              <w:t>（M）</w:t>
            </w:r>
          </w:p>
        </w:tc>
        <w:tc>
          <w:tcPr>
            <w:tcW w:w="848"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功能及规模</w:t>
            </w:r>
          </w:p>
        </w:tc>
        <w:tc>
          <w:tcPr>
            <w:tcW w:w="1021"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7" w:hRule="atLeast"/>
        </w:trPr>
        <w:tc>
          <w:tcPr>
            <w:tcW w:w="223"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753"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37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X</w:t>
            </w:r>
          </w:p>
        </w:tc>
        <w:tc>
          <w:tcPr>
            <w:tcW w:w="43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Y</w:t>
            </w:r>
          </w:p>
        </w:tc>
        <w:tc>
          <w:tcPr>
            <w:tcW w:w="485"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855"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84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1021"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3" w:hRule="atLeast"/>
        </w:trPr>
        <w:tc>
          <w:tcPr>
            <w:tcW w:w="223"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环境空气</w:t>
            </w:r>
          </w:p>
        </w:tc>
        <w:tc>
          <w:tcPr>
            <w:tcW w:w="753" w:type="pct"/>
            <w:tcBorders>
              <w:tl2br w:val="nil"/>
              <w:tr2bl w:val="nil"/>
            </w:tcBorders>
            <w:noWrap w:val="0"/>
            <w:vAlign w:val="center"/>
          </w:tcPr>
          <w:p>
            <w:pPr>
              <w:jc w:val="center"/>
              <w:rPr>
                <w:rFonts w:hint="eastAsia"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bCs/>
                <w:color w:val="auto"/>
                <w:sz w:val="21"/>
                <w:szCs w:val="21"/>
                <w:u w:val="single"/>
              </w:rPr>
              <w:t>大田村</w:t>
            </w:r>
          </w:p>
        </w:tc>
        <w:tc>
          <w:tcPr>
            <w:tcW w:w="37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2000</w:t>
            </w:r>
          </w:p>
        </w:tc>
        <w:tc>
          <w:tcPr>
            <w:tcW w:w="433"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1500</w:t>
            </w:r>
          </w:p>
        </w:tc>
        <w:tc>
          <w:tcPr>
            <w:tcW w:w="923" w:type="dxa"/>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东北侧</w:t>
            </w:r>
          </w:p>
        </w:tc>
        <w:tc>
          <w:tcPr>
            <w:tcW w:w="1627" w:type="dxa"/>
            <w:gridSpan w:val="2"/>
            <w:tcBorders>
              <w:tl2br w:val="nil"/>
              <w:tr2bl w:val="nil"/>
            </w:tcBorders>
            <w:noWrap w:val="0"/>
            <w:vAlign w:val="center"/>
          </w:tcPr>
          <w:p>
            <w:pPr>
              <w:jc w:val="center"/>
              <w:rPr>
                <w:rFonts w:hint="default" w:ascii="Times New Roman" w:hAnsi="Times New Roman" w:eastAsia="宋体" w:cs="Times New Roman"/>
                <w:bCs/>
                <w:color w:val="auto"/>
                <w:kern w:val="2"/>
                <w:sz w:val="21"/>
                <w:szCs w:val="21"/>
                <w:u w:val="single"/>
                <w:lang w:val="en-US" w:eastAsia="zh-CN" w:bidi="ar-SA"/>
              </w:rPr>
            </w:pPr>
            <w:r>
              <w:rPr>
                <w:rFonts w:hint="eastAsia" w:ascii="Times New Roman" w:hAnsi="Times New Roman" w:cs="Times New Roman"/>
                <w:bCs/>
                <w:color w:val="auto"/>
                <w:sz w:val="21"/>
                <w:szCs w:val="21"/>
                <w:u w:val="single"/>
                <w:lang w:val="en-US" w:eastAsia="zh-CN"/>
              </w:rPr>
              <w:t>2500</w:t>
            </w:r>
          </w:p>
        </w:tc>
        <w:tc>
          <w:tcPr>
            <w:tcW w:w="848"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村民，</w:t>
            </w:r>
          </w:p>
          <w:p>
            <w:pPr>
              <w:jc w:val="center"/>
              <w:rPr>
                <w:rFonts w:ascii="Times New Roman" w:hAnsi="Times New Roman" w:eastAsia="宋体" w:cs="Times New Roman"/>
                <w:color w:val="auto"/>
                <w:kern w:val="2"/>
                <w:sz w:val="21"/>
                <w:szCs w:val="20"/>
                <w:u w:val="single"/>
                <w:lang w:val="en-US" w:eastAsia="zh-CN" w:bidi="ar-SA"/>
              </w:rPr>
            </w:pPr>
            <w:r>
              <w:rPr>
                <w:rFonts w:hint="default" w:ascii="Times New Roman" w:hAnsi="Times New Roman" w:eastAsia="宋体" w:cs="Times New Roman"/>
                <w:bCs/>
                <w:color w:val="auto"/>
                <w:sz w:val="21"/>
                <w:szCs w:val="21"/>
                <w:u w:val="single"/>
              </w:rPr>
              <w:t>约40户</w:t>
            </w:r>
          </w:p>
        </w:tc>
        <w:tc>
          <w:tcPr>
            <w:tcW w:w="1021"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7" w:hRule="atLeast"/>
        </w:trPr>
        <w:tc>
          <w:tcPr>
            <w:tcW w:w="223"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753" w:type="pct"/>
            <w:tcBorders>
              <w:tl2br w:val="nil"/>
              <w:tr2bl w:val="nil"/>
            </w:tcBorders>
            <w:noWrap w:val="0"/>
            <w:vAlign w:val="center"/>
          </w:tcPr>
          <w:p>
            <w:pPr>
              <w:topLinePunct/>
              <w:adjustRightInd w:val="0"/>
              <w:snapToGrid w:val="0"/>
              <w:jc w:val="center"/>
              <w:rPr>
                <w:rFonts w:hint="eastAsia"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bCs/>
                <w:color w:val="auto"/>
                <w:sz w:val="21"/>
                <w:szCs w:val="21"/>
                <w:u w:val="single"/>
              </w:rPr>
              <w:t>胜利村</w:t>
            </w:r>
          </w:p>
        </w:tc>
        <w:tc>
          <w:tcPr>
            <w:tcW w:w="37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1100</w:t>
            </w:r>
          </w:p>
        </w:tc>
        <w:tc>
          <w:tcPr>
            <w:tcW w:w="433"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-400</w:t>
            </w:r>
          </w:p>
        </w:tc>
        <w:tc>
          <w:tcPr>
            <w:tcW w:w="923" w:type="dxa"/>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东南</w:t>
            </w:r>
            <w:r>
              <w:rPr>
                <w:rFonts w:hint="eastAsia" w:ascii="Times New Roman" w:hAnsi="Times New Roman" w:eastAsia="宋体" w:cs="Times New Roman"/>
                <w:color w:val="auto"/>
                <w:kern w:val="2"/>
                <w:sz w:val="21"/>
                <w:szCs w:val="20"/>
                <w:u w:val="single"/>
                <w:lang w:val="en-US" w:eastAsia="zh-CN" w:bidi="ar-SA"/>
              </w:rPr>
              <w:t>侧</w:t>
            </w:r>
          </w:p>
        </w:tc>
        <w:tc>
          <w:tcPr>
            <w:tcW w:w="1627" w:type="dxa"/>
            <w:gridSpan w:val="2"/>
            <w:tcBorders>
              <w:tl2br w:val="nil"/>
              <w:tr2bl w:val="nil"/>
            </w:tcBorders>
            <w:noWrap w:val="0"/>
            <w:vAlign w:val="center"/>
          </w:tcPr>
          <w:p>
            <w:pPr>
              <w:jc w:val="center"/>
              <w:rPr>
                <w:rFonts w:hint="default" w:ascii="Times New Roman" w:hAnsi="Times New Roman" w:eastAsia="宋体" w:cs="Times New Roman"/>
                <w:bCs/>
                <w:color w:val="auto"/>
                <w:kern w:val="2"/>
                <w:sz w:val="21"/>
                <w:szCs w:val="21"/>
                <w:u w:val="single"/>
                <w:lang w:val="en-US" w:eastAsia="zh-CN" w:bidi="ar-SA"/>
              </w:rPr>
            </w:pPr>
            <w:r>
              <w:rPr>
                <w:rFonts w:hint="eastAsia" w:ascii="Times New Roman" w:hAnsi="Times New Roman" w:cs="Times New Roman"/>
                <w:bCs/>
                <w:color w:val="auto"/>
                <w:sz w:val="21"/>
                <w:szCs w:val="21"/>
                <w:u w:val="single"/>
                <w:lang w:val="en-US" w:eastAsia="zh-CN"/>
              </w:rPr>
              <w:t>1300</w:t>
            </w:r>
          </w:p>
        </w:tc>
        <w:tc>
          <w:tcPr>
            <w:tcW w:w="848" w:type="pct"/>
            <w:tcBorders>
              <w:tl2br w:val="nil"/>
              <w:tr2bl w:val="nil"/>
            </w:tcBorders>
            <w:noWrap w:val="0"/>
            <w:vAlign w:val="center"/>
          </w:tcPr>
          <w:p>
            <w:pPr>
              <w:topLinePunct/>
              <w:adjustRightInd w:val="0"/>
              <w:snapToGrid w:val="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村民，</w:t>
            </w:r>
          </w:p>
          <w:p>
            <w:pPr>
              <w:topLinePunct/>
              <w:adjustRightInd w:val="0"/>
              <w:snapToGrid w:val="0"/>
              <w:jc w:val="center"/>
              <w:rPr>
                <w:rFonts w:ascii="Times New Roman" w:hAnsi="Times New Roman" w:eastAsia="宋体" w:cs="Times New Roman"/>
                <w:color w:val="auto"/>
                <w:kern w:val="2"/>
                <w:sz w:val="21"/>
                <w:szCs w:val="20"/>
                <w:u w:val="single"/>
                <w:lang w:val="en-US" w:eastAsia="zh-CN" w:bidi="ar-SA"/>
              </w:rPr>
            </w:pPr>
            <w:r>
              <w:rPr>
                <w:rFonts w:hint="default" w:ascii="Times New Roman" w:hAnsi="Times New Roman" w:eastAsia="宋体" w:cs="Times New Roman"/>
                <w:bCs/>
                <w:color w:val="auto"/>
                <w:sz w:val="21"/>
                <w:szCs w:val="21"/>
                <w:u w:val="single"/>
              </w:rPr>
              <w:t>约99户</w:t>
            </w:r>
          </w:p>
        </w:tc>
        <w:tc>
          <w:tcPr>
            <w:tcW w:w="1021"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11" w:hRule="atLeast"/>
        </w:trPr>
        <w:tc>
          <w:tcPr>
            <w:tcW w:w="223"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753" w:type="pct"/>
            <w:tcBorders>
              <w:tl2br w:val="nil"/>
              <w:tr2bl w:val="nil"/>
            </w:tcBorders>
            <w:noWrap w:val="0"/>
            <w:vAlign w:val="center"/>
          </w:tcPr>
          <w:p>
            <w:pPr>
              <w:jc w:val="center"/>
              <w:rPr>
                <w:rFonts w:hint="eastAsia"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bCs/>
                <w:color w:val="auto"/>
                <w:sz w:val="21"/>
                <w:szCs w:val="21"/>
                <w:u w:val="single"/>
              </w:rPr>
              <w:t>云溪区一中</w:t>
            </w:r>
          </w:p>
        </w:tc>
        <w:tc>
          <w:tcPr>
            <w:tcW w:w="37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1600</w:t>
            </w:r>
          </w:p>
        </w:tc>
        <w:tc>
          <w:tcPr>
            <w:tcW w:w="433"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-12</w:t>
            </w:r>
            <w:r>
              <w:rPr>
                <w:rFonts w:hint="eastAsia" w:ascii="Times New Roman" w:hAnsi="Times New Roman" w:eastAsia="宋体" w:cs="Times New Roman"/>
                <w:color w:val="auto"/>
                <w:kern w:val="2"/>
                <w:sz w:val="21"/>
                <w:szCs w:val="20"/>
                <w:u w:val="single"/>
                <w:lang w:val="en-US" w:eastAsia="zh-CN" w:bidi="ar-SA"/>
              </w:rPr>
              <w:t>00</w:t>
            </w:r>
          </w:p>
        </w:tc>
        <w:tc>
          <w:tcPr>
            <w:tcW w:w="923" w:type="dxa"/>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东</w:t>
            </w:r>
            <w:r>
              <w:rPr>
                <w:rFonts w:hint="eastAsia" w:ascii="Times New Roman" w:hAnsi="Times New Roman" w:cs="Times New Roman"/>
                <w:color w:val="auto"/>
                <w:kern w:val="2"/>
                <w:sz w:val="21"/>
                <w:szCs w:val="20"/>
                <w:u w:val="single"/>
                <w:lang w:val="en-US" w:eastAsia="zh-CN" w:bidi="ar-SA"/>
              </w:rPr>
              <w:t>南</w:t>
            </w:r>
            <w:r>
              <w:rPr>
                <w:rFonts w:hint="eastAsia" w:ascii="Times New Roman" w:hAnsi="Times New Roman" w:eastAsia="宋体" w:cs="Times New Roman"/>
                <w:color w:val="auto"/>
                <w:kern w:val="2"/>
                <w:sz w:val="21"/>
                <w:szCs w:val="20"/>
                <w:u w:val="single"/>
                <w:lang w:val="en-US" w:eastAsia="zh-CN" w:bidi="ar-SA"/>
              </w:rPr>
              <w:t>侧</w:t>
            </w:r>
          </w:p>
        </w:tc>
        <w:tc>
          <w:tcPr>
            <w:tcW w:w="1627" w:type="dxa"/>
            <w:gridSpan w:val="2"/>
            <w:tcBorders>
              <w:tl2br w:val="nil"/>
              <w:tr2bl w:val="nil"/>
            </w:tcBorders>
            <w:noWrap w:val="0"/>
            <w:vAlign w:val="center"/>
          </w:tcPr>
          <w:p>
            <w:pPr>
              <w:jc w:val="center"/>
              <w:rPr>
                <w:rFonts w:hint="default" w:ascii="Times New Roman" w:hAnsi="Times New Roman" w:eastAsia="宋体" w:cs="Times New Roman"/>
                <w:bCs/>
                <w:color w:val="auto"/>
                <w:kern w:val="2"/>
                <w:sz w:val="21"/>
                <w:szCs w:val="21"/>
                <w:u w:val="single"/>
                <w:lang w:val="en-US" w:eastAsia="zh-CN" w:bidi="ar-SA"/>
              </w:rPr>
            </w:pPr>
            <w:r>
              <w:rPr>
                <w:rFonts w:hint="eastAsia" w:ascii="Times New Roman" w:hAnsi="Times New Roman" w:cs="Times New Roman"/>
                <w:bCs/>
                <w:color w:val="auto"/>
                <w:sz w:val="21"/>
                <w:szCs w:val="21"/>
                <w:u w:val="single"/>
                <w:lang w:val="en-US" w:eastAsia="zh-CN"/>
              </w:rPr>
              <w:t>2000</w:t>
            </w:r>
          </w:p>
        </w:tc>
        <w:tc>
          <w:tcPr>
            <w:tcW w:w="848" w:type="pct"/>
            <w:tcBorders>
              <w:tl2br w:val="nil"/>
              <w:tr2bl w:val="nil"/>
            </w:tcBorders>
            <w:noWrap w:val="0"/>
            <w:vAlign w:val="center"/>
          </w:tcPr>
          <w:p>
            <w:pPr>
              <w:jc w:val="center"/>
              <w:rPr>
                <w:rFonts w:ascii="Times New Roman" w:hAnsi="Times New Roman" w:eastAsia="宋体" w:cs="Times New Roman"/>
                <w:color w:val="auto"/>
                <w:kern w:val="2"/>
                <w:sz w:val="21"/>
                <w:szCs w:val="20"/>
                <w:u w:val="single"/>
                <w:lang w:val="en-US" w:eastAsia="zh-CN" w:bidi="ar-SA"/>
              </w:rPr>
            </w:pPr>
            <w:r>
              <w:rPr>
                <w:rFonts w:hint="default" w:ascii="Times New Roman" w:hAnsi="Times New Roman" w:eastAsia="宋体" w:cs="Times New Roman"/>
                <w:bCs/>
                <w:color w:val="auto"/>
                <w:sz w:val="21"/>
                <w:szCs w:val="21"/>
                <w:u w:val="single"/>
              </w:rPr>
              <w:t>师生</w:t>
            </w:r>
          </w:p>
        </w:tc>
        <w:tc>
          <w:tcPr>
            <w:tcW w:w="1021"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7" w:hRule="atLeast"/>
        </w:trPr>
        <w:tc>
          <w:tcPr>
            <w:tcW w:w="223"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753" w:type="pct"/>
            <w:tcBorders>
              <w:tl2br w:val="nil"/>
              <w:tr2bl w:val="nil"/>
            </w:tcBorders>
            <w:noWrap w:val="0"/>
            <w:vAlign w:val="center"/>
          </w:tcPr>
          <w:p>
            <w:pPr>
              <w:jc w:val="center"/>
              <w:rPr>
                <w:rFonts w:hint="eastAsia"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bCs/>
                <w:color w:val="auto"/>
                <w:sz w:val="21"/>
                <w:szCs w:val="21"/>
                <w:u w:val="single"/>
              </w:rPr>
              <w:t>胜利小区</w:t>
            </w:r>
          </w:p>
        </w:tc>
        <w:tc>
          <w:tcPr>
            <w:tcW w:w="37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1400</w:t>
            </w:r>
          </w:p>
        </w:tc>
        <w:tc>
          <w:tcPr>
            <w:tcW w:w="433"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w:t>
            </w:r>
            <w:r>
              <w:rPr>
                <w:rFonts w:hint="eastAsia" w:ascii="Times New Roman" w:hAnsi="Times New Roman" w:cs="Times New Roman"/>
                <w:color w:val="auto"/>
                <w:kern w:val="2"/>
                <w:sz w:val="21"/>
                <w:szCs w:val="20"/>
                <w:u w:val="single"/>
                <w:lang w:val="en-US" w:eastAsia="zh-CN" w:bidi="ar-SA"/>
              </w:rPr>
              <w:t>18</w:t>
            </w:r>
            <w:r>
              <w:rPr>
                <w:rFonts w:hint="eastAsia" w:ascii="Times New Roman" w:hAnsi="Times New Roman" w:eastAsia="宋体" w:cs="Times New Roman"/>
                <w:color w:val="auto"/>
                <w:kern w:val="2"/>
                <w:sz w:val="21"/>
                <w:szCs w:val="20"/>
                <w:u w:val="single"/>
                <w:lang w:val="en-US" w:eastAsia="zh-CN" w:bidi="ar-SA"/>
              </w:rPr>
              <w:t>00</w:t>
            </w:r>
          </w:p>
        </w:tc>
        <w:tc>
          <w:tcPr>
            <w:tcW w:w="923" w:type="dxa"/>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东南侧</w:t>
            </w:r>
          </w:p>
        </w:tc>
        <w:tc>
          <w:tcPr>
            <w:tcW w:w="1627" w:type="dxa"/>
            <w:gridSpan w:val="2"/>
            <w:tcBorders>
              <w:tl2br w:val="nil"/>
              <w:tr2bl w:val="nil"/>
            </w:tcBorders>
            <w:noWrap w:val="0"/>
            <w:vAlign w:val="center"/>
          </w:tcPr>
          <w:p>
            <w:pPr>
              <w:jc w:val="center"/>
              <w:rPr>
                <w:rFonts w:hint="default" w:ascii="Times New Roman" w:hAnsi="Times New Roman" w:eastAsia="宋体" w:cs="Times New Roman"/>
                <w:bCs/>
                <w:color w:val="auto"/>
                <w:kern w:val="2"/>
                <w:sz w:val="21"/>
                <w:szCs w:val="21"/>
                <w:u w:val="single"/>
                <w:lang w:val="en-US" w:eastAsia="zh-CN" w:bidi="ar-SA"/>
              </w:rPr>
            </w:pPr>
            <w:r>
              <w:rPr>
                <w:rFonts w:hint="eastAsia" w:ascii="Times New Roman" w:hAnsi="Times New Roman" w:cs="Times New Roman"/>
                <w:bCs/>
                <w:color w:val="auto"/>
                <w:sz w:val="21"/>
                <w:szCs w:val="21"/>
                <w:u w:val="single"/>
                <w:lang w:val="en-US" w:eastAsia="zh-CN"/>
              </w:rPr>
              <w:t>2300</w:t>
            </w:r>
          </w:p>
        </w:tc>
        <w:tc>
          <w:tcPr>
            <w:tcW w:w="848" w:type="pct"/>
            <w:tcBorders>
              <w:tl2br w:val="nil"/>
              <w:tr2bl w:val="nil"/>
            </w:tcBorders>
            <w:noWrap w:val="0"/>
            <w:vAlign w:val="center"/>
          </w:tcPr>
          <w:p>
            <w:pPr>
              <w:jc w:val="center"/>
              <w:rPr>
                <w:rFonts w:ascii="Times New Roman" w:hAnsi="Times New Roman" w:eastAsia="宋体" w:cs="Times New Roman"/>
                <w:color w:val="auto"/>
                <w:kern w:val="2"/>
                <w:sz w:val="21"/>
                <w:szCs w:val="20"/>
                <w:u w:val="single"/>
                <w:lang w:val="en-US" w:eastAsia="zh-CN" w:bidi="ar-SA"/>
              </w:rPr>
            </w:pPr>
            <w:r>
              <w:rPr>
                <w:rFonts w:hint="default" w:ascii="Times New Roman" w:hAnsi="Times New Roman" w:eastAsia="宋体" w:cs="Times New Roman"/>
                <w:bCs/>
                <w:color w:val="auto"/>
                <w:sz w:val="21"/>
                <w:szCs w:val="21"/>
                <w:u w:val="single"/>
              </w:rPr>
              <w:t>人群</w:t>
            </w:r>
          </w:p>
        </w:tc>
        <w:tc>
          <w:tcPr>
            <w:tcW w:w="1021"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7" w:hRule="atLeast"/>
        </w:trPr>
        <w:tc>
          <w:tcPr>
            <w:tcW w:w="223"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753" w:type="pct"/>
            <w:tcBorders>
              <w:tl2br w:val="nil"/>
              <w:tr2bl w:val="nil"/>
            </w:tcBorders>
            <w:noWrap w:val="0"/>
            <w:vAlign w:val="center"/>
          </w:tcPr>
          <w:p>
            <w:pPr>
              <w:topLinePunct/>
              <w:adjustRightInd w:val="0"/>
              <w:snapToGrid w:val="0"/>
              <w:jc w:val="center"/>
              <w:rPr>
                <w:rFonts w:hint="eastAsia"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bCs/>
                <w:color w:val="auto"/>
                <w:sz w:val="21"/>
                <w:szCs w:val="21"/>
                <w:u w:val="single"/>
              </w:rPr>
              <w:t>云溪城区</w:t>
            </w:r>
          </w:p>
        </w:tc>
        <w:tc>
          <w:tcPr>
            <w:tcW w:w="37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19</w:t>
            </w:r>
            <w:r>
              <w:rPr>
                <w:rFonts w:hint="eastAsia" w:ascii="Times New Roman" w:hAnsi="Times New Roman" w:eastAsia="宋体" w:cs="Times New Roman"/>
                <w:color w:val="auto"/>
                <w:kern w:val="2"/>
                <w:sz w:val="21"/>
                <w:szCs w:val="20"/>
                <w:u w:val="single"/>
                <w:lang w:val="en-US" w:eastAsia="zh-CN" w:bidi="ar-SA"/>
              </w:rPr>
              <w:t>00</w:t>
            </w:r>
          </w:p>
        </w:tc>
        <w:tc>
          <w:tcPr>
            <w:tcW w:w="43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w:t>
            </w:r>
            <w:r>
              <w:rPr>
                <w:rFonts w:hint="eastAsia" w:ascii="Times New Roman" w:hAnsi="Times New Roman" w:cs="Times New Roman"/>
                <w:color w:val="auto"/>
                <w:kern w:val="2"/>
                <w:sz w:val="21"/>
                <w:szCs w:val="20"/>
                <w:u w:val="single"/>
                <w:lang w:val="en-US" w:eastAsia="zh-CN" w:bidi="ar-SA"/>
              </w:rPr>
              <w:t>19</w:t>
            </w:r>
            <w:r>
              <w:rPr>
                <w:rFonts w:hint="eastAsia" w:ascii="Times New Roman" w:hAnsi="Times New Roman" w:eastAsia="宋体" w:cs="Times New Roman"/>
                <w:color w:val="auto"/>
                <w:kern w:val="2"/>
                <w:sz w:val="21"/>
                <w:szCs w:val="20"/>
                <w:u w:val="single"/>
                <w:lang w:val="en-US" w:eastAsia="zh-CN" w:bidi="ar-SA"/>
              </w:rPr>
              <w:t>00</w:t>
            </w:r>
          </w:p>
        </w:tc>
        <w:tc>
          <w:tcPr>
            <w:tcW w:w="923" w:type="dxa"/>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东南侧</w:t>
            </w:r>
          </w:p>
        </w:tc>
        <w:tc>
          <w:tcPr>
            <w:tcW w:w="1627" w:type="dxa"/>
            <w:gridSpan w:val="2"/>
            <w:tcBorders>
              <w:tl2br w:val="nil"/>
              <w:tr2bl w:val="nil"/>
            </w:tcBorders>
            <w:noWrap w:val="0"/>
            <w:vAlign w:val="center"/>
          </w:tcPr>
          <w:p>
            <w:pPr>
              <w:jc w:val="center"/>
              <w:rPr>
                <w:rFonts w:hint="default" w:ascii="Times New Roman" w:hAnsi="Times New Roman" w:eastAsia="宋体" w:cs="Times New Roman"/>
                <w:bCs/>
                <w:color w:val="auto"/>
                <w:kern w:val="2"/>
                <w:sz w:val="21"/>
                <w:szCs w:val="21"/>
                <w:u w:val="single"/>
                <w:lang w:val="en-US" w:eastAsia="zh-CN" w:bidi="ar-SA"/>
              </w:rPr>
            </w:pPr>
            <w:r>
              <w:rPr>
                <w:rFonts w:hint="eastAsia" w:ascii="Times New Roman" w:hAnsi="Times New Roman" w:cs="Times New Roman"/>
                <w:bCs/>
                <w:color w:val="auto"/>
                <w:sz w:val="21"/>
                <w:szCs w:val="21"/>
                <w:u w:val="single"/>
                <w:lang w:val="en-US" w:eastAsia="zh-CN"/>
              </w:rPr>
              <w:t>2600</w:t>
            </w:r>
          </w:p>
        </w:tc>
        <w:tc>
          <w:tcPr>
            <w:tcW w:w="848" w:type="pct"/>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2"/>
                <w:sz w:val="21"/>
                <w:szCs w:val="20"/>
                <w:u w:val="single"/>
                <w:lang w:val="en-US" w:eastAsia="zh-CN" w:bidi="ar-SA"/>
              </w:rPr>
            </w:pPr>
            <w:r>
              <w:rPr>
                <w:rFonts w:hint="default" w:ascii="Times New Roman" w:hAnsi="Times New Roman" w:eastAsia="宋体" w:cs="Times New Roman"/>
                <w:bCs/>
                <w:color w:val="auto"/>
                <w:sz w:val="21"/>
                <w:szCs w:val="21"/>
                <w:u w:val="single"/>
              </w:rPr>
              <w:t>约5万人</w:t>
            </w:r>
          </w:p>
        </w:tc>
        <w:tc>
          <w:tcPr>
            <w:tcW w:w="1021"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7" w:hRule="atLeast"/>
        </w:trPr>
        <w:tc>
          <w:tcPr>
            <w:tcW w:w="223"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753" w:type="pct"/>
            <w:tcBorders>
              <w:tl2br w:val="nil"/>
              <w:tr2bl w:val="nil"/>
            </w:tcBorders>
            <w:noWrap w:val="0"/>
            <w:vAlign w:val="center"/>
          </w:tcPr>
          <w:p>
            <w:pPr>
              <w:topLinePunct/>
              <w:adjustRightInd w:val="0"/>
              <w:snapToGrid w:val="0"/>
              <w:jc w:val="center"/>
              <w:rPr>
                <w:rFonts w:hint="eastAsia"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bCs/>
                <w:color w:val="auto"/>
                <w:sz w:val="21"/>
                <w:szCs w:val="21"/>
                <w:u w:val="single"/>
              </w:rPr>
              <w:t>云溪小学</w:t>
            </w:r>
          </w:p>
        </w:tc>
        <w:tc>
          <w:tcPr>
            <w:tcW w:w="377"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1300</w:t>
            </w:r>
          </w:p>
        </w:tc>
        <w:tc>
          <w:tcPr>
            <w:tcW w:w="433"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w:t>
            </w:r>
            <w:r>
              <w:rPr>
                <w:rFonts w:hint="eastAsia" w:ascii="Times New Roman" w:hAnsi="Times New Roman" w:cs="Times New Roman"/>
                <w:color w:val="auto"/>
                <w:kern w:val="2"/>
                <w:sz w:val="21"/>
                <w:szCs w:val="20"/>
                <w:u w:val="single"/>
                <w:lang w:val="en-US" w:eastAsia="zh-CN" w:bidi="ar-SA"/>
              </w:rPr>
              <w:t>17</w:t>
            </w:r>
            <w:r>
              <w:rPr>
                <w:rFonts w:hint="eastAsia" w:ascii="Times New Roman" w:hAnsi="Times New Roman" w:eastAsia="宋体" w:cs="Times New Roman"/>
                <w:color w:val="auto"/>
                <w:kern w:val="2"/>
                <w:sz w:val="21"/>
                <w:szCs w:val="20"/>
                <w:u w:val="single"/>
                <w:lang w:val="en-US" w:eastAsia="zh-CN" w:bidi="ar-SA"/>
              </w:rPr>
              <w:t>00</w:t>
            </w:r>
          </w:p>
        </w:tc>
        <w:tc>
          <w:tcPr>
            <w:tcW w:w="923" w:type="dxa"/>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东南侧</w:t>
            </w:r>
          </w:p>
        </w:tc>
        <w:tc>
          <w:tcPr>
            <w:tcW w:w="1627" w:type="dxa"/>
            <w:gridSpan w:val="2"/>
            <w:tcBorders>
              <w:tl2br w:val="nil"/>
              <w:tr2bl w:val="nil"/>
            </w:tcBorders>
            <w:noWrap w:val="0"/>
            <w:vAlign w:val="center"/>
          </w:tcPr>
          <w:p>
            <w:pPr>
              <w:jc w:val="center"/>
              <w:rPr>
                <w:rFonts w:hint="default" w:ascii="Times New Roman" w:hAnsi="Times New Roman" w:eastAsia="宋体" w:cs="Times New Roman"/>
                <w:bCs/>
                <w:color w:val="auto"/>
                <w:kern w:val="2"/>
                <w:sz w:val="21"/>
                <w:szCs w:val="21"/>
                <w:u w:val="single"/>
                <w:lang w:val="en-US" w:eastAsia="zh-CN" w:bidi="ar-SA"/>
              </w:rPr>
            </w:pPr>
            <w:r>
              <w:rPr>
                <w:rFonts w:hint="eastAsia" w:ascii="Times New Roman" w:hAnsi="Times New Roman" w:cs="Times New Roman"/>
                <w:bCs/>
                <w:color w:val="auto"/>
                <w:sz w:val="21"/>
                <w:szCs w:val="21"/>
                <w:u w:val="single"/>
                <w:lang w:val="en-US" w:eastAsia="zh-CN"/>
              </w:rPr>
              <w:t>2200</w:t>
            </w:r>
          </w:p>
        </w:tc>
        <w:tc>
          <w:tcPr>
            <w:tcW w:w="848" w:type="pct"/>
            <w:tcBorders>
              <w:tl2br w:val="nil"/>
              <w:tr2bl w:val="nil"/>
            </w:tcBorders>
            <w:noWrap w:val="0"/>
            <w:vAlign w:val="center"/>
          </w:tcPr>
          <w:p>
            <w:pPr>
              <w:topLinePunct/>
              <w:adjustRightInd w:val="0"/>
              <w:snapToGrid w:val="0"/>
              <w:jc w:val="center"/>
              <w:rPr>
                <w:rFonts w:hint="eastAsia" w:ascii="Times New Roman" w:hAnsi="Times New Roman" w:eastAsia="宋体" w:cs="Times New Roman"/>
                <w:color w:val="auto"/>
                <w:kern w:val="2"/>
                <w:sz w:val="21"/>
                <w:szCs w:val="20"/>
                <w:u w:val="single"/>
                <w:lang w:val="en-US" w:eastAsia="zh-CN" w:bidi="ar-SA"/>
              </w:rPr>
            </w:pPr>
            <w:r>
              <w:rPr>
                <w:rFonts w:hint="default" w:ascii="Times New Roman" w:hAnsi="Times New Roman" w:eastAsia="宋体" w:cs="Times New Roman"/>
                <w:bCs/>
                <w:color w:val="auto"/>
                <w:sz w:val="21"/>
                <w:szCs w:val="21"/>
                <w:u w:val="single"/>
              </w:rPr>
              <w:t>人群</w:t>
            </w:r>
          </w:p>
        </w:tc>
        <w:tc>
          <w:tcPr>
            <w:tcW w:w="1021"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7" w:hRule="atLeast"/>
        </w:trPr>
        <w:tc>
          <w:tcPr>
            <w:tcW w:w="223"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753" w:type="pct"/>
            <w:tcBorders>
              <w:tl2br w:val="nil"/>
              <w:tr2bl w:val="nil"/>
            </w:tcBorders>
            <w:noWrap w:val="0"/>
            <w:vAlign w:val="center"/>
          </w:tcPr>
          <w:p>
            <w:pPr>
              <w:jc w:val="center"/>
              <w:rPr>
                <w:rFonts w:hint="eastAsia"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bCs/>
                <w:color w:val="auto"/>
                <w:sz w:val="21"/>
                <w:szCs w:val="21"/>
                <w:u w:val="single"/>
              </w:rPr>
              <w:t>方家咀</w:t>
            </w:r>
          </w:p>
        </w:tc>
        <w:tc>
          <w:tcPr>
            <w:tcW w:w="37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-200</w:t>
            </w:r>
          </w:p>
        </w:tc>
        <w:tc>
          <w:tcPr>
            <w:tcW w:w="433"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100</w:t>
            </w:r>
          </w:p>
        </w:tc>
        <w:tc>
          <w:tcPr>
            <w:tcW w:w="923" w:type="dxa"/>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西</w:t>
            </w:r>
            <w:r>
              <w:rPr>
                <w:rFonts w:hint="eastAsia" w:ascii="Times New Roman" w:hAnsi="Times New Roman" w:cs="Times New Roman"/>
                <w:color w:val="auto"/>
                <w:kern w:val="2"/>
                <w:sz w:val="21"/>
                <w:szCs w:val="20"/>
                <w:u w:val="single"/>
                <w:lang w:val="en-US" w:eastAsia="zh-CN" w:bidi="ar-SA"/>
              </w:rPr>
              <w:t>北</w:t>
            </w:r>
            <w:r>
              <w:rPr>
                <w:rFonts w:hint="eastAsia" w:ascii="Times New Roman" w:hAnsi="Times New Roman" w:eastAsia="宋体" w:cs="Times New Roman"/>
                <w:color w:val="auto"/>
                <w:kern w:val="2"/>
                <w:sz w:val="21"/>
                <w:szCs w:val="20"/>
                <w:u w:val="single"/>
                <w:lang w:val="en-US" w:eastAsia="zh-CN" w:bidi="ar-SA"/>
              </w:rPr>
              <w:t>侧</w:t>
            </w:r>
          </w:p>
        </w:tc>
        <w:tc>
          <w:tcPr>
            <w:tcW w:w="1627" w:type="dxa"/>
            <w:gridSpan w:val="2"/>
            <w:tcBorders>
              <w:tl2br w:val="nil"/>
              <w:tr2bl w:val="nil"/>
            </w:tcBorders>
            <w:noWrap w:val="0"/>
            <w:vAlign w:val="center"/>
          </w:tcPr>
          <w:p>
            <w:pPr>
              <w:jc w:val="center"/>
              <w:rPr>
                <w:rFonts w:hint="eastAsia" w:ascii="Times New Roman" w:hAnsi="Times New Roman" w:eastAsia="宋体" w:cs="Times New Roman"/>
                <w:bCs/>
                <w:color w:val="auto"/>
                <w:kern w:val="2"/>
                <w:sz w:val="21"/>
                <w:szCs w:val="21"/>
                <w:u w:val="single"/>
                <w:lang w:val="en-US" w:eastAsia="zh-CN" w:bidi="ar-SA"/>
              </w:rPr>
            </w:pPr>
            <w:r>
              <w:rPr>
                <w:rFonts w:hint="eastAsia" w:ascii="Times New Roman" w:hAnsi="Times New Roman" w:cs="Times New Roman"/>
                <w:bCs/>
                <w:color w:val="auto"/>
                <w:sz w:val="21"/>
                <w:szCs w:val="21"/>
                <w:u w:val="single"/>
                <w:lang w:val="en-US" w:eastAsia="zh-CN"/>
              </w:rPr>
              <w:t>250</w:t>
            </w:r>
          </w:p>
        </w:tc>
        <w:tc>
          <w:tcPr>
            <w:tcW w:w="848"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村民，</w:t>
            </w:r>
          </w:p>
          <w:p>
            <w:pPr>
              <w:jc w:val="center"/>
              <w:rPr>
                <w:rFonts w:ascii="Times New Roman" w:hAnsi="Times New Roman" w:eastAsia="宋体" w:cs="Times New Roman"/>
                <w:color w:val="auto"/>
                <w:kern w:val="2"/>
                <w:sz w:val="21"/>
                <w:szCs w:val="20"/>
                <w:u w:val="single"/>
                <w:lang w:val="en-US" w:eastAsia="zh-CN" w:bidi="ar-SA"/>
              </w:rPr>
            </w:pPr>
            <w:r>
              <w:rPr>
                <w:rFonts w:hint="default" w:ascii="Times New Roman" w:hAnsi="Times New Roman" w:eastAsia="宋体" w:cs="Times New Roman"/>
                <w:bCs/>
                <w:color w:val="auto"/>
                <w:sz w:val="21"/>
                <w:szCs w:val="21"/>
                <w:u w:val="single"/>
              </w:rPr>
              <w:t>约27户</w:t>
            </w:r>
          </w:p>
        </w:tc>
        <w:tc>
          <w:tcPr>
            <w:tcW w:w="1021"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7" w:hRule="atLeast"/>
        </w:trPr>
        <w:tc>
          <w:tcPr>
            <w:tcW w:w="223"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753" w:type="pct"/>
            <w:tcBorders>
              <w:tl2br w:val="nil"/>
              <w:tr2bl w:val="nil"/>
            </w:tcBorders>
            <w:noWrap w:val="0"/>
            <w:vAlign w:val="center"/>
          </w:tcPr>
          <w:p>
            <w:pPr>
              <w:jc w:val="center"/>
              <w:rPr>
                <w:rFonts w:hint="eastAsia"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bCs/>
                <w:color w:val="auto"/>
                <w:sz w:val="21"/>
                <w:szCs w:val="21"/>
                <w:u w:val="single"/>
              </w:rPr>
              <w:t>基隆村</w:t>
            </w:r>
          </w:p>
        </w:tc>
        <w:tc>
          <w:tcPr>
            <w:tcW w:w="37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2200</w:t>
            </w:r>
          </w:p>
        </w:tc>
        <w:tc>
          <w:tcPr>
            <w:tcW w:w="433"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2200</w:t>
            </w:r>
          </w:p>
        </w:tc>
        <w:tc>
          <w:tcPr>
            <w:tcW w:w="923" w:type="dxa"/>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东北</w:t>
            </w:r>
            <w:r>
              <w:rPr>
                <w:rFonts w:hint="eastAsia" w:ascii="Times New Roman" w:hAnsi="Times New Roman" w:eastAsia="宋体" w:cs="Times New Roman"/>
                <w:color w:val="auto"/>
                <w:kern w:val="2"/>
                <w:sz w:val="21"/>
                <w:szCs w:val="20"/>
                <w:u w:val="single"/>
                <w:lang w:val="en-US" w:eastAsia="zh-CN" w:bidi="ar-SA"/>
              </w:rPr>
              <w:t>侧</w:t>
            </w:r>
          </w:p>
        </w:tc>
        <w:tc>
          <w:tcPr>
            <w:tcW w:w="1627" w:type="dxa"/>
            <w:gridSpan w:val="2"/>
            <w:tcBorders>
              <w:tl2br w:val="nil"/>
              <w:tr2bl w:val="nil"/>
            </w:tcBorders>
            <w:noWrap w:val="0"/>
            <w:vAlign w:val="center"/>
          </w:tcPr>
          <w:p>
            <w:pPr>
              <w:jc w:val="center"/>
              <w:rPr>
                <w:rFonts w:hint="default" w:ascii="Times New Roman" w:hAnsi="Times New Roman" w:eastAsia="宋体" w:cs="Times New Roman"/>
                <w:bCs/>
                <w:color w:val="auto"/>
                <w:kern w:val="2"/>
                <w:sz w:val="21"/>
                <w:szCs w:val="21"/>
                <w:u w:val="single"/>
                <w:lang w:val="en-US" w:eastAsia="zh-CN" w:bidi="ar-SA"/>
              </w:rPr>
            </w:pPr>
            <w:r>
              <w:rPr>
                <w:rFonts w:hint="eastAsia" w:ascii="Times New Roman" w:hAnsi="Times New Roman" w:cs="Times New Roman"/>
                <w:bCs/>
                <w:color w:val="auto"/>
                <w:sz w:val="21"/>
                <w:szCs w:val="21"/>
                <w:u w:val="single"/>
                <w:lang w:val="en-US" w:eastAsia="zh-CN"/>
              </w:rPr>
              <w:t>3100</w:t>
            </w:r>
          </w:p>
        </w:tc>
        <w:tc>
          <w:tcPr>
            <w:tcW w:w="848"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村民，</w:t>
            </w:r>
          </w:p>
          <w:p>
            <w:pPr>
              <w:jc w:val="center"/>
              <w:rPr>
                <w:rFonts w:ascii="Times New Roman" w:hAnsi="Times New Roman" w:eastAsia="宋体" w:cs="Times New Roman"/>
                <w:color w:val="auto"/>
                <w:kern w:val="2"/>
                <w:sz w:val="21"/>
                <w:szCs w:val="20"/>
                <w:u w:val="single"/>
                <w:lang w:val="en-US" w:eastAsia="zh-CN" w:bidi="ar-SA"/>
              </w:rPr>
            </w:pPr>
            <w:r>
              <w:rPr>
                <w:rFonts w:hint="default" w:ascii="Times New Roman" w:hAnsi="Times New Roman" w:eastAsia="宋体" w:cs="Times New Roman"/>
                <w:bCs/>
                <w:color w:val="auto"/>
                <w:sz w:val="21"/>
                <w:szCs w:val="21"/>
                <w:u w:val="single"/>
              </w:rPr>
              <w:t>约35户</w:t>
            </w:r>
          </w:p>
        </w:tc>
        <w:tc>
          <w:tcPr>
            <w:tcW w:w="1021"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7" w:hRule="atLeast"/>
        </w:trPr>
        <w:tc>
          <w:tcPr>
            <w:tcW w:w="223"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753" w:type="pct"/>
            <w:tcBorders>
              <w:tl2br w:val="nil"/>
              <w:tr2bl w:val="nil"/>
            </w:tcBorders>
            <w:noWrap w:val="0"/>
            <w:vAlign w:val="center"/>
          </w:tcPr>
          <w:p>
            <w:pPr>
              <w:jc w:val="center"/>
              <w:rPr>
                <w:rFonts w:hint="eastAsia"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bCs/>
                <w:color w:val="auto"/>
                <w:sz w:val="21"/>
                <w:szCs w:val="21"/>
                <w:u w:val="single"/>
              </w:rPr>
              <w:t>滨江村</w:t>
            </w:r>
          </w:p>
        </w:tc>
        <w:tc>
          <w:tcPr>
            <w:tcW w:w="37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-2600</w:t>
            </w:r>
          </w:p>
        </w:tc>
        <w:tc>
          <w:tcPr>
            <w:tcW w:w="433"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2000</w:t>
            </w:r>
          </w:p>
        </w:tc>
        <w:tc>
          <w:tcPr>
            <w:tcW w:w="923" w:type="dxa"/>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西</w:t>
            </w:r>
            <w:r>
              <w:rPr>
                <w:rFonts w:hint="eastAsia" w:ascii="Times New Roman" w:hAnsi="Times New Roman" w:cs="Times New Roman"/>
                <w:color w:val="auto"/>
                <w:kern w:val="2"/>
                <w:sz w:val="21"/>
                <w:szCs w:val="20"/>
                <w:u w:val="single"/>
                <w:lang w:val="en-US" w:eastAsia="zh-CN" w:bidi="ar-SA"/>
              </w:rPr>
              <w:t>北</w:t>
            </w:r>
            <w:r>
              <w:rPr>
                <w:rFonts w:hint="eastAsia" w:ascii="Times New Roman" w:hAnsi="Times New Roman" w:eastAsia="宋体" w:cs="Times New Roman"/>
                <w:color w:val="auto"/>
                <w:kern w:val="2"/>
                <w:sz w:val="21"/>
                <w:szCs w:val="20"/>
                <w:u w:val="single"/>
                <w:lang w:val="en-US" w:eastAsia="zh-CN" w:bidi="ar-SA"/>
              </w:rPr>
              <w:t>侧</w:t>
            </w:r>
          </w:p>
        </w:tc>
        <w:tc>
          <w:tcPr>
            <w:tcW w:w="1627" w:type="dxa"/>
            <w:gridSpan w:val="2"/>
            <w:tcBorders>
              <w:tl2br w:val="nil"/>
              <w:tr2bl w:val="nil"/>
            </w:tcBorders>
            <w:noWrap w:val="0"/>
            <w:vAlign w:val="center"/>
          </w:tcPr>
          <w:p>
            <w:pPr>
              <w:jc w:val="center"/>
              <w:rPr>
                <w:rFonts w:hint="default" w:ascii="Times New Roman" w:hAnsi="Times New Roman" w:eastAsia="宋体" w:cs="Times New Roman"/>
                <w:bCs/>
                <w:color w:val="auto"/>
                <w:kern w:val="2"/>
                <w:sz w:val="21"/>
                <w:szCs w:val="21"/>
                <w:u w:val="single"/>
                <w:lang w:val="en-US" w:eastAsia="zh-CN" w:bidi="ar-SA"/>
              </w:rPr>
            </w:pPr>
            <w:r>
              <w:rPr>
                <w:rFonts w:hint="eastAsia" w:ascii="Times New Roman" w:hAnsi="Times New Roman" w:cs="Times New Roman"/>
                <w:bCs/>
                <w:color w:val="auto"/>
                <w:sz w:val="21"/>
                <w:szCs w:val="21"/>
                <w:u w:val="single"/>
                <w:lang w:val="en-US" w:eastAsia="zh-CN"/>
              </w:rPr>
              <w:t>2800</w:t>
            </w:r>
          </w:p>
        </w:tc>
        <w:tc>
          <w:tcPr>
            <w:tcW w:w="848"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村民，</w:t>
            </w:r>
          </w:p>
          <w:p>
            <w:pPr>
              <w:jc w:val="center"/>
              <w:rPr>
                <w:rFonts w:ascii="Times New Roman" w:hAnsi="Times New Roman" w:eastAsia="宋体" w:cs="Times New Roman"/>
                <w:color w:val="auto"/>
                <w:kern w:val="2"/>
                <w:sz w:val="21"/>
                <w:szCs w:val="20"/>
                <w:u w:val="single"/>
                <w:lang w:val="en-US" w:eastAsia="zh-CN" w:bidi="ar-SA"/>
              </w:rPr>
            </w:pPr>
            <w:r>
              <w:rPr>
                <w:rFonts w:hint="default" w:ascii="Times New Roman" w:hAnsi="Times New Roman" w:eastAsia="宋体" w:cs="Times New Roman"/>
                <w:bCs/>
                <w:color w:val="auto"/>
                <w:sz w:val="21"/>
                <w:szCs w:val="21"/>
                <w:u w:val="single"/>
              </w:rPr>
              <w:t>约27户</w:t>
            </w:r>
          </w:p>
        </w:tc>
        <w:tc>
          <w:tcPr>
            <w:tcW w:w="1021"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7" w:hRule="atLeast"/>
        </w:trPr>
        <w:tc>
          <w:tcPr>
            <w:tcW w:w="223"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c>
          <w:tcPr>
            <w:tcW w:w="753" w:type="pct"/>
            <w:tcBorders>
              <w:tl2br w:val="nil"/>
              <w:tr2bl w:val="nil"/>
            </w:tcBorders>
            <w:noWrap w:val="0"/>
            <w:vAlign w:val="center"/>
          </w:tcPr>
          <w:p>
            <w:pPr>
              <w:jc w:val="center"/>
              <w:rPr>
                <w:rFonts w:hint="eastAsia"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bCs/>
                <w:color w:val="auto"/>
                <w:sz w:val="21"/>
                <w:szCs w:val="21"/>
                <w:u w:val="single"/>
              </w:rPr>
              <w:t>八一村</w:t>
            </w:r>
          </w:p>
        </w:tc>
        <w:tc>
          <w:tcPr>
            <w:tcW w:w="37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26</w:t>
            </w:r>
            <w:r>
              <w:rPr>
                <w:rFonts w:hint="eastAsia" w:ascii="Times New Roman" w:hAnsi="Times New Roman" w:eastAsia="宋体" w:cs="Times New Roman"/>
                <w:color w:val="auto"/>
                <w:kern w:val="2"/>
                <w:sz w:val="21"/>
                <w:szCs w:val="20"/>
                <w:u w:val="single"/>
                <w:lang w:val="en-US" w:eastAsia="zh-CN" w:bidi="ar-SA"/>
              </w:rPr>
              <w:t>00</w:t>
            </w:r>
          </w:p>
        </w:tc>
        <w:tc>
          <w:tcPr>
            <w:tcW w:w="433"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w:t>
            </w:r>
            <w:r>
              <w:rPr>
                <w:rFonts w:hint="eastAsia" w:ascii="Times New Roman" w:hAnsi="Times New Roman" w:cs="Times New Roman"/>
                <w:color w:val="auto"/>
                <w:kern w:val="2"/>
                <w:sz w:val="21"/>
                <w:szCs w:val="20"/>
                <w:u w:val="single"/>
                <w:lang w:val="en-US" w:eastAsia="zh-CN" w:bidi="ar-SA"/>
              </w:rPr>
              <w:t>22</w:t>
            </w:r>
            <w:r>
              <w:rPr>
                <w:rFonts w:hint="eastAsia" w:ascii="Times New Roman" w:hAnsi="Times New Roman" w:eastAsia="宋体" w:cs="Times New Roman"/>
                <w:color w:val="auto"/>
                <w:kern w:val="2"/>
                <w:sz w:val="21"/>
                <w:szCs w:val="20"/>
                <w:u w:val="single"/>
                <w:lang w:val="en-US" w:eastAsia="zh-CN" w:bidi="ar-SA"/>
              </w:rPr>
              <w:t>00</w:t>
            </w:r>
          </w:p>
        </w:tc>
        <w:tc>
          <w:tcPr>
            <w:tcW w:w="923" w:type="dxa"/>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东</w:t>
            </w:r>
            <w:r>
              <w:rPr>
                <w:rFonts w:hint="eastAsia" w:ascii="Times New Roman" w:hAnsi="Times New Roman" w:eastAsia="宋体" w:cs="Times New Roman"/>
                <w:color w:val="auto"/>
                <w:kern w:val="2"/>
                <w:sz w:val="21"/>
                <w:szCs w:val="20"/>
                <w:u w:val="single"/>
                <w:lang w:val="en-US" w:eastAsia="zh-CN" w:bidi="ar-SA"/>
              </w:rPr>
              <w:t>南侧</w:t>
            </w:r>
          </w:p>
        </w:tc>
        <w:tc>
          <w:tcPr>
            <w:tcW w:w="1627" w:type="dxa"/>
            <w:gridSpan w:val="2"/>
            <w:tcBorders>
              <w:tl2br w:val="nil"/>
              <w:tr2bl w:val="nil"/>
            </w:tcBorders>
            <w:noWrap w:val="0"/>
            <w:vAlign w:val="center"/>
          </w:tcPr>
          <w:p>
            <w:pPr>
              <w:jc w:val="center"/>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bCs/>
                <w:color w:val="auto"/>
                <w:sz w:val="21"/>
                <w:szCs w:val="21"/>
                <w:u w:val="single"/>
              </w:rPr>
              <w:t>3050</w:t>
            </w:r>
          </w:p>
        </w:tc>
        <w:tc>
          <w:tcPr>
            <w:tcW w:w="848" w:type="pct"/>
            <w:tcBorders>
              <w:tl2br w:val="nil"/>
              <w:tr2bl w:val="nil"/>
            </w:tcBorders>
            <w:noWrap w:val="0"/>
            <w:vAlign w:val="center"/>
          </w:tcPr>
          <w:p>
            <w:pPr>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村民，</w:t>
            </w:r>
          </w:p>
          <w:p>
            <w:pPr>
              <w:jc w:val="center"/>
              <w:rPr>
                <w:rFonts w:ascii="Times New Roman" w:hAnsi="Times New Roman" w:eastAsia="宋体" w:cs="Times New Roman"/>
                <w:color w:val="auto"/>
                <w:kern w:val="2"/>
                <w:sz w:val="21"/>
                <w:szCs w:val="20"/>
                <w:u w:val="single"/>
                <w:lang w:val="en-US" w:eastAsia="zh-CN" w:bidi="ar-SA"/>
              </w:rPr>
            </w:pPr>
            <w:r>
              <w:rPr>
                <w:rFonts w:hint="default" w:ascii="Times New Roman" w:hAnsi="Times New Roman" w:eastAsia="宋体" w:cs="Times New Roman"/>
                <w:bCs/>
                <w:color w:val="auto"/>
                <w:sz w:val="21"/>
                <w:szCs w:val="21"/>
                <w:u w:val="single"/>
              </w:rPr>
              <w:t>约</w:t>
            </w:r>
            <w:r>
              <w:rPr>
                <w:rFonts w:hint="default" w:ascii="Times New Roman" w:hAnsi="Times New Roman" w:eastAsia="宋体" w:cs="Times New Roman"/>
                <w:bCs/>
                <w:color w:val="auto"/>
                <w:sz w:val="21"/>
                <w:szCs w:val="21"/>
                <w:u w:val="single"/>
                <w:lang w:val="en-US" w:eastAsia="zh-CN"/>
              </w:rPr>
              <w:t>32</w:t>
            </w:r>
            <w:r>
              <w:rPr>
                <w:rFonts w:hint="default" w:ascii="Times New Roman" w:hAnsi="Times New Roman" w:eastAsia="宋体" w:cs="Times New Roman"/>
                <w:bCs/>
                <w:color w:val="auto"/>
                <w:sz w:val="21"/>
                <w:szCs w:val="21"/>
                <w:u w:val="single"/>
              </w:rPr>
              <w:t>户</w:t>
            </w:r>
          </w:p>
        </w:tc>
        <w:tc>
          <w:tcPr>
            <w:tcW w:w="1021"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2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ascii="Times New Roman" w:hAnsi="Times New Roman" w:eastAsia="宋体" w:cs="Times New Roman"/>
                <w:color w:val="auto"/>
                <w:kern w:val="2"/>
                <w:sz w:val="21"/>
                <w:szCs w:val="20"/>
                <w:u w:val="single"/>
                <w:lang w:val="en-US" w:eastAsia="zh-CN" w:bidi="ar-SA"/>
              </w:rPr>
              <w:t>生态环境</w:t>
            </w:r>
          </w:p>
        </w:tc>
        <w:tc>
          <w:tcPr>
            <w:tcW w:w="3754" w:type="pct"/>
            <w:gridSpan w:val="7"/>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工业园内现有厂区内，无需要特殊保护物种</w:t>
            </w:r>
          </w:p>
        </w:tc>
        <w:tc>
          <w:tcPr>
            <w:tcW w:w="102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不对生态造成影响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68" w:hRule="atLeast"/>
        </w:trPr>
        <w:tc>
          <w:tcPr>
            <w:tcW w:w="223"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声环境</w:t>
            </w:r>
          </w:p>
        </w:tc>
        <w:tc>
          <w:tcPr>
            <w:tcW w:w="753"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37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433"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576" w:type="pct"/>
            <w:gridSpan w:val="2"/>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76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848"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color w:val="auto"/>
                <w:kern w:val="2"/>
                <w:sz w:val="21"/>
                <w:szCs w:val="20"/>
                <w:u w:val="single"/>
                <w:lang w:val="en-US" w:eastAsia="zh-CN" w:bidi="ar-SA"/>
              </w:rPr>
              <w:t>/</w:t>
            </w:r>
          </w:p>
        </w:tc>
        <w:tc>
          <w:tcPr>
            <w:tcW w:w="10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w:t>
            </w:r>
            <w:r>
              <w:rPr>
                <w:rFonts w:hint="eastAsia" w:ascii="Times New Roman" w:hAnsi="Times New Roman" w:cs="Times New Roman"/>
                <w:color w:val="auto"/>
                <w:kern w:val="2"/>
                <w:sz w:val="21"/>
                <w:szCs w:val="20"/>
                <w:u w:val="single"/>
                <w:lang w:val="en-US" w:eastAsia="zh-CN" w:bidi="ar-SA"/>
              </w:rPr>
              <w:t>声环境质量标准</w:t>
            </w:r>
            <w:r>
              <w:rPr>
                <w:rFonts w:hint="eastAsia" w:ascii="Times New Roman" w:hAnsi="Times New Roman" w:eastAsia="宋体" w:cs="Times New Roman"/>
                <w:color w:val="auto"/>
                <w:kern w:val="2"/>
                <w:sz w:val="21"/>
                <w:szCs w:val="20"/>
                <w:u w:val="single"/>
                <w:lang w:val="en-US" w:eastAsia="zh-CN" w:bidi="ar-SA"/>
              </w:rPr>
              <w:t>》GB3096-2008中3类</w:t>
            </w:r>
            <w:r>
              <w:rPr>
                <w:rFonts w:hint="eastAsia" w:ascii="Times New Roman" w:hAnsi="Times New Roman" w:cs="Times New Roman"/>
                <w:color w:val="auto"/>
                <w:kern w:val="2"/>
                <w:sz w:val="21"/>
                <w:szCs w:val="20"/>
                <w:u w:val="single"/>
                <w:lang w:val="en-US" w:eastAsia="zh-CN" w:bidi="ar-SA"/>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557" w:hRule="atLeast"/>
        </w:trPr>
        <w:tc>
          <w:tcPr>
            <w:tcW w:w="223"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土壤环境</w:t>
            </w:r>
          </w:p>
        </w:tc>
        <w:tc>
          <w:tcPr>
            <w:tcW w:w="3754" w:type="pct"/>
            <w:gridSpan w:val="7"/>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项目所在区域的土壤</w:t>
            </w:r>
          </w:p>
        </w:tc>
        <w:tc>
          <w:tcPr>
            <w:tcW w:w="102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《土壤环境质量 建设用地土壤污染风险管控标准》（GB36600-2018）第二类建设用地风险筛选值</w:t>
            </w:r>
          </w:p>
        </w:tc>
      </w:tr>
    </w:tbl>
    <w:p>
      <w:pPr>
        <w:pStyle w:val="33"/>
        <w:bidi w:val="0"/>
        <w:rPr>
          <w:rFonts w:hint="eastAsia"/>
          <w:color w:val="auto"/>
          <w:lang w:val="en-US" w:eastAsia="zh-CN"/>
        </w:rPr>
      </w:pPr>
      <w:r>
        <w:rPr>
          <w:color w:val="auto"/>
          <w:u w:val="single"/>
          <w:lang w:val="en-US" w:eastAsia="zh-CN"/>
        </w:rPr>
        <w:t>注：</w:t>
      </w:r>
      <w:r>
        <w:rPr>
          <w:rFonts w:hint="eastAsia"/>
          <w:color w:val="auto"/>
          <w:u w:val="single"/>
          <w:lang w:val="en-US" w:eastAsia="zh-CN"/>
        </w:rPr>
        <w:t>以上定位的相对坐标（0，0）在全球坐标为（113.250058E，29.493260N）</w:t>
      </w:r>
      <w:r>
        <w:rPr>
          <w:rFonts w:hint="eastAsia"/>
          <w:color w:val="auto"/>
          <w:lang w:val="en-US" w:eastAsia="zh-CN"/>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p>
    <w:p>
      <w:pPr>
        <w:pStyle w:val="30"/>
        <w:bidi w:val="0"/>
        <w:spacing w:before="0" w:after="0" w:line="240" w:lineRule="auto"/>
        <w:jc w:val="center"/>
        <w:rPr>
          <w:rFonts w:hint="eastAsia"/>
          <w:color w:val="auto"/>
        </w:rPr>
      </w:pPr>
      <w:r>
        <w:rPr>
          <w:rFonts w:ascii="Calibri" w:hAnsi="宋体" w:eastAsia="宋体"/>
          <w:color w:val="auto"/>
          <w:sz w:val="24"/>
        </w:rPr>
        <w:br w:type="page"/>
      </w:r>
      <w:bookmarkStart w:id="35" w:name="_Toc17463"/>
      <w:bookmarkStart w:id="36" w:name="_Toc19995"/>
      <w:r>
        <w:rPr>
          <w:rFonts w:hint="eastAsia"/>
          <w:color w:val="auto"/>
          <w:lang w:val="en-US" w:eastAsia="zh-CN"/>
        </w:rPr>
        <w:t>3</w:t>
      </w:r>
      <w:bookmarkEnd w:id="0"/>
      <w:bookmarkEnd w:id="1"/>
      <w:bookmarkEnd w:id="2"/>
      <w:bookmarkEnd w:id="3"/>
      <w:bookmarkEnd w:id="4"/>
      <w:r>
        <w:rPr>
          <w:rFonts w:hint="eastAsia"/>
          <w:color w:val="auto"/>
          <w:lang w:val="en-US" w:eastAsia="zh-CN"/>
        </w:rPr>
        <w:t>、现有工程回顾性评价</w:t>
      </w:r>
      <w:bookmarkEnd w:id="5"/>
      <w:bookmarkEnd w:id="35"/>
      <w:bookmarkEnd w:id="36"/>
    </w:p>
    <w:p>
      <w:pPr>
        <w:pStyle w:val="31"/>
        <w:bidi w:val="0"/>
        <w:spacing w:before="0" w:after="0" w:line="240" w:lineRule="auto"/>
        <w:outlineLvl w:val="1"/>
        <w:rPr>
          <w:color w:val="auto"/>
        </w:rPr>
      </w:pPr>
      <w:bookmarkStart w:id="37" w:name="_Toc2565"/>
      <w:bookmarkStart w:id="38" w:name="_Toc18042"/>
      <w:r>
        <w:rPr>
          <w:rFonts w:hint="eastAsia"/>
          <w:color w:val="auto"/>
          <w:lang w:val="en-US" w:eastAsia="zh-CN"/>
        </w:rPr>
        <w:t>3</w:t>
      </w:r>
      <w:r>
        <w:rPr>
          <w:rFonts w:hint="eastAsia"/>
          <w:color w:val="auto"/>
        </w:rPr>
        <w:t>.1现有工程概况</w:t>
      </w:r>
      <w:bookmarkEnd w:id="37"/>
      <w:bookmarkEnd w:id="38"/>
    </w:p>
    <w:p>
      <w:pPr>
        <w:pStyle w:val="32"/>
        <w:bidi w:val="0"/>
        <w:spacing w:before="0" w:after="0" w:line="240" w:lineRule="auto"/>
        <w:rPr>
          <w:rFonts w:hint="eastAsia"/>
          <w:color w:val="auto"/>
        </w:rPr>
      </w:pPr>
      <w:bookmarkStart w:id="39" w:name="_Toc10091"/>
      <w:r>
        <w:rPr>
          <w:rFonts w:hint="eastAsia"/>
          <w:color w:val="auto"/>
          <w:lang w:val="en-US" w:eastAsia="zh-CN"/>
        </w:rPr>
        <w:t>3</w:t>
      </w:r>
      <w:r>
        <w:rPr>
          <w:rFonts w:hint="eastAsia"/>
          <w:color w:val="auto"/>
        </w:rPr>
        <w:t>.1.1工程概况</w:t>
      </w:r>
      <w:bookmarkEnd w:id="39"/>
    </w:p>
    <w:p>
      <w:pPr>
        <w:pStyle w:val="33"/>
        <w:bidi w:val="0"/>
        <w:rPr>
          <w:rFonts w:hint="eastAsia"/>
          <w:color w:val="auto"/>
        </w:rPr>
      </w:pPr>
      <w:r>
        <w:rPr>
          <w:rFonts w:hint="eastAsia"/>
          <w:color w:val="auto"/>
        </w:rPr>
        <w:t>岳阳市凌峰化工有限公司于2012年从湖南省岳阳市云溪区云溪镇云丰村迁建于湖南岳阳绿色化工产业园云溪片区，占地面积17048.38m</w:t>
      </w:r>
      <w:r>
        <w:rPr>
          <w:rFonts w:hint="eastAsia"/>
          <w:color w:val="auto"/>
          <w:vertAlign w:val="superscript"/>
        </w:rPr>
        <w:t>2</w:t>
      </w:r>
      <w:r>
        <w:rPr>
          <w:rFonts w:hint="eastAsia"/>
          <w:color w:val="auto"/>
        </w:rPr>
        <w:t>(25.57亩)，总建筑面积7729.98m</w:t>
      </w:r>
      <w:r>
        <w:rPr>
          <w:rFonts w:hint="eastAsia"/>
          <w:color w:val="auto"/>
          <w:vertAlign w:val="superscript"/>
        </w:rPr>
        <w:t>2</w:t>
      </w:r>
      <w:r>
        <w:rPr>
          <w:rFonts w:hint="eastAsia"/>
          <w:color w:val="auto"/>
        </w:rPr>
        <w:t>。目前公司具备二氯丙烷3000t/a、苯乙烯1000t/a、环己烷1000t/a、环己酮2000t/a、工业燃料油8000t/a、环氧固化剂6100t/a、涂料助剂900t/a、环氧地坪涂料3000t/a的生产能力。</w:t>
      </w:r>
    </w:p>
    <w:p>
      <w:pPr>
        <w:pStyle w:val="33"/>
        <w:bidi w:val="0"/>
        <w:rPr>
          <w:rFonts w:hint="eastAsia"/>
          <w:color w:val="auto"/>
        </w:rPr>
      </w:pPr>
      <w:r>
        <w:rPr>
          <w:rFonts w:hint="eastAsia"/>
          <w:color w:val="auto"/>
        </w:rPr>
        <w:t>岳阳市凌峰化工有限公司现有工程包含三个建设项目，分为三次进行建设。</w:t>
      </w:r>
    </w:p>
    <w:p>
      <w:pPr>
        <w:pStyle w:val="33"/>
        <w:bidi w:val="0"/>
        <w:rPr>
          <w:rFonts w:hint="eastAsia"/>
          <w:color w:val="auto"/>
        </w:rPr>
      </w:pPr>
      <w:r>
        <w:rPr>
          <w:rFonts w:hint="eastAsia"/>
          <w:color w:val="auto"/>
        </w:rPr>
        <w:t>第一个项目为“整体迁扩建项目”，该项目主要产品包括二氯丙烷1000t/a、苯乙烯1000t/a、环己烷1000t/a、环己酮2000t/a、工业燃料油8000t/a，《岳阳市凌峰化工有限公司整体迁扩建项目环境影响报告书》已于2012年8月通过岳阳市环保局审批(岳环评批〔2012〕64号)，并于2014年7月通过了岳阳市环保局的环保设施竣工环保验收(岳环管验〔2014〕19号)。环评批复和竣工环保验收批复详见附件</w:t>
      </w:r>
      <w:r>
        <w:rPr>
          <w:rFonts w:hint="eastAsia"/>
          <w:color w:val="auto"/>
          <w:lang w:val="en-US" w:eastAsia="zh-CN"/>
        </w:rPr>
        <w:t>2、附件3</w:t>
      </w:r>
      <w:r>
        <w:rPr>
          <w:rFonts w:hint="eastAsia"/>
          <w:color w:val="auto"/>
        </w:rPr>
        <w:t>。</w:t>
      </w:r>
      <w:r>
        <w:rPr>
          <w:rFonts w:hint="eastAsia"/>
          <w:color w:val="auto"/>
          <w:lang w:val="en-US" w:eastAsia="zh-CN"/>
        </w:rPr>
        <w:t>该项目</w:t>
      </w:r>
      <w:r>
        <w:rPr>
          <w:rFonts w:hint="eastAsia"/>
          <w:color w:val="auto"/>
        </w:rPr>
        <w:t>总占地面积11106m</w:t>
      </w:r>
      <w:r>
        <w:rPr>
          <w:rFonts w:hint="eastAsia"/>
          <w:color w:val="auto"/>
          <w:vertAlign w:val="superscript"/>
        </w:rPr>
        <w:t>2</w:t>
      </w:r>
      <w:r>
        <w:rPr>
          <w:rFonts w:hint="eastAsia"/>
          <w:color w:val="auto"/>
        </w:rPr>
        <w:t>，建筑物面积5289.7m</w:t>
      </w:r>
      <w:r>
        <w:rPr>
          <w:rFonts w:hint="eastAsia"/>
          <w:color w:val="auto"/>
          <w:vertAlign w:val="superscript"/>
        </w:rPr>
        <w:t>2</w:t>
      </w:r>
      <w:r>
        <w:rPr>
          <w:rFonts w:hint="eastAsia"/>
          <w:color w:val="auto"/>
        </w:rPr>
        <w:t>，包括生产车间、辅助车间、门卫室、地面储罐区、埋地储罐区、装卸区、消防水池、应急池等。生产区由生产车间组成</w:t>
      </w:r>
      <w:r>
        <w:rPr>
          <w:rFonts w:hint="eastAsia"/>
          <w:color w:val="auto"/>
          <w:lang w:eastAsia="zh-CN"/>
        </w:rPr>
        <w:t>，</w:t>
      </w:r>
      <w:r>
        <w:rPr>
          <w:rFonts w:hint="eastAsia"/>
          <w:color w:val="auto"/>
          <w:lang w:val="en-US" w:eastAsia="zh-CN"/>
        </w:rPr>
        <w:t>共设置三套生产装置，二氯丙烷精馏生产装置，苯乙烯、环己烷、环己酮精馏生产装置，工业燃料油生产装置</w:t>
      </w:r>
      <w:r>
        <w:rPr>
          <w:rFonts w:hint="eastAsia"/>
          <w:color w:val="auto"/>
        </w:rPr>
        <w:t>；罐区由储罐区及灌装台组成，辅助生产区主要为：污水处理、消防循环水池组、辅助生产车间、事故应急池组成；生活区主要包括办公楼。并配套给排水、供电、绿化、环保、消防、道路等设施建设。</w:t>
      </w:r>
      <w:r>
        <w:rPr>
          <w:rFonts w:hint="eastAsia"/>
          <w:color w:val="auto"/>
          <w:lang w:val="en-US" w:eastAsia="zh-CN"/>
        </w:rPr>
        <w:t>已完成建设，投入运营。</w:t>
      </w:r>
    </w:p>
    <w:p>
      <w:pPr>
        <w:pStyle w:val="33"/>
        <w:bidi w:val="0"/>
        <w:rPr>
          <w:rFonts w:hint="eastAsia"/>
          <w:color w:val="auto"/>
          <w:lang w:val="en-US" w:eastAsia="zh-CN"/>
        </w:rPr>
      </w:pPr>
      <w:r>
        <w:rPr>
          <w:rFonts w:hint="eastAsia"/>
          <w:color w:val="auto"/>
        </w:rPr>
        <w:t>第二个项目为“年产60吨对甲苯磺酸巴马丁生产装置建设项目”，该项目主要新增产品对甲苯磺酸巴马丁60t/a，《岳阳市凌峰化工有限公司年产60吨对甲苯磺酸巴马丁生产装置建设项目环境影响报告书》已于2013年6月通过岳阳市环保局审批(岳环评批〔2013〕68号)，于2014年8月通过了岳阳市环保局的竣工环保验收(岳环管验〔2014〕20号)。环评批复和竣工环保验收批复详见附件</w:t>
      </w:r>
      <w:r>
        <w:rPr>
          <w:rFonts w:hint="eastAsia"/>
          <w:color w:val="auto"/>
          <w:lang w:val="en-US" w:eastAsia="zh-CN"/>
        </w:rPr>
        <w:t>4、附件5</w:t>
      </w:r>
      <w:r>
        <w:rPr>
          <w:rFonts w:hint="eastAsia"/>
          <w:color w:val="auto"/>
        </w:rPr>
        <w:t>。</w:t>
      </w:r>
      <w:r>
        <w:rPr>
          <w:rFonts w:hint="eastAsia"/>
          <w:color w:val="auto"/>
          <w:lang w:val="en-US" w:eastAsia="zh-CN"/>
        </w:rPr>
        <w:t>该项目在一期</w:t>
      </w:r>
      <w:r>
        <w:rPr>
          <w:rFonts w:hint="eastAsia"/>
          <w:color w:val="auto"/>
        </w:rPr>
        <w:t>“整体迁扩建项目”</w:t>
      </w:r>
      <w:r>
        <w:rPr>
          <w:rFonts w:hint="eastAsia"/>
          <w:color w:val="auto"/>
          <w:lang w:val="en-US" w:eastAsia="zh-CN"/>
        </w:rPr>
        <w:t>生产</w:t>
      </w:r>
      <w:r>
        <w:rPr>
          <w:rFonts w:hint="eastAsia"/>
          <w:color w:val="auto"/>
        </w:rPr>
        <w:t>车间安装一条生产线装置</w:t>
      </w:r>
      <w:r>
        <w:rPr>
          <w:rFonts w:hint="eastAsia"/>
          <w:color w:val="auto"/>
          <w:lang w:val="en-US" w:eastAsia="zh-CN"/>
        </w:rPr>
        <w:t>生产</w:t>
      </w:r>
      <w:r>
        <w:rPr>
          <w:rFonts w:hint="eastAsia"/>
          <w:color w:val="auto"/>
        </w:rPr>
        <w:t>甲苯磺酸巴马丁</w:t>
      </w:r>
      <w:r>
        <w:rPr>
          <w:rFonts w:hint="eastAsia"/>
          <w:color w:val="auto"/>
          <w:lang w:val="en-US" w:eastAsia="zh-CN"/>
        </w:rPr>
        <w:t>，年生产对甲苯磺酸巴马丁60吨。在“</w:t>
      </w:r>
      <w:r>
        <w:rPr>
          <w:rFonts w:hint="eastAsia"/>
          <w:color w:val="auto"/>
        </w:rPr>
        <w:t>岳阳市凌峰化工有限公司二期工程</w:t>
      </w:r>
      <w:r>
        <w:rPr>
          <w:rFonts w:hint="eastAsia"/>
          <w:color w:val="auto"/>
          <w:lang w:val="en-US" w:eastAsia="zh-CN"/>
        </w:rPr>
        <w:t>”设计时已淘汰该生产线，用来</w:t>
      </w:r>
      <w:r>
        <w:rPr>
          <w:rFonts w:hint="eastAsia" w:ascii="Times New Roman" w:hAnsi="Times New Roman"/>
          <w:caps w:val="0"/>
          <w:smallCaps w:val="0"/>
          <w:color w:val="auto"/>
          <w:u w:val="none"/>
          <w:lang w:eastAsia="zh-CN"/>
        </w:rPr>
        <w:t>改建</w:t>
      </w:r>
      <w:r>
        <w:rPr>
          <w:rFonts w:hint="eastAsia"/>
          <w:caps w:val="0"/>
          <w:smallCaps w:val="0"/>
          <w:color w:val="auto"/>
          <w:u w:val="none"/>
          <w:lang w:val="en-US" w:eastAsia="zh-CN"/>
        </w:rPr>
        <w:t>做为</w:t>
      </w:r>
      <w:r>
        <w:rPr>
          <w:rFonts w:hint="eastAsia" w:ascii="Times New Roman" w:hAnsi="Times New Roman"/>
          <w:caps w:val="0"/>
          <w:smallCaps w:val="0"/>
          <w:color w:val="auto"/>
          <w:u w:val="none"/>
          <w:lang w:val="en-US" w:eastAsia="zh-CN"/>
        </w:rPr>
        <w:t>6100t/a</w:t>
      </w:r>
      <w:r>
        <w:rPr>
          <w:rFonts w:hint="eastAsia" w:ascii="Times New Roman" w:hAnsi="Times New Roman"/>
          <w:caps w:val="0"/>
          <w:smallCaps w:val="0"/>
          <w:color w:val="auto"/>
          <w:u w:val="none"/>
        </w:rPr>
        <w:t>环氧树脂固化剂</w:t>
      </w:r>
      <w:r>
        <w:rPr>
          <w:rFonts w:hint="eastAsia" w:ascii="Times New Roman" w:hAnsi="Times New Roman"/>
          <w:caps w:val="0"/>
          <w:smallCaps w:val="0"/>
          <w:color w:val="auto"/>
          <w:u w:val="none"/>
          <w:lang w:eastAsia="zh-CN"/>
        </w:rPr>
        <w:t>生产线</w:t>
      </w:r>
      <w:r>
        <w:rPr>
          <w:rFonts w:hint="eastAsia"/>
          <w:color w:val="auto"/>
          <w:lang w:val="en-US" w:eastAsia="zh-CN"/>
        </w:rPr>
        <w:t>。</w:t>
      </w:r>
    </w:p>
    <w:p>
      <w:pPr>
        <w:pStyle w:val="33"/>
        <w:bidi w:val="0"/>
        <w:rPr>
          <w:rFonts w:hint="eastAsia"/>
          <w:color w:val="auto"/>
        </w:rPr>
      </w:pPr>
      <w:r>
        <w:rPr>
          <w:rFonts w:hint="eastAsia"/>
          <w:color w:val="auto"/>
        </w:rPr>
        <w:t>第三个项目为“岳阳市凌峰化工有限公司二期工程”，该项目主要新增产品二氯丙烷2000t/a、环氧固化剂6100t/a、涂料助剂900t/a、环氧地坪涂料3000t/a，并淘汰产品对甲苯磺酸巴马丁60t/a</w:t>
      </w:r>
      <w:r>
        <w:rPr>
          <w:rFonts w:hint="eastAsia"/>
          <w:color w:val="auto"/>
          <w:lang w:val="en-US" w:eastAsia="zh-CN"/>
        </w:rPr>
        <w:t>产品</w:t>
      </w:r>
      <w:r>
        <w:rPr>
          <w:rFonts w:hint="eastAsia"/>
          <w:color w:val="auto"/>
        </w:rPr>
        <w:t>，《岳阳市凌峰化工有限公司二期工程环境影响报告书》已于2018年7月通过岳阳市环保局审批(岳环评〔2018〕63号)，目前暂未验收，环评批复详见</w:t>
      </w:r>
      <w:r>
        <w:rPr>
          <w:rFonts w:hint="eastAsia"/>
          <w:color w:val="auto"/>
          <w:lang w:val="en-US" w:eastAsia="zh-CN"/>
        </w:rPr>
        <w:t>附件6</w:t>
      </w:r>
      <w:r>
        <w:rPr>
          <w:rFonts w:hint="eastAsia"/>
          <w:color w:val="auto"/>
        </w:rPr>
        <w:t>。</w:t>
      </w:r>
      <w:r>
        <w:rPr>
          <w:rFonts w:hint="eastAsia"/>
          <w:color w:val="auto"/>
          <w:lang w:val="en-US" w:eastAsia="zh-CN"/>
        </w:rPr>
        <w:t>二期工程目前正在建设，包括</w:t>
      </w:r>
      <w:r>
        <w:rPr>
          <w:rFonts w:hint="eastAsia" w:ascii="Times New Roman" w:hAnsi="Times New Roman"/>
          <w:caps w:val="0"/>
          <w:smallCaps w:val="0"/>
          <w:color w:val="auto"/>
        </w:rPr>
        <w:t>在</w:t>
      </w:r>
      <w:r>
        <w:rPr>
          <w:rFonts w:hint="eastAsia" w:ascii="Times New Roman" w:hAnsi="Times New Roman"/>
          <w:caps w:val="0"/>
          <w:smallCaps w:val="0"/>
          <w:color w:val="auto"/>
          <w:lang w:val="en-US" w:eastAsia="zh-CN"/>
        </w:rPr>
        <w:t>一期</w:t>
      </w:r>
      <w:r>
        <w:rPr>
          <w:rFonts w:hint="eastAsia" w:ascii="Times New Roman" w:hAnsi="Times New Roman"/>
          <w:caps w:val="0"/>
          <w:smallCaps w:val="0"/>
          <w:color w:val="auto"/>
          <w:lang w:eastAsia="zh-CN"/>
        </w:rPr>
        <w:t>生产车间（现有</w:t>
      </w:r>
      <w:r>
        <w:rPr>
          <w:rFonts w:hint="eastAsia"/>
          <w:caps w:val="0"/>
          <w:smallCaps w:val="0"/>
          <w:color w:val="auto"/>
          <w:lang w:val="en-US" w:eastAsia="zh-CN"/>
        </w:rPr>
        <w:t>一期厂区</w:t>
      </w:r>
      <w:r>
        <w:rPr>
          <w:rFonts w:hint="eastAsia" w:ascii="Times New Roman" w:hAnsi="Times New Roman"/>
          <w:caps w:val="0"/>
          <w:smallCaps w:val="0"/>
          <w:color w:val="auto"/>
          <w:lang w:eastAsia="zh-CN"/>
        </w:rPr>
        <w:t>）</w:t>
      </w:r>
      <w:r>
        <w:rPr>
          <w:rFonts w:hint="eastAsia" w:ascii="Times New Roman" w:hAnsi="Times New Roman"/>
          <w:caps w:val="0"/>
          <w:smallCaps w:val="0"/>
          <w:color w:val="auto"/>
        </w:rPr>
        <w:t>购置安装</w:t>
      </w:r>
      <w:r>
        <w:rPr>
          <w:rFonts w:hint="eastAsia" w:ascii="Times New Roman" w:hAnsi="Times New Roman"/>
          <w:caps w:val="0"/>
          <w:smallCaps w:val="0"/>
          <w:color w:val="auto"/>
          <w:lang w:val="en-US" w:eastAsia="zh-CN"/>
        </w:rPr>
        <w:t>1套</w:t>
      </w:r>
      <w:r>
        <w:rPr>
          <w:rFonts w:hint="eastAsia" w:ascii="Times New Roman" w:hAnsi="Times New Roman"/>
          <w:caps w:val="0"/>
          <w:smallCaps w:val="0"/>
          <w:color w:val="auto"/>
          <w:lang w:eastAsia="zh-CN"/>
        </w:rPr>
        <w:t>精馏</w:t>
      </w:r>
      <w:r>
        <w:rPr>
          <w:rFonts w:hint="eastAsia" w:ascii="Times New Roman" w:hAnsi="Times New Roman"/>
          <w:caps w:val="0"/>
          <w:smallCaps w:val="0"/>
          <w:color w:val="auto"/>
        </w:rPr>
        <w:t>装置</w:t>
      </w:r>
      <w:r>
        <w:rPr>
          <w:rFonts w:hint="eastAsia" w:ascii="Times New Roman" w:hAnsi="Times New Roman"/>
          <w:caps w:val="0"/>
          <w:smallCaps w:val="0"/>
          <w:color w:val="auto"/>
          <w:lang w:eastAsia="zh-CN"/>
        </w:rPr>
        <w:t>，扩建</w:t>
      </w:r>
      <w:r>
        <w:rPr>
          <w:rFonts w:hint="eastAsia" w:ascii="Times New Roman" w:hAnsi="Times New Roman"/>
          <w:caps w:val="0"/>
          <w:smallCaps w:val="0"/>
          <w:color w:val="auto"/>
          <w:lang w:val="en-US" w:eastAsia="zh-CN"/>
        </w:rPr>
        <w:t>2000t/a二氯丙烷生产线</w:t>
      </w:r>
      <w:r>
        <w:rPr>
          <w:rFonts w:hint="eastAsia" w:ascii="Times New Roman" w:hAnsi="Times New Roman"/>
          <w:caps w:val="0"/>
          <w:smallCaps w:val="0"/>
          <w:color w:val="auto"/>
          <w:lang w:eastAsia="zh-CN"/>
        </w:rPr>
        <w:t>；</w:t>
      </w:r>
      <w:r>
        <w:rPr>
          <w:rFonts w:hint="eastAsia" w:ascii="Times New Roman" w:hAnsi="Times New Roman"/>
          <w:caps w:val="0"/>
          <w:smallCaps w:val="0"/>
          <w:color w:val="auto"/>
          <w:u w:val="none"/>
          <w:lang w:eastAsia="zh-CN"/>
        </w:rPr>
        <w:t>淘汰</w:t>
      </w:r>
      <w:r>
        <w:rPr>
          <w:rFonts w:hint="eastAsia" w:ascii="Times New Roman" w:hAnsi="Times New Roman"/>
          <w:caps w:val="0"/>
          <w:smallCaps w:val="0"/>
          <w:color w:val="auto"/>
          <w:u w:val="none"/>
          <w:lang w:val="en-US" w:eastAsia="zh-CN"/>
        </w:rPr>
        <w:t>60t/a</w:t>
      </w:r>
      <w:r>
        <w:rPr>
          <w:rFonts w:hint="eastAsia" w:ascii="Times New Roman" w:hAnsi="Times New Roman"/>
          <w:caps w:val="0"/>
          <w:smallCaps w:val="0"/>
          <w:color w:val="auto"/>
          <w:u w:val="none"/>
          <w:lang w:eastAsia="zh-CN"/>
        </w:rPr>
        <w:t>对甲苯磺酸巴马丁生产线，利用原有设备、储罐改建</w:t>
      </w:r>
      <w:r>
        <w:rPr>
          <w:rFonts w:hint="eastAsia" w:ascii="Times New Roman" w:hAnsi="Times New Roman"/>
          <w:caps w:val="0"/>
          <w:smallCaps w:val="0"/>
          <w:color w:val="auto"/>
          <w:u w:val="none"/>
          <w:lang w:val="en-US" w:eastAsia="zh-CN"/>
        </w:rPr>
        <w:t>6100t/a</w:t>
      </w:r>
      <w:r>
        <w:rPr>
          <w:rFonts w:hint="eastAsia" w:ascii="Times New Roman" w:hAnsi="Times New Roman"/>
          <w:caps w:val="0"/>
          <w:smallCaps w:val="0"/>
          <w:color w:val="auto"/>
          <w:u w:val="none"/>
        </w:rPr>
        <w:t>环氧树脂固化剂</w:t>
      </w:r>
      <w:r>
        <w:rPr>
          <w:rFonts w:hint="eastAsia" w:ascii="Times New Roman" w:hAnsi="Times New Roman"/>
          <w:caps w:val="0"/>
          <w:smallCaps w:val="0"/>
          <w:color w:val="auto"/>
          <w:u w:val="none"/>
          <w:lang w:eastAsia="zh-CN"/>
        </w:rPr>
        <w:t>生产线；</w:t>
      </w:r>
      <w:r>
        <w:rPr>
          <w:rFonts w:hint="eastAsia" w:ascii="Times New Roman" w:hAnsi="Times New Roman"/>
          <w:caps w:val="0"/>
          <w:smallCaps w:val="0"/>
          <w:color w:val="auto"/>
          <w:lang w:eastAsia="zh-CN"/>
        </w:rPr>
        <w:t>在1#生产车间（</w:t>
      </w:r>
      <w:r>
        <w:rPr>
          <w:rFonts w:hint="eastAsia"/>
          <w:caps w:val="0"/>
          <w:smallCaps w:val="0"/>
          <w:color w:val="auto"/>
          <w:lang w:val="en-US" w:eastAsia="zh-CN"/>
        </w:rPr>
        <w:t>二期厂区内</w:t>
      </w:r>
      <w:r>
        <w:rPr>
          <w:rFonts w:hint="eastAsia" w:ascii="Times New Roman" w:hAnsi="Times New Roman"/>
          <w:caps w:val="0"/>
          <w:smallCaps w:val="0"/>
          <w:color w:val="auto"/>
          <w:lang w:eastAsia="zh-CN"/>
        </w:rPr>
        <w:t>）购置安装</w:t>
      </w:r>
      <w:r>
        <w:rPr>
          <w:rFonts w:hint="eastAsia" w:ascii="Times New Roman" w:hAnsi="Times New Roman"/>
          <w:caps w:val="0"/>
          <w:smallCaps w:val="0"/>
          <w:color w:val="auto"/>
        </w:rPr>
        <w:t>、涂料助剂生产设备、环氧地坪涂料生产设备</w:t>
      </w:r>
      <w:r>
        <w:rPr>
          <w:rFonts w:hint="eastAsia" w:ascii="Times New Roman" w:hAnsi="Times New Roman"/>
          <w:caps w:val="0"/>
          <w:smallCaps w:val="0"/>
          <w:color w:val="auto"/>
          <w:lang w:eastAsia="zh-CN"/>
        </w:rPr>
        <w:t>，新建</w:t>
      </w:r>
      <w:r>
        <w:rPr>
          <w:rFonts w:hint="eastAsia" w:ascii="Times New Roman" w:hAnsi="Times New Roman"/>
          <w:caps w:val="0"/>
          <w:smallCaps w:val="0"/>
          <w:color w:val="auto"/>
          <w:lang w:val="en-US" w:eastAsia="zh-CN"/>
        </w:rPr>
        <w:t>900t/a</w:t>
      </w:r>
      <w:r>
        <w:rPr>
          <w:rFonts w:hint="eastAsia" w:ascii="Times New Roman" w:hAnsi="Times New Roman"/>
          <w:caps w:val="0"/>
          <w:smallCaps w:val="0"/>
          <w:color w:val="auto"/>
        </w:rPr>
        <w:t>涂料助剂、</w:t>
      </w:r>
      <w:r>
        <w:rPr>
          <w:rFonts w:hint="eastAsia" w:ascii="Times New Roman" w:hAnsi="Times New Roman"/>
          <w:caps w:val="0"/>
          <w:smallCaps w:val="0"/>
          <w:color w:val="auto"/>
          <w:lang w:val="en-US" w:eastAsia="zh-CN"/>
        </w:rPr>
        <w:t>3000t/a</w:t>
      </w:r>
      <w:r>
        <w:rPr>
          <w:rFonts w:hint="eastAsia" w:ascii="Times New Roman" w:hAnsi="Times New Roman"/>
          <w:caps w:val="0"/>
          <w:smallCaps w:val="0"/>
          <w:color w:val="auto"/>
        </w:rPr>
        <w:t>环氧地坪涂料</w:t>
      </w:r>
      <w:r>
        <w:rPr>
          <w:rFonts w:hint="eastAsia" w:ascii="Times New Roman" w:hAnsi="Times New Roman"/>
          <w:caps w:val="0"/>
          <w:smallCaps w:val="0"/>
          <w:color w:val="auto"/>
          <w:lang w:eastAsia="zh-CN"/>
        </w:rPr>
        <w:t>生产线</w:t>
      </w:r>
      <w:r>
        <w:rPr>
          <w:rFonts w:hint="eastAsia" w:ascii="Times New Roman" w:hAnsi="Times New Roman"/>
          <w:caps w:val="0"/>
          <w:smallCaps w:val="0"/>
          <w:color w:val="auto"/>
        </w:rPr>
        <w:t>；</w:t>
      </w:r>
      <w:r>
        <w:rPr>
          <w:rFonts w:hint="eastAsia" w:ascii="Times New Roman" w:hAnsi="Times New Roman"/>
          <w:caps w:val="0"/>
          <w:smallCaps w:val="0"/>
          <w:color w:val="auto"/>
          <w:szCs w:val="30"/>
        </w:rPr>
        <w:t>配套建设环保、消防、给排水、供配电、道路、绿化等设施</w:t>
      </w:r>
      <w:r>
        <w:rPr>
          <w:rFonts w:hint="eastAsia" w:ascii="Times New Roman" w:hAnsi="Times New Roman"/>
          <w:caps w:val="0"/>
          <w:smallCaps w:val="0"/>
          <w:color w:val="auto"/>
        </w:rPr>
        <w:t>。</w:t>
      </w:r>
      <w:r>
        <w:rPr>
          <w:rFonts w:hint="eastAsia" w:ascii="Times New Roman" w:hAnsi="Times New Roman"/>
          <w:caps w:val="0"/>
          <w:smallCaps w:val="0"/>
          <w:color w:val="auto"/>
          <w:lang w:val="en-US" w:eastAsia="zh-CN"/>
        </w:rPr>
        <w:t>目前</w:t>
      </w:r>
      <w:r>
        <w:rPr>
          <w:rFonts w:hint="eastAsia"/>
          <w:color w:val="auto"/>
          <w:lang w:val="en-US" w:eastAsia="zh-CN"/>
        </w:rPr>
        <w:t>完成环评审批，暂未验收，处于在建状态。</w:t>
      </w:r>
    </w:p>
    <w:p>
      <w:pPr>
        <w:pStyle w:val="33"/>
        <w:bidi w:val="0"/>
        <w:rPr>
          <w:rFonts w:hint="eastAsia"/>
          <w:color w:val="auto"/>
        </w:rPr>
      </w:pPr>
      <w:r>
        <w:rPr>
          <w:rFonts w:hint="eastAsia"/>
          <w:color w:val="auto"/>
        </w:rPr>
        <w:t>该公司现有工程以于2016年9月编制突发环境事件应急预案，并于2017年1月13日取得岳阳市云溪区环境应急与事故调查中心备案登记表，备案编号：4306032017C0300022。详见附件</w:t>
      </w:r>
      <w:r>
        <w:rPr>
          <w:rFonts w:hint="eastAsia"/>
          <w:color w:val="auto"/>
          <w:lang w:val="en-US" w:eastAsia="zh-CN"/>
        </w:rPr>
        <w:t>7</w:t>
      </w:r>
      <w:r>
        <w:rPr>
          <w:rFonts w:hint="eastAsia"/>
          <w:color w:val="auto"/>
        </w:rPr>
        <w:t>。岳阳市凌峰化工有限公司环保手续齐全，目前均已纳入当地环保日常管理中。</w:t>
      </w:r>
    </w:p>
    <w:p>
      <w:pPr>
        <w:pStyle w:val="33"/>
        <w:bidi w:val="0"/>
        <w:rPr>
          <w:rFonts w:hint="eastAsia"/>
          <w:color w:val="auto"/>
        </w:rPr>
      </w:pPr>
      <w:r>
        <w:rPr>
          <w:rFonts w:hint="eastAsia"/>
          <w:color w:val="auto"/>
        </w:rPr>
        <w:t>现有工程环保手续履行情况</w:t>
      </w:r>
      <w:r>
        <w:rPr>
          <w:rFonts w:hint="eastAsia"/>
          <w:color w:val="auto"/>
          <w:lang w:val="en-US" w:eastAsia="zh-CN"/>
        </w:rPr>
        <w:t>见表3.1-1。</w:t>
      </w:r>
    </w:p>
    <w:p>
      <w:pPr>
        <w:pStyle w:val="36"/>
        <w:bidi w:val="0"/>
        <w:rPr>
          <w:color w:val="auto"/>
        </w:rPr>
      </w:pPr>
      <w:r>
        <w:rPr>
          <w:rFonts w:hint="eastAsia"/>
          <w:color w:val="auto"/>
          <w:lang w:val="en-US" w:eastAsia="zh-CN"/>
        </w:rPr>
        <w:t>3</w:t>
      </w:r>
      <w:r>
        <w:rPr>
          <w:rFonts w:hint="eastAsia"/>
          <w:color w:val="auto"/>
        </w:rPr>
        <w:t>.1-1  现有工程环保手续履行情况一览表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942"/>
        <w:gridCol w:w="2722"/>
        <w:gridCol w:w="1685"/>
        <w:gridCol w:w="1649"/>
        <w:gridCol w:w="950"/>
      </w:tblGrid>
      <w:tr>
        <w:trPr>
          <w:trHeight w:val="614" w:hRule="atLeast"/>
        </w:trPr>
        <w:tc>
          <w:tcPr>
            <w:tcW w:w="296" w:type="pct"/>
            <w:tcBorders>
              <w:tl2br w:val="nil"/>
              <w:tr2bl w:val="nil"/>
            </w:tcBorders>
            <w:noWrap w:val="0"/>
            <w:vAlign w:val="center"/>
          </w:tcPr>
          <w:p>
            <w:pPr>
              <w:pStyle w:val="35"/>
              <w:bidi w:val="0"/>
              <w:jc w:val="center"/>
              <w:rPr>
                <w:b/>
                <w:bCs/>
                <w:color w:val="auto"/>
              </w:rPr>
            </w:pPr>
            <w:r>
              <w:rPr>
                <w:rFonts w:hint="eastAsia"/>
                <w:b/>
                <w:bCs/>
                <w:color w:val="auto"/>
              </w:rPr>
              <w:t>序号</w:t>
            </w:r>
          </w:p>
        </w:tc>
        <w:tc>
          <w:tcPr>
            <w:tcW w:w="1020" w:type="pct"/>
            <w:tcBorders>
              <w:tl2br w:val="nil"/>
              <w:tr2bl w:val="nil"/>
            </w:tcBorders>
            <w:noWrap w:val="0"/>
            <w:vAlign w:val="center"/>
          </w:tcPr>
          <w:p>
            <w:pPr>
              <w:pStyle w:val="35"/>
              <w:bidi w:val="0"/>
              <w:jc w:val="center"/>
              <w:rPr>
                <w:b/>
                <w:bCs/>
                <w:color w:val="auto"/>
              </w:rPr>
            </w:pPr>
            <w:r>
              <w:rPr>
                <w:rFonts w:hint="eastAsia"/>
                <w:b/>
                <w:bCs/>
                <w:color w:val="auto"/>
              </w:rPr>
              <w:t>项目名称</w:t>
            </w:r>
          </w:p>
        </w:tc>
        <w:tc>
          <w:tcPr>
            <w:tcW w:w="1430" w:type="pct"/>
            <w:tcBorders>
              <w:tl2br w:val="nil"/>
              <w:tr2bl w:val="nil"/>
            </w:tcBorders>
            <w:noWrap w:val="0"/>
            <w:vAlign w:val="center"/>
          </w:tcPr>
          <w:p>
            <w:pPr>
              <w:pStyle w:val="35"/>
              <w:bidi w:val="0"/>
              <w:jc w:val="center"/>
              <w:rPr>
                <w:b/>
                <w:bCs/>
                <w:color w:val="auto"/>
              </w:rPr>
            </w:pPr>
            <w:r>
              <w:rPr>
                <w:rFonts w:hint="eastAsia"/>
                <w:b/>
                <w:bCs/>
                <w:color w:val="auto"/>
              </w:rPr>
              <w:t>规模</w:t>
            </w:r>
          </w:p>
        </w:tc>
        <w:tc>
          <w:tcPr>
            <w:tcW w:w="885" w:type="pct"/>
            <w:tcBorders>
              <w:tl2br w:val="nil"/>
              <w:tr2bl w:val="nil"/>
            </w:tcBorders>
            <w:noWrap w:val="0"/>
            <w:vAlign w:val="center"/>
          </w:tcPr>
          <w:p>
            <w:pPr>
              <w:pStyle w:val="35"/>
              <w:bidi w:val="0"/>
              <w:jc w:val="center"/>
              <w:rPr>
                <w:b/>
                <w:bCs/>
                <w:color w:val="auto"/>
              </w:rPr>
            </w:pPr>
            <w:r>
              <w:rPr>
                <w:rFonts w:hint="eastAsia"/>
                <w:b/>
                <w:bCs/>
                <w:color w:val="auto"/>
              </w:rPr>
              <w:t>环评批复情况</w:t>
            </w:r>
          </w:p>
        </w:tc>
        <w:tc>
          <w:tcPr>
            <w:tcW w:w="866" w:type="pct"/>
            <w:tcBorders>
              <w:tl2br w:val="nil"/>
              <w:tr2bl w:val="nil"/>
            </w:tcBorders>
            <w:noWrap w:val="0"/>
            <w:vAlign w:val="center"/>
          </w:tcPr>
          <w:p>
            <w:pPr>
              <w:pStyle w:val="35"/>
              <w:bidi w:val="0"/>
              <w:jc w:val="center"/>
              <w:rPr>
                <w:b/>
                <w:bCs/>
                <w:color w:val="auto"/>
              </w:rPr>
            </w:pPr>
            <w:r>
              <w:rPr>
                <w:rFonts w:hint="eastAsia"/>
                <w:b/>
                <w:bCs/>
                <w:color w:val="auto"/>
              </w:rPr>
              <w:t>项目建设及“三同时”验收情况</w:t>
            </w:r>
          </w:p>
        </w:tc>
        <w:tc>
          <w:tcPr>
            <w:tcW w:w="499" w:type="pc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备注</w:t>
            </w:r>
          </w:p>
        </w:tc>
      </w:tr>
      <w:tr>
        <w:trPr>
          <w:trHeight w:val="1446" w:hRule="atLeast"/>
        </w:trPr>
        <w:tc>
          <w:tcPr>
            <w:tcW w:w="296" w:type="pct"/>
            <w:vMerge w:val="restart"/>
            <w:tcBorders>
              <w:tl2br w:val="nil"/>
              <w:tr2bl w:val="nil"/>
            </w:tcBorders>
            <w:noWrap w:val="0"/>
            <w:vAlign w:val="center"/>
          </w:tcPr>
          <w:p>
            <w:pPr>
              <w:pStyle w:val="35"/>
              <w:bidi w:val="0"/>
              <w:jc w:val="center"/>
              <w:rPr>
                <w:color w:val="auto"/>
              </w:rPr>
            </w:pPr>
            <w:r>
              <w:rPr>
                <w:rFonts w:hint="eastAsia"/>
                <w:color w:val="auto"/>
                <w:lang w:val="en-US" w:eastAsia="zh-CN"/>
              </w:rPr>
              <w:t>一期项目</w:t>
            </w:r>
          </w:p>
        </w:tc>
        <w:tc>
          <w:tcPr>
            <w:tcW w:w="1020" w:type="pct"/>
            <w:tcBorders>
              <w:tl2br w:val="nil"/>
              <w:tr2bl w:val="nil"/>
            </w:tcBorders>
            <w:noWrap w:val="0"/>
            <w:vAlign w:val="center"/>
          </w:tcPr>
          <w:p>
            <w:pPr>
              <w:pStyle w:val="35"/>
              <w:bidi w:val="0"/>
              <w:jc w:val="center"/>
              <w:rPr>
                <w:color w:val="auto"/>
              </w:rPr>
            </w:pPr>
            <w:r>
              <w:rPr>
                <w:rFonts w:hint="eastAsia"/>
                <w:color w:val="auto"/>
              </w:rPr>
              <w:t>整体迁建项目</w:t>
            </w:r>
          </w:p>
        </w:tc>
        <w:tc>
          <w:tcPr>
            <w:tcW w:w="1430" w:type="pct"/>
            <w:tcBorders>
              <w:tl2br w:val="nil"/>
              <w:tr2bl w:val="nil"/>
            </w:tcBorders>
            <w:noWrap w:val="0"/>
            <w:vAlign w:val="center"/>
          </w:tcPr>
          <w:p>
            <w:pPr>
              <w:pStyle w:val="35"/>
              <w:bidi w:val="0"/>
              <w:jc w:val="center"/>
              <w:rPr>
                <w:color w:val="auto"/>
              </w:rPr>
            </w:pPr>
            <w:r>
              <w:rPr>
                <w:color w:val="auto"/>
              </w:rPr>
              <w:t>二氯丙烷</w:t>
            </w:r>
            <w:r>
              <w:rPr>
                <w:rFonts w:hint="eastAsia"/>
                <w:color w:val="auto"/>
              </w:rPr>
              <w:t>：1000吨/年</w:t>
            </w:r>
          </w:p>
          <w:p>
            <w:pPr>
              <w:pStyle w:val="35"/>
              <w:bidi w:val="0"/>
              <w:jc w:val="center"/>
              <w:rPr>
                <w:color w:val="auto"/>
              </w:rPr>
            </w:pPr>
            <w:r>
              <w:rPr>
                <w:rFonts w:hint="eastAsia"/>
                <w:color w:val="auto"/>
              </w:rPr>
              <w:t>苯乙烯：1000吨/年</w:t>
            </w:r>
          </w:p>
          <w:p>
            <w:pPr>
              <w:pStyle w:val="35"/>
              <w:bidi w:val="0"/>
              <w:jc w:val="center"/>
              <w:rPr>
                <w:color w:val="auto"/>
              </w:rPr>
            </w:pPr>
            <w:r>
              <w:rPr>
                <w:rFonts w:hint="eastAsia"/>
                <w:color w:val="auto"/>
              </w:rPr>
              <w:t>环己烷：1000吨/年</w:t>
            </w:r>
          </w:p>
          <w:p>
            <w:pPr>
              <w:pStyle w:val="35"/>
              <w:bidi w:val="0"/>
              <w:jc w:val="center"/>
              <w:rPr>
                <w:color w:val="auto"/>
              </w:rPr>
            </w:pPr>
            <w:r>
              <w:rPr>
                <w:rFonts w:hint="eastAsia"/>
                <w:color w:val="auto"/>
              </w:rPr>
              <w:t>环己酮：2000吨/年</w:t>
            </w:r>
          </w:p>
          <w:p>
            <w:pPr>
              <w:pStyle w:val="35"/>
              <w:bidi w:val="0"/>
              <w:jc w:val="center"/>
              <w:rPr>
                <w:color w:val="auto"/>
              </w:rPr>
            </w:pPr>
            <w:r>
              <w:rPr>
                <w:rFonts w:hint="eastAsia"/>
                <w:color w:val="auto"/>
              </w:rPr>
              <w:t>工业燃料油：8000吨/年</w:t>
            </w:r>
          </w:p>
        </w:tc>
        <w:tc>
          <w:tcPr>
            <w:tcW w:w="885" w:type="pct"/>
            <w:tcBorders>
              <w:tl2br w:val="nil"/>
              <w:tr2bl w:val="nil"/>
            </w:tcBorders>
            <w:noWrap w:val="0"/>
            <w:vAlign w:val="center"/>
          </w:tcPr>
          <w:p>
            <w:pPr>
              <w:pStyle w:val="35"/>
              <w:bidi w:val="0"/>
              <w:jc w:val="center"/>
              <w:rPr>
                <w:color w:val="auto"/>
              </w:rPr>
            </w:pPr>
            <w:r>
              <w:rPr>
                <w:rFonts w:hint="eastAsia"/>
                <w:color w:val="auto"/>
              </w:rPr>
              <w:t>岳环评批【2012】64号</w:t>
            </w:r>
          </w:p>
          <w:p>
            <w:pPr>
              <w:pStyle w:val="35"/>
              <w:bidi w:val="0"/>
              <w:jc w:val="center"/>
              <w:rPr>
                <w:color w:val="auto"/>
              </w:rPr>
            </w:pPr>
            <w:r>
              <w:rPr>
                <w:rFonts w:hint="eastAsia"/>
                <w:color w:val="auto"/>
              </w:rPr>
              <w:t>2012.8.3</w:t>
            </w:r>
          </w:p>
        </w:tc>
        <w:tc>
          <w:tcPr>
            <w:tcW w:w="866" w:type="pct"/>
            <w:tcBorders>
              <w:tl2br w:val="nil"/>
              <w:tr2bl w:val="nil"/>
            </w:tcBorders>
            <w:noWrap w:val="0"/>
            <w:vAlign w:val="center"/>
          </w:tcPr>
          <w:p>
            <w:pPr>
              <w:pStyle w:val="35"/>
              <w:bidi w:val="0"/>
              <w:jc w:val="center"/>
              <w:rPr>
                <w:color w:val="auto"/>
              </w:rPr>
            </w:pPr>
            <w:r>
              <w:rPr>
                <w:rFonts w:hint="eastAsia"/>
                <w:color w:val="auto"/>
              </w:rPr>
              <w:t>岳环管验【2014】19号</w:t>
            </w:r>
          </w:p>
          <w:p>
            <w:pPr>
              <w:pStyle w:val="35"/>
              <w:bidi w:val="0"/>
              <w:jc w:val="center"/>
              <w:rPr>
                <w:color w:val="auto"/>
              </w:rPr>
            </w:pPr>
            <w:r>
              <w:rPr>
                <w:rFonts w:hint="eastAsia"/>
                <w:color w:val="auto"/>
              </w:rPr>
              <w:t>2014.7.25</w:t>
            </w:r>
          </w:p>
        </w:tc>
        <w:tc>
          <w:tcPr>
            <w:tcW w:w="499" w:type="pct"/>
            <w:tcBorders>
              <w:tl2br w:val="nil"/>
              <w:tr2bl w:val="nil"/>
            </w:tcBorders>
            <w:noWrap w:val="0"/>
            <w:vAlign w:val="center"/>
          </w:tcPr>
          <w:p>
            <w:pPr>
              <w:pStyle w:val="35"/>
              <w:bidi w:val="0"/>
              <w:jc w:val="center"/>
              <w:rPr>
                <w:rFonts w:hint="eastAsia"/>
                <w:color w:val="auto"/>
              </w:rPr>
            </w:pPr>
          </w:p>
        </w:tc>
      </w:tr>
      <w:tr>
        <w:trPr>
          <w:trHeight w:val="892" w:hRule="atLeast"/>
        </w:trPr>
        <w:tc>
          <w:tcPr>
            <w:tcW w:w="296" w:type="pct"/>
            <w:vMerge w:val="continue"/>
            <w:tcBorders>
              <w:tl2br w:val="nil"/>
              <w:tr2bl w:val="nil"/>
            </w:tcBorders>
            <w:noWrap w:val="0"/>
            <w:vAlign w:val="center"/>
          </w:tcPr>
          <w:p>
            <w:pPr>
              <w:pStyle w:val="35"/>
              <w:bidi w:val="0"/>
              <w:jc w:val="center"/>
              <w:rPr>
                <w:color w:val="auto"/>
              </w:rPr>
            </w:pPr>
          </w:p>
        </w:tc>
        <w:tc>
          <w:tcPr>
            <w:tcW w:w="1020" w:type="pct"/>
            <w:tcBorders>
              <w:tl2br w:val="nil"/>
              <w:tr2bl w:val="nil"/>
            </w:tcBorders>
            <w:noWrap w:val="0"/>
            <w:vAlign w:val="center"/>
          </w:tcPr>
          <w:p>
            <w:pPr>
              <w:pStyle w:val="35"/>
              <w:bidi w:val="0"/>
              <w:jc w:val="center"/>
              <w:rPr>
                <w:color w:val="auto"/>
              </w:rPr>
            </w:pPr>
            <w:r>
              <w:rPr>
                <w:rFonts w:hint="eastAsia"/>
                <w:color w:val="auto"/>
              </w:rPr>
              <w:t>60t/a对甲苯磺酸巴马丁生产装置建设项目</w:t>
            </w:r>
          </w:p>
        </w:tc>
        <w:tc>
          <w:tcPr>
            <w:tcW w:w="1430" w:type="pct"/>
            <w:tcBorders>
              <w:tl2br w:val="nil"/>
              <w:tr2bl w:val="nil"/>
            </w:tcBorders>
            <w:noWrap w:val="0"/>
            <w:vAlign w:val="center"/>
          </w:tcPr>
          <w:p>
            <w:pPr>
              <w:pStyle w:val="35"/>
              <w:bidi w:val="0"/>
              <w:jc w:val="center"/>
              <w:rPr>
                <w:color w:val="auto"/>
              </w:rPr>
            </w:pPr>
            <w:r>
              <w:rPr>
                <w:rFonts w:hint="eastAsia"/>
                <w:color w:val="auto"/>
              </w:rPr>
              <w:t>对甲苯磺酸巴马丁：60吨/年</w:t>
            </w:r>
          </w:p>
        </w:tc>
        <w:tc>
          <w:tcPr>
            <w:tcW w:w="885" w:type="pct"/>
            <w:tcBorders>
              <w:tl2br w:val="nil"/>
              <w:tr2bl w:val="nil"/>
            </w:tcBorders>
            <w:noWrap w:val="0"/>
            <w:vAlign w:val="center"/>
          </w:tcPr>
          <w:p>
            <w:pPr>
              <w:pStyle w:val="35"/>
              <w:bidi w:val="0"/>
              <w:jc w:val="center"/>
              <w:rPr>
                <w:color w:val="auto"/>
              </w:rPr>
            </w:pPr>
            <w:r>
              <w:rPr>
                <w:rFonts w:hint="eastAsia"/>
                <w:color w:val="auto"/>
              </w:rPr>
              <w:t>岳环评批【2013】68号</w:t>
            </w:r>
          </w:p>
          <w:p>
            <w:pPr>
              <w:pStyle w:val="35"/>
              <w:bidi w:val="0"/>
              <w:jc w:val="center"/>
              <w:rPr>
                <w:color w:val="auto"/>
              </w:rPr>
            </w:pPr>
            <w:r>
              <w:rPr>
                <w:rFonts w:hint="eastAsia"/>
                <w:color w:val="auto"/>
              </w:rPr>
              <w:t>2013.6.8</w:t>
            </w:r>
          </w:p>
        </w:tc>
        <w:tc>
          <w:tcPr>
            <w:tcW w:w="866" w:type="pct"/>
            <w:tcBorders>
              <w:tl2br w:val="nil"/>
              <w:tr2bl w:val="nil"/>
            </w:tcBorders>
            <w:noWrap w:val="0"/>
            <w:vAlign w:val="center"/>
          </w:tcPr>
          <w:p>
            <w:pPr>
              <w:pStyle w:val="35"/>
              <w:bidi w:val="0"/>
              <w:jc w:val="center"/>
              <w:rPr>
                <w:color w:val="auto"/>
              </w:rPr>
            </w:pPr>
            <w:r>
              <w:rPr>
                <w:rFonts w:hint="eastAsia"/>
                <w:color w:val="auto"/>
              </w:rPr>
              <w:t>岳环管验【2014】20号</w:t>
            </w:r>
          </w:p>
          <w:p>
            <w:pPr>
              <w:pStyle w:val="35"/>
              <w:bidi w:val="0"/>
              <w:jc w:val="center"/>
              <w:rPr>
                <w:color w:val="auto"/>
              </w:rPr>
            </w:pPr>
            <w:r>
              <w:rPr>
                <w:rFonts w:hint="eastAsia"/>
                <w:color w:val="auto"/>
              </w:rPr>
              <w:t>2014.7.25</w:t>
            </w:r>
          </w:p>
        </w:tc>
        <w:tc>
          <w:tcPr>
            <w:tcW w:w="499"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项目已淘汰，生产线二期项目利用</w:t>
            </w:r>
          </w:p>
        </w:tc>
      </w:tr>
      <w:tr>
        <w:trPr>
          <w:trHeight w:val="1409" w:hRule="atLeast"/>
        </w:trPr>
        <w:tc>
          <w:tcPr>
            <w:tcW w:w="296"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二期项目</w:t>
            </w:r>
          </w:p>
        </w:tc>
        <w:tc>
          <w:tcPr>
            <w:tcW w:w="1020" w:type="pct"/>
            <w:tcBorders>
              <w:tl2br w:val="nil"/>
              <w:tr2bl w:val="nil"/>
            </w:tcBorders>
            <w:noWrap w:val="0"/>
            <w:vAlign w:val="center"/>
          </w:tcPr>
          <w:p>
            <w:pPr>
              <w:pStyle w:val="35"/>
              <w:bidi w:val="0"/>
              <w:jc w:val="center"/>
              <w:rPr>
                <w:rFonts w:hint="eastAsia"/>
                <w:color w:val="auto"/>
              </w:rPr>
            </w:pPr>
            <w:r>
              <w:rPr>
                <w:rFonts w:hint="eastAsia"/>
                <w:color w:val="auto"/>
              </w:rPr>
              <w:t>岳阳市凌峰化工有限公司二期</w:t>
            </w:r>
            <w:r>
              <w:rPr>
                <w:rFonts w:hint="eastAsia"/>
                <w:color w:val="auto"/>
                <w:lang w:eastAsia="zh-CN"/>
              </w:rPr>
              <w:t>工程</w:t>
            </w:r>
          </w:p>
          <w:p>
            <w:pPr>
              <w:pStyle w:val="35"/>
              <w:bidi w:val="0"/>
              <w:jc w:val="center"/>
              <w:rPr>
                <w:rFonts w:hint="eastAsia"/>
                <w:color w:val="auto"/>
              </w:rPr>
            </w:pPr>
          </w:p>
        </w:tc>
        <w:tc>
          <w:tcPr>
            <w:tcW w:w="1430" w:type="pct"/>
            <w:tcBorders>
              <w:tl2br w:val="nil"/>
              <w:tr2bl w:val="nil"/>
            </w:tcBorders>
            <w:noWrap w:val="0"/>
            <w:vAlign w:val="center"/>
          </w:tcPr>
          <w:p>
            <w:pPr>
              <w:pStyle w:val="35"/>
              <w:bidi w:val="0"/>
              <w:jc w:val="center"/>
              <w:rPr>
                <w:rFonts w:hint="eastAsia"/>
                <w:color w:val="auto"/>
                <w:lang w:eastAsia="zh-CN"/>
              </w:rPr>
            </w:pPr>
            <w:r>
              <w:rPr>
                <w:rFonts w:hint="eastAsia"/>
                <w:color w:val="auto"/>
              </w:rPr>
              <w:t>环氧树脂固化剂</w:t>
            </w:r>
            <w:r>
              <w:rPr>
                <w:rFonts w:hint="eastAsia"/>
                <w:color w:val="auto"/>
                <w:lang w:eastAsia="zh-CN"/>
              </w:rPr>
              <w:t>：</w:t>
            </w:r>
            <w:r>
              <w:rPr>
                <w:rFonts w:hint="eastAsia"/>
                <w:color w:val="auto"/>
              </w:rPr>
              <w:t>6100吨/年</w:t>
            </w:r>
          </w:p>
          <w:p>
            <w:pPr>
              <w:pStyle w:val="35"/>
              <w:bidi w:val="0"/>
              <w:jc w:val="center"/>
              <w:rPr>
                <w:rFonts w:hint="eastAsia"/>
                <w:color w:val="auto"/>
                <w:lang w:val="en-US" w:eastAsia="zh-CN"/>
              </w:rPr>
            </w:pPr>
            <w:r>
              <w:rPr>
                <w:rFonts w:hint="eastAsia"/>
                <w:color w:val="auto"/>
                <w:lang w:val="en-US" w:eastAsia="zh-CN"/>
              </w:rPr>
              <w:t>涂料助剂：900吨/年</w:t>
            </w:r>
          </w:p>
          <w:p>
            <w:pPr>
              <w:pStyle w:val="35"/>
              <w:bidi w:val="0"/>
              <w:jc w:val="center"/>
              <w:rPr>
                <w:rFonts w:hint="eastAsia"/>
                <w:color w:val="auto"/>
                <w:lang w:val="en-US" w:eastAsia="zh-CN"/>
              </w:rPr>
            </w:pPr>
            <w:r>
              <w:rPr>
                <w:rFonts w:hint="eastAsia"/>
                <w:color w:val="auto"/>
                <w:lang w:val="en-US" w:eastAsia="zh-CN"/>
              </w:rPr>
              <w:t>环氧地坪涂料：3000吨/年</w:t>
            </w:r>
          </w:p>
          <w:p>
            <w:pPr>
              <w:pStyle w:val="35"/>
              <w:bidi w:val="0"/>
              <w:jc w:val="center"/>
              <w:rPr>
                <w:rFonts w:hint="eastAsia"/>
                <w:color w:val="auto"/>
                <w:lang w:val="en-US" w:eastAsia="zh-CN"/>
              </w:rPr>
            </w:pPr>
            <w:r>
              <w:rPr>
                <w:rFonts w:hint="eastAsia"/>
                <w:color w:val="auto"/>
                <w:lang w:val="en-US" w:eastAsia="zh-CN"/>
              </w:rPr>
              <w:t>二氯丙烷：2000吨/年</w:t>
            </w:r>
          </w:p>
        </w:tc>
        <w:tc>
          <w:tcPr>
            <w:tcW w:w="885" w:type="pct"/>
            <w:tcBorders>
              <w:tl2br w:val="nil"/>
              <w:tr2bl w:val="nil"/>
            </w:tcBorders>
            <w:noWrap w:val="0"/>
            <w:vAlign w:val="center"/>
          </w:tcPr>
          <w:p>
            <w:pPr>
              <w:pStyle w:val="35"/>
              <w:bidi w:val="0"/>
              <w:jc w:val="center"/>
              <w:rPr>
                <w:color w:val="auto"/>
              </w:rPr>
            </w:pPr>
            <w:r>
              <w:rPr>
                <w:rFonts w:hint="eastAsia"/>
                <w:color w:val="auto"/>
              </w:rPr>
              <w:t>岳环评批【20</w:t>
            </w:r>
            <w:r>
              <w:rPr>
                <w:rFonts w:hint="default"/>
                <w:color w:val="auto"/>
              </w:rPr>
              <w:t>1</w:t>
            </w:r>
            <w:r>
              <w:rPr>
                <w:rFonts w:hint="eastAsia"/>
                <w:color w:val="auto"/>
              </w:rPr>
              <w:t>8】63号</w:t>
            </w:r>
          </w:p>
          <w:p>
            <w:pPr>
              <w:pStyle w:val="35"/>
              <w:bidi w:val="0"/>
              <w:jc w:val="center"/>
              <w:rPr>
                <w:rFonts w:hint="default"/>
                <w:color w:val="auto"/>
                <w:lang w:val="en-US" w:eastAsia="zh-CN"/>
              </w:rPr>
            </w:pPr>
            <w:r>
              <w:rPr>
                <w:rFonts w:hint="eastAsia"/>
                <w:color w:val="auto"/>
              </w:rPr>
              <w:t>2018.7.11</w:t>
            </w:r>
          </w:p>
        </w:tc>
        <w:tc>
          <w:tcPr>
            <w:tcW w:w="866"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建设中，暂未验收</w:t>
            </w:r>
          </w:p>
        </w:tc>
        <w:tc>
          <w:tcPr>
            <w:tcW w:w="499" w:type="pct"/>
            <w:tcBorders>
              <w:tl2br w:val="nil"/>
              <w:tr2bl w:val="nil"/>
            </w:tcBorders>
            <w:noWrap w:val="0"/>
            <w:vAlign w:val="center"/>
          </w:tcPr>
          <w:p>
            <w:pPr>
              <w:pStyle w:val="35"/>
              <w:bidi w:val="0"/>
              <w:jc w:val="center"/>
              <w:rPr>
                <w:rFonts w:hint="eastAsia"/>
                <w:color w:val="auto"/>
              </w:rPr>
            </w:pPr>
          </w:p>
        </w:tc>
      </w:tr>
    </w:tbl>
    <w:p>
      <w:pPr>
        <w:pStyle w:val="32"/>
        <w:bidi w:val="0"/>
        <w:rPr>
          <w:rFonts w:hint="eastAsia"/>
          <w:color w:val="auto"/>
        </w:rPr>
      </w:pPr>
      <w:bookmarkStart w:id="40" w:name="_Toc6109"/>
      <w:r>
        <w:rPr>
          <w:rFonts w:hint="eastAsia"/>
          <w:color w:val="auto"/>
          <w:lang w:val="en-US" w:eastAsia="zh-CN"/>
        </w:rPr>
        <w:t>3</w:t>
      </w:r>
      <w:r>
        <w:rPr>
          <w:rFonts w:hint="eastAsia"/>
          <w:color w:val="auto"/>
        </w:rPr>
        <w:t>.1.2现有工程项目组成</w:t>
      </w:r>
      <w:bookmarkEnd w:id="40"/>
    </w:p>
    <w:p>
      <w:pPr>
        <w:pStyle w:val="33"/>
        <w:bidi w:val="0"/>
        <w:rPr>
          <w:rFonts w:hint="eastAsia"/>
          <w:color w:val="auto"/>
          <w:lang w:val="en-US" w:eastAsia="zh-CN"/>
        </w:rPr>
      </w:pPr>
      <w:r>
        <w:rPr>
          <w:rFonts w:hint="eastAsia"/>
          <w:color w:val="auto"/>
        </w:rPr>
        <w:t>现有工程</w:t>
      </w:r>
      <w:r>
        <w:rPr>
          <w:rFonts w:hint="eastAsia"/>
          <w:color w:val="auto"/>
          <w:lang w:val="en-US" w:eastAsia="zh-CN"/>
        </w:rPr>
        <w:t>由一期工程和二期工程组成。其中一期项目已经建设完成，正在生产；二期建设已完成环评审批，暂未验收，处于在建状态。</w:t>
      </w:r>
    </w:p>
    <w:p>
      <w:pPr>
        <w:pStyle w:val="33"/>
        <w:bidi w:val="0"/>
        <w:rPr>
          <w:rFonts w:hint="default"/>
          <w:color w:val="auto"/>
          <w:lang w:val="en-US" w:eastAsia="zh-CN"/>
        </w:rPr>
      </w:pPr>
      <w:r>
        <w:rPr>
          <w:rFonts w:hint="eastAsia" w:ascii="Times New Roman" w:hAnsi="Times New Roman"/>
          <w:caps w:val="0"/>
          <w:smallCaps w:val="0"/>
          <w:color w:val="auto"/>
          <w:u w:val="none"/>
          <w:lang w:val="en-US" w:eastAsia="zh-CN"/>
        </w:rPr>
        <w:t>60t/a</w:t>
      </w:r>
      <w:r>
        <w:rPr>
          <w:rFonts w:hint="eastAsia" w:ascii="Times New Roman" w:hAnsi="Times New Roman"/>
          <w:caps w:val="0"/>
          <w:smallCaps w:val="0"/>
          <w:color w:val="auto"/>
          <w:u w:val="none"/>
          <w:lang w:eastAsia="zh-CN"/>
        </w:rPr>
        <w:t>对甲苯磺酸巴马丁生产线</w:t>
      </w:r>
      <w:r>
        <w:rPr>
          <w:rFonts w:hint="eastAsia" w:ascii="Times New Roman" w:hAnsi="Times New Roman"/>
          <w:caps w:val="0"/>
          <w:smallCaps w:val="0"/>
          <w:color w:val="auto"/>
          <w:u w:val="none"/>
          <w:lang w:val="en-US" w:eastAsia="zh-CN"/>
        </w:rPr>
        <w:t>在二期环评阶段已淘汰，本次环评不再进行该相关产品分析。</w:t>
      </w:r>
    </w:p>
    <w:p>
      <w:pPr>
        <w:pStyle w:val="36"/>
        <w:bidi w:val="0"/>
        <w:rPr>
          <w:color w:val="auto"/>
        </w:rPr>
      </w:pPr>
      <w:r>
        <w:rPr>
          <w:color w:val="auto"/>
        </w:rPr>
        <w:t>表</w:t>
      </w:r>
      <w:r>
        <w:rPr>
          <w:rFonts w:hint="eastAsia"/>
          <w:color w:val="auto"/>
          <w:lang w:val="en-US" w:eastAsia="zh-CN"/>
        </w:rPr>
        <w:t>3</w:t>
      </w:r>
      <w:r>
        <w:rPr>
          <w:color w:val="auto"/>
        </w:rPr>
        <w:t>.</w:t>
      </w:r>
      <w:r>
        <w:rPr>
          <w:rFonts w:hint="eastAsia"/>
          <w:color w:val="auto"/>
        </w:rPr>
        <w:t>1</w:t>
      </w:r>
      <w:r>
        <w:rPr>
          <w:color w:val="auto"/>
        </w:rPr>
        <w:t>-</w:t>
      </w:r>
      <w:r>
        <w:rPr>
          <w:rFonts w:hint="eastAsia"/>
          <w:color w:val="auto"/>
          <w:lang w:val="en-US" w:eastAsia="zh-CN"/>
        </w:rPr>
        <w:t>2</w:t>
      </w:r>
      <w:r>
        <w:rPr>
          <w:color w:val="auto"/>
        </w:rPr>
        <w:t xml:space="preserve">  </w:t>
      </w:r>
      <w:r>
        <w:rPr>
          <w:rFonts w:hint="eastAsia"/>
          <w:color w:val="auto"/>
        </w:rPr>
        <w:t>现有</w:t>
      </w:r>
      <w:r>
        <w:rPr>
          <w:color w:val="auto"/>
        </w:rPr>
        <w:t>工程一览表</w:t>
      </w:r>
    </w:p>
    <w:tbl>
      <w:tblPr>
        <w:tblStyle w:val="27"/>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881"/>
        <w:gridCol w:w="5089"/>
        <w:gridCol w:w="17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1" w:hRule="atLeast"/>
          <w:jc w:val="center"/>
        </w:trPr>
        <w:tc>
          <w:tcPr>
            <w:tcW w:w="438" w:type="pct"/>
            <w:tcBorders>
              <w:tl2br w:val="nil"/>
              <w:tr2bl w:val="nil"/>
            </w:tcBorders>
            <w:noWrap w:val="0"/>
            <w:vAlign w:val="center"/>
          </w:tcPr>
          <w:p>
            <w:pPr>
              <w:pStyle w:val="35"/>
              <w:bidi w:val="0"/>
              <w:jc w:val="center"/>
              <w:rPr>
                <w:rFonts w:hint="eastAsia" w:eastAsia="宋体"/>
                <w:b/>
                <w:bCs/>
                <w:color w:val="auto"/>
                <w:u w:val="none"/>
                <w:lang w:val="en-US" w:eastAsia="zh-CN"/>
              </w:rPr>
            </w:pPr>
            <w:r>
              <w:rPr>
                <w:rFonts w:hint="eastAsia"/>
                <w:b/>
                <w:bCs/>
                <w:color w:val="auto"/>
                <w:u w:val="none"/>
                <w:lang w:val="en-US" w:eastAsia="zh-CN"/>
              </w:rPr>
              <w:t>工程</w:t>
            </w:r>
          </w:p>
        </w:tc>
        <w:tc>
          <w:tcPr>
            <w:tcW w:w="989" w:type="pct"/>
            <w:tcBorders>
              <w:tl2br w:val="nil"/>
              <w:tr2bl w:val="nil"/>
            </w:tcBorders>
            <w:noWrap w:val="0"/>
            <w:vAlign w:val="center"/>
          </w:tcPr>
          <w:p>
            <w:pPr>
              <w:pStyle w:val="35"/>
              <w:bidi w:val="0"/>
              <w:jc w:val="center"/>
              <w:rPr>
                <w:b/>
                <w:bCs/>
                <w:color w:val="auto"/>
                <w:u w:val="none"/>
              </w:rPr>
            </w:pPr>
            <w:r>
              <w:rPr>
                <w:b/>
                <w:bCs/>
                <w:color w:val="auto"/>
                <w:u w:val="none"/>
              </w:rPr>
              <w:t>项目组成</w:t>
            </w:r>
          </w:p>
        </w:tc>
        <w:tc>
          <w:tcPr>
            <w:tcW w:w="2676" w:type="pct"/>
            <w:tcBorders>
              <w:tl2br w:val="nil"/>
              <w:tr2bl w:val="nil"/>
            </w:tcBorders>
            <w:noWrap w:val="0"/>
            <w:vAlign w:val="center"/>
          </w:tcPr>
          <w:p>
            <w:pPr>
              <w:pStyle w:val="35"/>
              <w:bidi w:val="0"/>
              <w:jc w:val="center"/>
              <w:rPr>
                <w:b/>
                <w:bCs/>
                <w:color w:val="auto"/>
                <w:u w:val="none"/>
              </w:rPr>
            </w:pPr>
            <w:r>
              <w:rPr>
                <w:rFonts w:hint="eastAsia"/>
                <w:b/>
                <w:bCs/>
                <w:color w:val="auto"/>
                <w:u w:val="none"/>
              </w:rPr>
              <w:t>内容</w:t>
            </w:r>
          </w:p>
        </w:tc>
        <w:tc>
          <w:tcPr>
            <w:tcW w:w="896" w:type="pct"/>
            <w:tcBorders>
              <w:tl2br w:val="nil"/>
              <w:tr2bl w:val="nil"/>
            </w:tcBorders>
            <w:noWrap w:val="0"/>
            <w:vAlign w:val="center"/>
          </w:tcPr>
          <w:p>
            <w:pPr>
              <w:pStyle w:val="35"/>
              <w:bidi w:val="0"/>
              <w:jc w:val="center"/>
              <w:rPr>
                <w:b/>
                <w:bCs/>
                <w:color w:val="auto"/>
                <w:u w:val="none"/>
              </w:rPr>
            </w:pPr>
            <w:r>
              <w:rPr>
                <w:b/>
                <w:bCs/>
                <w:color w:val="auto"/>
                <w:u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263" w:hRule="atLeast"/>
          <w:jc w:val="center"/>
        </w:trPr>
        <w:tc>
          <w:tcPr>
            <w:tcW w:w="438" w:type="pct"/>
            <w:vMerge w:val="restart"/>
            <w:tcBorders>
              <w:tl2br w:val="nil"/>
              <w:tr2bl w:val="nil"/>
            </w:tcBorders>
            <w:noWrap w:val="0"/>
            <w:vAlign w:val="center"/>
          </w:tcPr>
          <w:p>
            <w:pPr>
              <w:pStyle w:val="35"/>
              <w:bidi w:val="0"/>
              <w:jc w:val="center"/>
              <w:rPr>
                <w:color w:val="auto"/>
                <w:u w:val="none"/>
              </w:rPr>
            </w:pPr>
            <w:r>
              <w:rPr>
                <w:color w:val="auto"/>
                <w:u w:val="none"/>
              </w:rPr>
              <w:t>主体工程</w:t>
            </w:r>
          </w:p>
        </w:tc>
        <w:tc>
          <w:tcPr>
            <w:tcW w:w="989" w:type="pct"/>
            <w:vMerge w:val="restart"/>
            <w:tcBorders>
              <w:tl2br w:val="nil"/>
              <w:tr2bl w:val="nil"/>
            </w:tcBorders>
            <w:noWrap w:val="0"/>
            <w:vAlign w:val="center"/>
          </w:tcPr>
          <w:p>
            <w:pPr>
              <w:pStyle w:val="35"/>
              <w:bidi w:val="0"/>
              <w:jc w:val="center"/>
              <w:rPr>
                <w:rFonts w:hint="eastAsia" w:eastAsia="宋体"/>
                <w:color w:val="auto"/>
                <w:u w:val="none"/>
                <w:lang w:eastAsia="zh-CN"/>
              </w:rPr>
            </w:pPr>
            <w:r>
              <w:rPr>
                <w:rFonts w:hint="eastAsia"/>
                <w:color w:val="auto"/>
                <w:u w:val="none"/>
                <w:lang w:val="en-US" w:eastAsia="zh-CN"/>
              </w:rPr>
              <w:t>1#</w:t>
            </w:r>
            <w:r>
              <w:rPr>
                <w:color w:val="auto"/>
                <w:u w:val="none"/>
              </w:rPr>
              <w:t>生产车间</w:t>
            </w:r>
          </w:p>
        </w:tc>
        <w:tc>
          <w:tcPr>
            <w:tcW w:w="2676" w:type="pct"/>
            <w:tcBorders>
              <w:tl2br w:val="nil"/>
              <w:tr2bl w:val="nil"/>
            </w:tcBorders>
            <w:noWrap w:val="0"/>
            <w:vAlign w:val="center"/>
          </w:tcPr>
          <w:p>
            <w:pPr>
              <w:pStyle w:val="35"/>
              <w:bidi w:val="0"/>
              <w:jc w:val="center"/>
              <w:rPr>
                <w:color w:val="auto"/>
                <w:u w:val="none"/>
              </w:rPr>
            </w:pPr>
            <w:r>
              <w:rPr>
                <w:rFonts w:hint="eastAsia"/>
                <w:color w:val="auto"/>
                <w:u w:val="none"/>
              </w:rPr>
              <w:t>占地面积</w:t>
            </w:r>
            <w:r>
              <w:rPr>
                <w:rFonts w:hint="eastAsia"/>
                <w:color w:val="auto"/>
                <w:u w:val="none"/>
                <w:lang w:val="en-US" w:eastAsia="zh-CN"/>
              </w:rPr>
              <w:t>3</w:t>
            </w:r>
            <w:r>
              <w:rPr>
                <w:rFonts w:hint="eastAsia"/>
                <w:color w:val="auto"/>
                <w:u w:val="none"/>
              </w:rPr>
              <w:t>34</w:t>
            </w:r>
            <w:r>
              <w:rPr>
                <w:color w:val="auto"/>
                <w:u w:val="none"/>
              </w:rPr>
              <w:t>m</w:t>
            </w:r>
            <w:r>
              <w:rPr>
                <w:color w:val="auto"/>
                <w:u w:val="none"/>
                <w:vertAlign w:val="superscript"/>
              </w:rPr>
              <w:t>2</w:t>
            </w:r>
            <w:r>
              <w:rPr>
                <w:rFonts w:hint="eastAsia"/>
                <w:color w:val="auto"/>
                <w:u w:val="none"/>
              </w:rPr>
              <w:t>，建筑面积936</w:t>
            </w:r>
            <w:r>
              <w:rPr>
                <w:color w:val="auto"/>
                <w:u w:val="none"/>
              </w:rPr>
              <w:t>m</w:t>
            </w:r>
            <w:r>
              <w:rPr>
                <w:color w:val="auto"/>
                <w:u w:val="none"/>
                <w:vertAlign w:val="superscript"/>
              </w:rPr>
              <w:t>2</w:t>
            </w:r>
            <w:r>
              <w:rPr>
                <w:color w:val="auto"/>
                <w:u w:val="none"/>
              </w:rPr>
              <w:t>，</w:t>
            </w:r>
            <w:r>
              <w:rPr>
                <w:rFonts w:hint="eastAsia"/>
                <w:color w:val="auto"/>
                <w:u w:val="none"/>
                <w:lang w:val="en-US" w:eastAsia="zh-CN"/>
              </w:rPr>
              <w:t>3</w:t>
            </w:r>
            <w:r>
              <w:rPr>
                <w:color w:val="auto"/>
                <w:u w:val="none"/>
              </w:rPr>
              <w:t>层</w:t>
            </w:r>
            <w:r>
              <w:rPr>
                <w:rFonts w:hint="eastAsia"/>
                <w:color w:val="auto"/>
                <w:u w:val="none"/>
              </w:rPr>
              <w:t>敞开式框架</w:t>
            </w:r>
            <w:r>
              <w:rPr>
                <w:color w:val="auto"/>
                <w:u w:val="none"/>
              </w:rPr>
              <w:t>结构</w:t>
            </w:r>
            <w:r>
              <w:rPr>
                <w:rFonts w:hint="eastAsia"/>
                <w:color w:val="auto"/>
                <w:u w:val="none"/>
              </w:rPr>
              <w:t>，</w:t>
            </w:r>
            <w:r>
              <w:rPr>
                <w:rFonts w:hint="eastAsia"/>
                <w:color w:val="auto"/>
                <w:u w:val="none"/>
                <w:lang w:val="en-US" w:eastAsia="zh-CN"/>
              </w:rPr>
              <w:t>包括已建二氯丙烷生产线（一套精馏塔装置）苯乙烯、环己酮、环己烷生产线（一套精馏塔装置）原料油生产线（原料油调制装置）</w:t>
            </w:r>
          </w:p>
        </w:tc>
        <w:tc>
          <w:tcPr>
            <w:tcW w:w="896"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color w:val="auto"/>
                <w:u w:val="none"/>
                <w:lang w:val="en-US" w:eastAsia="zh-CN"/>
              </w:rPr>
              <w:t>一期已建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263" w:hRule="atLeast"/>
          <w:jc w:val="center"/>
        </w:trPr>
        <w:tc>
          <w:tcPr>
            <w:tcW w:w="438" w:type="pct"/>
            <w:vMerge w:val="continue"/>
            <w:tcBorders>
              <w:tl2br w:val="nil"/>
              <w:tr2bl w:val="nil"/>
            </w:tcBorders>
            <w:noWrap w:val="0"/>
            <w:vAlign w:val="center"/>
          </w:tcPr>
          <w:p>
            <w:pPr>
              <w:pStyle w:val="35"/>
              <w:bidi w:val="0"/>
              <w:jc w:val="center"/>
              <w:rPr>
                <w:color w:val="auto"/>
              </w:rPr>
            </w:pPr>
          </w:p>
        </w:tc>
        <w:tc>
          <w:tcPr>
            <w:tcW w:w="989" w:type="pct"/>
            <w:vMerge w:val="continue"/>
            <w:tcBorders>
              <w:tl2br w:val="nil"/>
              <w:tr2bl w:val="nil"/>
            </w:tcBorders>
            <w:noWrap w:val="0"/>
            <w:vAlign w:val="center"/>
          </w:tcPr>
          <w:p>
            <w:pPr>
              <w:pStyle w:val="35"/>
              <w:bidi w:val="0"/>
              <w:jc w:val="center"/>
              <w:rPr>
                <w:color w:val="auto"/>
              </w:rPr>
            </w:pPr>
          </w:p>
        </w:tc>
        <w:tc>
          <w:tcPr>
            <w:tcW w:w="2676" w:type="pct"/>
            <w:tcBorders>
              <w:tl2br w:val="nil"/>
              <w:tr2bl w:val="nil"/>
            </w:tcBorders>
            <w:noWrap w:val="0"/>
            <w:vAlign w:val="center"/>
          </w:tcPr>
          <w:p>
            <w:pPr>
              <w:pStyle w:val="35"/>
              <w:bidi w:val="0"/>
              <w:jc w:val="center"/>
              <w:rPr>
                <w:rFonts w:hint="eastAsia"/>
                <w:color w:val="auto"/>
                <w:u w:val="none"/>
                <w:lang w:val="en-US" w:eastAsia="zh-CN"/>
              </w:rPr>
            </w:pPr>
            <w:r>
              <w:rPr>
                <w:rFonts w:hint="eastAsia"/>
                <w:color w:val="auto"/>
                <w:u w:val="none"/>
                <w:lang w:val="en-US" w:eastAsia="zh-CN"/>
              </w:rPr>
              <w:t>项目二期工程新增二氯丙烷生产线（一套精馏塔装置），淘汰60t/a对甲苯磺酸巴马丁生产线，利用原有设备、储罐改建6100t/a环氧树脂固化剂生产线（反应釜等装置）</w:t>
            </w:r>
          </w:p>
        </w:tc>
        <w:tc>
          <w:tcPr>
            <w:tcW w:w="896" w:type="pct"/>
            <w:tcBorders>
              <w:tl2br w:val="nil"/>
              <w:tr2bl w:val="nil"/>
            </w:tcBorders>
            <w:noWrap w:val="0"/>
            <w:vAlign w:val="center"/>
          </w:tcPr>
          <w:p>
            <w:pPr>
              <w:pStyle w:val="35"/>
              <w:bidi w:val="0"/>
              <w:jc w:val="center"/>
              <w:rPr>
                <w:rFonts w:hint="default"/>
                <w:color w:val="auto"/>
                <w:u w:val="none"/>
                <w:lang w:val="en-US" w:eastAsia="zh-CN"/>
              </w:rPr>
            </w:pPr>
            <w:r>
              <w:rPr>
                <w:rFonts w:hint="eastAsia"/>
                <w:color w:val="auto"/>
                <w:u w:val="none"/>
                <w:lang w:val="en-US" w:eastAsia="zh-CN"/>
              </w:rPr>
              <w:t>二期改扩建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0"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color w:val="auto"/>
                <w:u w:val="none"/>
              </w:rPr>
            </w:pPr>
            <w:r>
              <w:rPr>
                <w:rFonts w:hint="eastAsia"/>
                <w:color w:val="auto"/>
                <w:u w:val="none"/>
                <w:lang w:val="en-US" w:eastAsia="zh-CN"/>
              </w:rPr>
              <w:t>2#</w:t>
            </w:r>
            <w:r>
              <w:rPr>
                <w:color w:val="auto"/>
                <w:u w:val="none"/>
              </w:rPr>
              <w:t>生产车间</w:t>
            </w:r>
          </w:p>
        </w:tc>
        <w:tc>
          <w:tcPr>
            <w:tcW w:w="2676"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color w:val="auto"/>
                <w:u w:val="none"/>
                <w:lang w:val="en-US" w:eastAsia="zh-CN"/>
              </w:rPr>
              <w:t>2层框架结构，占地面积455.84m</w:t>
            </w:r>
            <w:r>
              <w:rPr>
                <w:rFonts w:hint="eastAsia"/>
                <w:color w:val="auto"/>
                <w:u w:val="none"/>
                <w:vertAlign w:val="superscript"/>
                <w:lang w:val="en-US" w:eastAsia="zh-CN"/>
              </w:rPr>
              <w:t>2</w:t>
            </w:r>
            <w:r>
              <w:rPr>
                <w:rFonts w:hint="eastAsia"/>
                <w:color w:val="auto"/>
                <w:u w:val="none"/>
                <w:lang w:val="en-US" w:eastAsia="zh-CN"/>
              </w:rPr>
              <w:t>，建筑面积1089.68m</w:t>
            </w:r>
            <w:r>
              <w:rPr>
                <w:rFonts w:hint="eastAsia"/>
                <w:color w:val="auto"/>
                <w:u w:val="none"/>
                <w:vertAlign w:val="superscript"/>
                <w:lang w:val="en-US" w:eastAsia="zh-CN"/>
              </w:rPr>
              <w:t>2</w:t>
            </w:r>
            <w:r>
              <w:rPr>
                <w:rFonts w:hint="eastAsia"/>
                <w:color w:val="auto"/>
                <w:u w:val="none"/>
                <w:lang w:val="en-US" w:eastAsia="zh-CN"/>
              </w:rPr>
              <w:t>，包括：900t/a涂料助剂生产装置和3000t/a环氧地坪涂料生产线</w:t>
            </w:r>
          </w:p>
        </w:tc>
        <w:tc>
          <w:tcPr>
            <w:tcW w:w="896" w:type="pct"/>
            <w:tcBorders>
              <w:tl2br w:val="nil"/>
              <w:tr2bl w:val="nil"/>
            </w:tcBorders>
            <w:noWrap w:val="0"/>
            <w:vAlign w:val="center"/>
          </w:tcPr>
          <w:p>
            <w:pPr>
              <w:pStyle w:val="35"/>
              <w:bidi w:val="0"/>
              <w:jc w:val="center"/>
              <w:rPr>
                <w:rFonts w:hint="default"/>
                <w:color w:val="auto"/>
                <w:u w:val="none"/>
                <w:lang w:val="en-US" w:eastAsia="zh-CN"/>
              </w:rPr>
            </w:pPr>
            <w:r>
              <w:rPr>
                <w:rFonts w:hint="eastAsia"/>
                <w:color w:val="auto"/>
                <w:u w:val="none"/>
                <w:lang w:val="en-US" w:eastAsia="zh-CN"/>
              </w:rPr>
              <w:t>二期在建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3"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color w:val="auto"/>
                <w:u w:val="none"/>
              </w:rPr>
            </w:pPr>
            <w:r>
              <w:rPr>
                <w:color w:val="auto"/>
                <w:u w:val="none"/>
              </w:rPr>
              <w:t>辅助生产</w:t>
            </w:r>
            <w:r>
              <w:rPr>
                <w:rFonts w:hint="eastAsia"/>
                <w:color w:val="auto"/>
                <w:u w:val="none"/>
                <w:lang w:eastAsia="zh-CN"/>
              </w:rPr>
              <w:t>用房</w:t>
            </w:r>
          </w:p>
        </w:tc>
        <w:tc>
          <w:tcPr>
            <w:tcW w:w="2676" w:type="pct"/>
            <w:tcBorders>
              <w:tl2br w:val="nil"/>
              <w:tr2bl w:val="nil"/>
            </w:tcBorders>
            <w:noWrap w:val="0"/>
            <w:vAlign w:val="center"/>
          </w:tcPr>
          <w:p>
            <w:pPr>
              <w:pStyle w:val="35"/>
              <w:bidi w:val="0"/>
              <w:jc w:val="center"/>
              <w:rPr>
                <w:color w:val="auto"/>
                <w:u w:val="none"/>
              </w:rPr>
            </w:pPr>
            <w:r>
              <w:rPr>
                <w:rFonts w:hint="eastAsia"/>
                <w:color w:val="auto"/>
                <w:u w:val="none"/>
              </w:rPr>
              <w:t>占地面积104.5</w:t>
            </w:r>
            <w:r>
              <w:rPr>
                <w:color w:val="auto"/>
                <w:u w:val="none"/>
              </w:rPr>
              <w:t>m</w:t>
            </w:r>
            <w:r>
              <w:rPr>
                <w:color w:val="auto"/>
                <w:u w:val="none"/>
                <w:vertAlign w:val="superscript"/>
              </w:rPr>
              <w:t>2</w:t>
            </w:r>
            <w:r>
              <w:rPr>
                <w:rFonts w:hint="eastAsia"/>
                <w:color w:val="auto"/>
                <w:u w:val="none"/>
              </w:rPr>
              <w:t>，1层</w:t>
            </w:r>
            <w:r>
              <w:rPr>
                <w:color w:val="auto"/>
                <w:u w:val="none"/>
              </w:rPr>
              <w:t>砖混结构</w:t>
            </w:r>
            <w:r>
              <w:rPr>
                <w:rFonts w:hint="eastAsia"/>
                <w:color w:val="auto"/>
                <w:u w:val="none"/>
              </w:rPr>
              <w:t>，内设仓库、机修房</w:t>
            </w:r>
          </w:p>
        </w:tc>
        <w:tc>
          <w:tcPr>
            <w:tcW w:w="896"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8" w:hRule="atLeast"/>
          <w:jc w:val="center"/>
        </w:trPr>
        <w:tc>
          <w:tcPr>
            <w:tcW w:w="438" w:type="pct"/>
            <w:vMerge w:val="restart"/>
            <w:tcBorders>
              <w:tl2br w:val="nil"/>
              <w:tr2bl w:val="nil"/>
            </w:tcBorders>
            <w:noWrap w:val="0"/>
            <w:vAlign w:val="center"/>
          </w:tcPr>
          <w:p>
            <w:pPr>
              <w:pStyle w:val="35"/>
              <w:bidi w:val="0"/>
              <w:jc w:val="center"/>
              <w:rPr>
                <w:color w:val="auto"/>
                <w:u w:val="none"/>
              </w:rPr>
            </w:pPr>
            <w:r>
              <w:rPr>
                <w:color w:val="auto"/>
                <w:u w:val="none"/>
              </w:rPr>
              <w:t>辅助工程</w:t>
            </w:r>
          </w:p>
        </w:tc>
        <w:tc>
          <w:tcPr>
            <w:tcW w:w="989" w:type="pct"/>
            <w:tcBorders>
              <w:tl2br w:val="nil"/>
              <w:tr2bl w:val="nil"/>
            </w:tcBorders>
            <w:noWrap w:val="0"/>
            <w:vAlign w:val="center"/>
          </w:tcPr>
          <w:p>
            <w:pPr>
              <w:pStyle w:val="35"/>
              <w:bidi w:val="0"/>
              <w:jc w:val="center"/>
              <w:rPr>
                <w:color w:val="auto"/>
                <w:u w:val="none"/>
              </w:rPr>
            </w:pPr>
            <w:r>
              <w:rPr>
                <w:color w:val="auto"/>
                <w:u w:val="none"/>
              </w:rPr>
              <w:t>办公楼</w:t>
            </w:r>
          </w:p>
        </w:tc>
        <w:tc>
          <w:tcPr>
            <w:tcW w:w="2676" w:type="pct"/>
            <w:tcBorders>
              <w:tl2br w:val="nil"/>
              <w:tr2bl w:val="nil"/>
            </w:tcBorders>
            <w:noWrap w:val="0"/>
            <w:vAlign w:val="center"/>
          </w:tcPr>
          <w:p>
            <w:pPr>
              <w:pStyle w:val="35"/>
              <w:bidi w:val="0"/>
              <w:jc w:val="center"/>
              <w:rPr>
                <w:color w:val="auto"/>
                <w:u w:val="none"/>
              </w:rPr>
            </w:pPr>
            <w:r>
              <w:rPr>
                <w:rFonts w:hint="eastAsia"/>
                <w:color w:val="auto"/>
                <w:u w:val="none"/>
              </w:rPr>
              <w:t>1栋3层砖混结构，占地面积240</w:t>
            </w:r>
            <w:r>
              <w:rPr>
                <w:color w:val="auto"/>
                <w:u w:val="none"/>
              </w:rPr>
              <w:t>m</w:t>
            </w:r>
            <w:r>
              <w:rPr>
                <w:color w:val="auto"/>
                <w:u w:val="none"/>
                <w:vertAlign w:val="superscript"/>
              </w:rPr>
              <w:t>2</w:t>
            </w:r>
            <w:r>
              <w:rPr>
                <w:rFonts w:hint="eastAsia"/>
                <w:color w:val="auto"/>
                <w:u w:val="none"/>
              </w:rPr>
              <w:t>，建筑面积720</w:t>
            </w:r>
            <w:r>
              <w:rPr>
                <w:color w:val="auto"/>
                <w:u w:val="none"/>
              </w:rPr>
              <w:t>m</w:t>
            </w:r>
            <w:r>
              <w:rPr>
                <w:color w:val="auto"/>
                <w:u w:val="none"/>
                <w:vertAlign w:val="superscript"/>
              </w:rPr>
              <w:t>2</w:t>
            </w:r>
          </w:p>
        </w:tc>
        <w:tc>
          <w:tcPr>
            <w:tcW w:w="896" w:type="pct"/>
            <w:tcBorders>
              <w:tl2br w:val="nil"/>
              <w:tr2bl w:val="nil"/>
            </w:tcBorders>
            <w:noWrap w:val="0"/>
            <w:vAlign w:val="center"/>
          </w:tcPr>
          <w:p>
            <w:pPr>
              <w:pStyle w:val="35"/>
              <w:bidi w:val="0"/>
              <w:jc w:val="center"/>
              <w:rPr>
                <w:color w:val="auto"/>
                <w:u w:val="none"/>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8"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color w:val="auto"/>
                <w:u w:val="none"/>
              </w:rPr>
            </w:pPr>
            <w:r>
              <w:rPr>
                <w:color w:val="auto"/>
                <w:u w:val="none"/>
              </w:rPr>
              <w:t>门卫室</w:t>
            </w:r>
          </w:p>
        </w:tc>
        <w:tc>
          <w:tcPr>
            <w:tcW w:w="2676" w:type="pct"/>
            <w:tcBorders>
              <w:tl2br w:val="nil"/>
              <w:tr2bl w:val="nil"/>
            </w:tcBorders>
            <w:noWrap w:val="0"/>
            <w:vAlign w:val="center"/>
          </w:tcPr>
          <w:p>
            <w:pPr>
              <w:pStyle w:val="35"/>
              <w:bidi w:val="0"/>
              <w:jc w:val="center"/>
              <w:rPr>
                <w:color w:val="auto"/>
                <w:u w:val="none"/>
              </w:rPr>
            </w:pPr>
            <w:r>
              <w:rPr>
                <w:rFonts w:hint="eastAsia"/>
                <w:color w:val="auto"/>
                <w:u w:val="none"/>
              </w:rPr>
              <w:t>设置2个门卫室，占地面积各为16</w:t>
            </w:r>
            <w:r>
              <w:rPr>
                <w:color w:val="auto"/>
                <w:u w:val="none"/>
              </w:rPr>
              <w:t>m</w:t>
            </w:r>
            <w:r>
              <w:rPr>
                <w:color w:val="auto"/>
                <w:u w:val="none"/>
                <w:vertAlign w:val="superscript"/>
              </w:rPr>
              <w:t>2</w:t>
            </w:r>
          </w:p>
        </w:tc>
        <w:tc>
          <w:tcPr>
            <w:tcW w:w="896" w:type="pct"/>
            <w:tcBorders>
              <w:tl2br w:val="nil"/>
              <w:tr2bl w:val="nil"/>
            </w:tcBorders>
            <w:noWrap w:val="0"/>
            <w:vAlign w:val="center"/>
          </w:tcPr>
          <w:p>
            <w:pPr>
              <w:pStyle w:val="35"/>
              <w:bidi w:val="0"/>
              <w:jc w:val="center"/>
              <w:rPr>
                <w:color w:val="auto"/>
                <w:u w:val="none"/>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8" w:hRule="atLeast"/>
          <w:jc w:val="center"/>
        </w:trPr>
        <w:tc>
          <w:tcPr>
            <w:tcW w:w="438" w:type="pct"/>
            <w:vMerge w:val="restart"/>
            <w:tcBorders>
              <w:tl2br w:val="nil"/>
              <w:tr2bl w:val="nil"/>
            </w:tcBorders>
            <w:noWrap w:val="0"/>
            <w:vAlign w:val="center"/>
          </w:tcPr>
          <w:p>
            <w:pPr>
              <w:pStyle w:val="35"/>
              <w:bidi w:val="0"/>
              <w:jc w:val="center"/>
              <w:rPr>
                <w:color w:val="auto"/>
                <w:u w:val="none"/>
              </w:rPr>
            </w:pPr>
            <w:r>
              <w:rPr>
                <w:color w:val="auto"/>
                <w:u w:val="none"/>
              </w:rPr>
              <w:t>公用工程</w:t>
            </w:r>
          </w:p>
        </w:tc>
        <w:tc>
          <w:tcPr>
            <w:tcW w:w="989" w:type="pct"/>
            <w:tcBorders>
              <w:tl2br w:val="nil"/>
              <w:tr2bl w:val="nil"/>
            </w:tcBorders>
            <w:noWrap w:val="0"/>
            <w:vAlign w:val="center"/>
          </w:tcPr>
          <w:p>
            <w:pPr>
              <w:pStyle w:val="35"/>
              <w:bidi w:val="0"/>
              <w:jc w:val="center"/>
              <w:rPr>
                <w:color w:val="auto"/>
                <w:u w:val="none"/>
              </w:rPr>
            </w:pPr>
            <w:r>
              <w:rPr>
                <w:color w:val="auto"/>
                <w:u w:val="none"/>
              </w:rPr>
              <w:t>供电</w:t>
            </w:r>
          </w:p>
        </w:tc>
        <w:tc>
          <w:tcPr>
            <w:tcW w:w="2676" w:type="pct"/>
            <w:tcBorders>
              <w:tl2br w:val="nil"/>
              <w:tr2bl w:val="nil"/>
            </w:tcBorders>
            <w:noWrap w:val="0"/>
            <w:vAlign w:val="center"/>
          </w:tcPr>
          <w:p>
            <w:pPr>
              <w:pStyle w:val="35"/>
              <w:bidi w:val="0"/>
              <w:jc w:val="center"/>
              <w:rPr>
                <w:color w:val="auto"/>
                <w:u w:val="none"/>
              </w:rPr>
            </w:pPr>
            <w:r>
              <w:rPr>
                <w:color w:val="auto"/>
                <w:u w:val="none"/>
              </w:rPr>
              <w:t>一台800kVA的变压器</w:t>
            </w:r>
          </w:p>
        </w:tc>
        <w:tc>
          <w:tcPr>
            <w:tcW w:w="896" w:type="pct"/>
            <w:tcBorders>
              <w:tl2br w:val="nil"/>
              <w:tr2bl w:val="nil"/>
            </w:tcBorders>
            <w:noWrap w:val="0"/>
            <w:vAlign w:val="center"/>
          </w:tcPr>
          <w:p>
            <w:pPr>
              <w:pStyle w:val="35"/>
              <w:bidi w:val="0"/>
              <w:jc w:val="center"/>
              <w:rPr>
                <w:color w:val="auto"/>
                <w:u w:val="none"/>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4"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color w:val="auto"/>
                <w:u w:val="none"/>
              </w:rPr>
            </w:pPr>
            <w:r>
              <w:rPr>
                <w:color w:val="auto"/>
                <w:u w:val="none"/>
              </w:rPr>
              <w:t>给水</w:t>
            </w:r>
          </w:p>
        </w:tc>
        <w:tc>
          <w:tcPr>
            <w:tcW w:w="2676" w:type="pct"/>
            <w:tcBorders>
              <w:tl2br w:val="nil"/>
              <w:tr2bl w:val="nil"/>
            </w:tcBorders>
            <w:noWrap w:val="0"/>
            <w:vAlign w:val="center"/>
          </w:tcPr>
          <w:p>
            <w:pPr>
              <w:pStyle w:val="35"/>
              <w:bidi w:val="0"/>
              <w:jc w:val="center"/>
              <w:rPr>
                <w:color w:val="auto"/>
                <w:u w:val="none"/>
              </w:rPr>
            </w:pPr>
            <w:r>
              <w:rPr>
                <w:rFonts w:hint="eastAsia"/>
                <w:color w:val="auto"/>
                <w:u w:val="none"/>
              </w:rPr>
              <w:t>新鲜水</w:t>
            </w:r>
            <w:r>
              <w:rPr>
                <w:color w:val="auto"/>
                <w:u w:val="none"/>
              </w:rPr>
              <w:t>由云溪工业园供水</w:t>
            </w:r>
            <w:r>
              <w:rPr>
                <w:rFonts w:hint="eastAsia"/>
                <w:color w:val="auto"/>
                <w:u w:val="none"/>
              </w:rPr>
              <w:t>，</w:t>
            </w:r>
            <w:r>
              <w:rPr>
                <w:rFonts w:hint="eastAsia"/>
                <w:color w:val="auto"/>
                <w:u w:val="none"/>
                <w:lang w:eastAsia="zh-CN"/>
              </w:rPr>
              <w:t>厂区内</w:t>
            </w:r>
            <w:r>
              <w:rPr>
                <w:rFonts w:hint="eastAsia"/>
                <w:color w:val="auto"/>
                <w:u w:val="none"/>
              </w:rPr>
              <w:t>已建</w:t>
            </w:r>
            <w:r>
              <w:rPr>
                <w:rFonts w:hint="eastAsia"/>
                <w:color w:val="auto"/>
                <w:u w:val="none"/>
                <w:lang w:val="en-US" w:eastAsia="zh-CN"/>
              </w:rPr>
              <w:t>6</w:t>
            </w:r>
            <w:r>
              <w:rPr>
                <w:rFonts w:hint="eastAsia"/>
                <w:color w:val="auto"/>
                <w:u w:val="none"/>
              </w:rPr>
              <w:t>00</w:t>
            </w:r>
            <w:r>
              <w:rPr>
                <w:color w:val="auto"/>
                <w:u w:val="none"/>
              </w:rPr>
              <w:t xml:space="preserve"> m</w:t>
            </w:r>
            <w:r>
              <w:rPr>
                <w:color w:val="auto"/>
                <w:u w:val="none"/>
                <w:vertAlign w:val="superscript"/>
              </w:rPr>
              <w:t>3</w:t>
            </w:r>
            <w:r>
              <w:rPr>
                <w:rFonts w:hint="eastAsia"/>
                <w:color w:val="auto"/>
                <w:u w:val="none"/>
                <w:lang w:val="en-US" w:eastAsia="zh-CN"/>
              </w:rPr>
              <w:t>/d</w:t>
            </w:r>
            <w:r>
              <w:rPr>
                <w:rFonts w:hint="eastAsia"/>
                <w:color w:val="auto"/>
                <w:u w:val="none"/>
              </w:rPr>
              <w:t>循环</w:t>
            </w:r>
            <w:r>
              <w:rPr>
                <w:rFonts w:hint="eastAsia"/>
                <w:color w:val="auto"/>
                <w:u w:val="none"/>
                <w:lang w:eastAsia="zh-CN"/>
              </w:rPr>
              <w:t>冷却</w:t>
            </w:r>
            <w:r>
              <w:rPr>
                <w:rFonts w:hint="eastAsia"/>
                <w:color w:val="auto"/>
                <w:u w:val="none"/>
              </w:rPr>
              <w:t>水系统</w:t>
            </w:r>
          </w:p>
        </w:tc>
        <w:tc>
          <w:tcPr>
            <w:tcW w:w="896" w:type="pct"/>
            <w:tcBorders>
              <w:tl2br w:val="nil"/>
              <w:tr2bl w:val="nil"/>
            </w:tcBorders>
            <w:noWrap w:val="0"/>
            <w:vAlign w:val="center"/>
          </w:tcPr>
          <w:p>
            <w:pPr>
              <w:pStyle w:val="35"/>
              <w:bidi w:val="0"/>
              <w:jc w:val="center"/>
              <w:rPr>
                <w:color w:val="auto"/>
                <w:u w:val="none"/>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9"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color w:val="auto"/>
                <w:u w:val="none"/>
              </w:rPr>
            </w:pPr>
            <w:r>
              <w:rPr>
                <w:color w:val="auto"/>
                <w:u w:val="none"/>
              </w:rPr>
              <w:t>排水</w:t>
            </w:r>
          </w:p>
        </w:tc>
        <w:tc>
          <w:tcPr>
            <w:tcW w:w="2676" w:type="pct"/>
            <w:tcBorders>
              <w:tl2br w:val="nil"/>
              <w:tr2bl w:val="nil"/>
            </w:tcBorders>
            <w:noWrap w:val="0"/>
            <w:vAlign w:val="center"/>
          </w:tcPr>
          <w:p>
            <w:pPr>
              <w:pStyle w:val="35"/>
              <w:bidi w:val="0"/>
              <w:jc w:val="center"/>
              <w:rPr>
                <w:color w:val="auto"/>
                <w:u w:val="none"/>
              </w:rPr>
            </w:pPr>
            <w:r>
              <w:rPr>
                <w:color w:val="auto"/>
                <w:u w:val="none"/>
              </w:rPr>
              <w:t>采用雨污分流制排水</w:t>
            </w:r>
            <w:r>
              <w:rPr>
                <w:rFonts w:hint="eastAsia"/>
                <w:color w:val="auto"/>
                <w:u w:val="none"/>
                <w:lang w:eastAsia="zh-CN"/>
              </w:rPr>
              <w:t>，</w:t>
            </w:r>
            <w:r>
              <w:rPr>
                <w:color w:val="auto"/>
                <w:u w:val="none"/>
              </w:rPr>
              <w:t>污水经预处理后排入园区污水管网</w:t>
            </w:r>
            <w:r>
              <w:rPr>
                <w:rFonts w:hint="eastAsia"/>
                <w:color w:val="auto"/>
                <w:u w:val="none"/>
                <w:lang w:eastAsia="zh-CN"/>
              </w:rPr>
              <w:t>，进工业园污水处理厂</w:t>
            </w:r>
          </w:p>
        </w:tc>
        <w:tc>
          <w:tcPr>
            <w:tcW w:w="896" w:type="pct"/>
            <w:tcBorders>
              <w:tl2br w:val="nil"/>
              <w:tr2bl w:val="nil"/>
            </w:tcBorders>
            <w:noWrap w:val="0"/>
            <w:vAlign w:val="center"/>
          </w:tcPr>
          <w:p>
            <w:pPr>
              <w:pStyle w:val="35"/>
              <w:bidi w:val="0"/>
              <w:jc w:val="center"/>
              <w:rPr>
                <w:color w:val="auto"/>
                <w:u w:val="none"/>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48"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color w:val="auto"/>
                <w:u w:val="none"/>
              </w:rPr>
            </w:pPr>
            <w:r>
              <w:rPr>
                <w:color w:val="auto"/>
                <w:u w:val="none"/>
              </w:rPr>
              <w:t>供热</w:t>
            </w:r>
          </w:p>
        </w:tc>
        <w:tc>
          <w:tcPr>
            <w:tcW w:w="2676" w:type="pct"/>
            <w:tcBorders>
              <w:tl2br w:val="nil"/>
              <w:tr2bl w:val="nil"/>
            </w:tcBorders>
            <w:noWrap w:val="0"/>
            <w:vAlign w:val="center"/>
          </w:tcPr>
          <w:p>
            <w:pPr>
              <w:pStyle w:val="35"/>
              <w:bidi w:val="0"/>
              <w:jc w:val="center"/>
              <w:rPr>
                <w:color w:val="auto"/>
                <w:u w:val="none"/>
              </w:rPr>
            </w:pPr>
            <w:r>
              <w:rPr>
                <w:rFonts w:hint="eastAsia"/>
                <w:color w:val="auto"/>
                <w:u w:val="none"/>
              </w:rPr>
              <w:t>工业园蒸汽管网提供</w:t>
            </w:r>
          </w:p>
        </w:tc>
        <w:tc>
          <w:tcPr>
            <w:tcW w:w="896" w:type="pct"/>
            <w:tcBorders>
              <w:tl2br w:val="nil"/>
              <w:tr2bl w:val="nil"/>
            </w:tcBorders>
            <w:noWrap w:val="0"/>
            <w:vAlign w:val="center"/>
          </w:tcPr>
          <w:p>
            <w:pPr>
              <w:pStyle w:val="35"/>
              <w:bidi w:val="0"/>
              <w:jc w:val="center"/>
              <w:rPr>
                <w:color w:val="auto"/>
                <w:u w:val="none"/>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48"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color w:val="auto"/>
                <w:u w:val="none"/>
              </w:rPr>
            </w:pPr>
            <w:r>
              <w:rPr>
                <w:color w:val="auto"/>
                <w:u w:val="none"/>
              </w:rPr>
              <w:t>消防</w:t>
            </w:r>
          </w:p>
        </w:tc>
        <w:tc>
          <w:tcPr>
            <w:tcW w:w="2676" w:type="pct"/>
            <w:tcBorders>
              <w:tl2br w:val="nil"/>
              <w:tr2bl w:val="nil"/>
            </w:tcBorders>
            <w:noWrap w:val="0"/>
            <w:vAlign w:val="center"/>
          </w:tcPr>
          <w:p>
            <w:pPr>
              <w:pStyle w:val="35"/>
              <w:bidi w:val="0"/>
              <w:jc w:val="center"/>
              <w:rPr>
                <w:color w:val="auto"/>
                <w:u w:val="none"/>
              </w:rPr>
            </w:pPr>
            <w:r>
              <w:rPr>
                <w:rFonts w:hint="eastAsia"/>
                <w:color w:val="auto"/>
                <w:u w:val="none"/>
              </w:rPr>
              <w:t>480</w:t>
            </w:r>
            <w:r>
              <w:rPr>
                <w:color w:val="auto"/>
                <w:u w:val="none"/>
              </w:rPr>
              <w:t>m</w:t>
            </w:r>
            <w:r>
              <w:rPr>
                <w:color w:val="auto"/>
                <w:u w:val="none"/>
                <w:vertAlign w:val="superscript"/>
              </w:rPr>
              <w:t>2</w:t>
            </w:r>
            <w:r>
              <w:rPr>
                <w:color w:val="auto"/>
                <w:u w:val="none"/>
              </w:rPr>
              <w:t>消防水池一座</w:t>
            </w:r>
            <w:r>
              <w:rPr>
                <w:rFonts w:hint="eastAsia"/>
                <w:color w:val="auto"/>
                <w:u w:val="none"/>
                <w:lang w:eastAsia="zh-CN"/>
              </w:rPr>
              <w:t>，</w:t>
            </w:r>
            <w:r>
              <w:rPr>
                <w:color w:val="auto"/>
                <w:u w:val="none"/>
              </w:rPr>
              <w:t>水压0.4MPa的消防水泵2台</w:t>
            </w:r>
          </w:p>
        </w:tc>
        <w:tc>
          <w:tcPr>
            <w:tcW w:w="896" w:type="pct"/>
            <w:tcBorders>
              <w:tl2br w:val="nil"/>
              <w:tr2bl w:val="nil"/>
            </w:tcBorders>
            <w:noWrap w:val="0"/>
            <w:vAlign w:val="center"/>
          </w:tcPr>
          <w:p>
            <w:pPr>
              <w:pStyle w:val="35"/>
              <w:bidi w:val="0"/>
              <w:jc w:val="center"/>
              <w:rPr>
                <w:color w:val="auto"/>
                <w:u w:val="none"/>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48"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color w:val="auto"/>
                <w:u w:val="none"/>
              </w:rPr>
            </w:pPr>
            <w:r>
              <w:rPr>
                <w:color w:val="auto"/>
                <w:u w:val="none"/>
              </w:rPr>
              <w:t>绿化</w:t>
            </w:r>
          </w:p>
        </w:tc>
        <w:tc>
          <w:tcPr>
            <w:tcW w:w="2676" w:type="pct"/>
            <w:tcBorders>
              <w:tl2br w:val="nil"/>
              <w:tr2bl w:val="nil"/>
            </w:tcBorders>
            <w:noWrap w:val="0"/>
            <w:vAlign w:val="center"/>
          </w:tcPr>
          <w:p>
            <w:pPr>
              <w:pStyle w:val="35"/>
              <w:bidi w:val="0"/>
              <w:jc w:val="center"/>
              <w:rPr>
                <w:color w:val="auto"/>
                <w:u w:val="none"/>
              </w:rPr>
            </w:pPr>
            <w:r>
              <w:rPr>
                <w:rFonts w:hint="eastAsia"/>
                <w:color w:val="auto"/>
                <w:u w:val="none"/>
              </w:rPr>
              <w:t>绿化率</w:t>
            </w:r>
            <w:r>
              <w:rPr>
                <w:color w:val="auto"/>
                <w:u w:val="none"/>
              </w:rPr>
              <w:t>14.52%，1612.7m</w:t>
            </w:r>
            <w:r>
              <w:rPr>
                <w:color w:val="auto"/>
                <w:u w:val="none"/>
                <w:vertAlign w:val="superscript"/>
              </w:rPr>
              <w:t>2</w:t>
            </w:r>
          </w:p>
        </w:tc>
        <w:tc>
          <w:tcPr>
            <w:tcW w:w="896" w:type="pct"/>
            <w:tcBorders>
              <w:tl2br w:val="nil"/>
              <w:tr2bl w:val="nil"/>
            </w:tcBorders>
            <w:noWrap w:val="0"/>
            <w:vAlign w:val="center"/>
          </w:tcPr>
          <w:p>
            <w:pPr>
              <w:pStyle w:val="35"/>
              <w:bidi w:val="0"/>
              <w:jc w:val="center"/>
              <w:rPr>
                <w:color w:val="auto"/>
                <w:u w:val="none"/>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0" w:hRule="atLeast"/>
          <w:jc w:val="center"/>
        </w:trPr>
        <w:tc>
          <w:tcPr>
            <w:tcW w:w="438" w:type="pct"/>
            <w:vMerge w:val="restart"/>
            <w:tcBorders>
              <w:tl2br w:val="nil"/>
              <w:tr2bl w:val="nil"/>
            </w:tcBorders>
            <w:noWrap w:val="0"/>
            <w:vAlign w:val="center"/>
          </w:tcPr>
          <w:p>
            <w:pPr>
              <w:pStyle w:val="35"/>
              <w:bidi w:val="0"/>
              <w:jc w:val="center"/>
              <w:rPr>
                <w:color w:val="auto"/>
                <w:u w:val="none"/>
              </w:rPr>
            </w:pPr>
            <w:r>
              <w:rPr>
                <w:color w:val="auto"/>
                <w:u w:val="none"/>
              </w:rPr>
              <w:t>储运工程</w:t>
            </w:r>
          </w:p>
        </w:tc>
        <w:tc>
          <w:tcPr>
            <w:tcW w:w="989" w:type="pct"/>
            <w:tcBorders>
              <w:tl2br w:val="nil"/>
              <w:tr2bl w:val="nil"/>
            </w:tcBorders>
            <w:noWrap w:val="0"/>
            <w:vAlign w:val="center"/>
          </w:tcPr>
          <w:p>
            <w:pPr>
              <w:pStyle w:val="35"/>
              <w:bidi w:val="0"/>
              <w:jc w:val="center"/>
              <w:rPr>
                <w:color w:val="auto"/>
                <w:u w:val="none"/>
              </w:rPr>
            </w:pPr>
            <w:r>
              <w:rPr>
                <w:rFonts w:hint="eastAsia"/>
                <w:color w:val="auto"/>
                <w:u w:val="none"/>
              </w:rPr>
              <w:t>地</w:t>
            </w:r>
            <w:r>
              <w:rPr>
                <w:rFonts w:hint="eastAsia"/>
                <w:color w:val="auto"/>
                <w:u w:val="none"/>
                <w:lang w:eastAsia="zh-CN"/>
              </w:rPr>
              <w:t>面</w:t>
            </w:r>
            <w:r>
              <w:rPr>
                <w:color w:val="auto"/>
                <w:u w:val="none"/>
              </w:rPr>
              <w:t>储罐区</w:t>
            </w:r>
          </w:p>
        </w:tc>
        <w:tc>
          <w:tcPr>
            <w:tcW w:w="2676" w:type="pct"/>
            <w:tcBorders>
              <w:tl2br w:val="nil"/>
              <w:tr2bl w:val="nil"/>
            </w:tcBorders>
            <w:noWrap w:val="0"/>
            <w:vAlign w:val="center"/>
          </w:tcPr>
          <w:p>
            <w:pPr>
              <w:pStyle w:val="35"/>
              <w:bidi w:val="0"/>
              <w:jc w:val="center"/>
              <w:rPr>
                <w:rFonts w:hint="eastAsia"/>
                <w:color w:val="auto"/>
                <w:u w:val="none"/>
              </w:rPr>
            </w:pPr>
            <w:r>
              <w:rPr>
                <w:rFonts w:hint="eastAsia"/>
                <w:color w:val="auto"/>
                <w:u w:val="none"/>
              </w:rPr>
              <w:t>2个30</w:t>
            </w:r>
            <w:r>
              <w:rPr>
                <w:color w:val="auto"/>
                <w:u w:val="none"/>
              </w:rPr>
              <w:t>m</w:t>
            </w:r>
            <w:r>
              <w:rPr>
                <w:color w:val="auto"/>
                <w:u w:val="none"/>
                <w:vertAlign w:val="superscript"/>
              </w:rPr>
              <w:t>3</w:t>
            </w:r>
            <w:r>
              <w:rPr>
                <w:rFonts w:hint="eastAsia"/>
                <w:color w:val="auto"/>
                <w:u w:val="none"/>
              </w:rPr>
              <w:t>卧式储罐；</w:t>
            </w:r>
          </w:p>
          <w:p>
            <w:pPr>
              <w:pStyle w:val="35"/>
              <w:bidi w:val="0"/>
              <w:jc w:val="center"/>
              <w:rPr>
                <w:color w:val="auto"/>
                <w:u w:val="none"/>
              </w:rPr>
            </w:pPr>
            <w:r>
              <w:rPr>
                <w:rFonts w:hint="eastAsia"/>
                <w:color w:val="auto"/>
                <w:u w:val="none"/>
              </w:rPr>
              <w:t>8个400</w:t>
            </w:r>
            <w:r>
              <w:rPr>
                <w:color w:val="auto"/>
                <w:u w:val="none"/>
              </w:rPr>
              <w:t>m</w:t>
            </w:r>
            <w:r>
              <w:rPr>
                <w:color w:val="auto"/>
                <w:u w:val="none"/>
                <w:vertAlign w:val="superscript"/>
              </w:rPr>
              <w:t>3</w:t>
            </w:r>
            <w:r>
              <w:rPr>
                <w:rFonts w:hint="eastAsia"/>
                <w:color w:val="auto"/>
                <w:u w:val="none"/>
              </w:rPr>
              <w:t>储罐，规格8.25×Φ8.25，占地面积：</w:t>
            </w:r>
            <w:r>
              <w:rPr>
                <w:color w:val="auto"/>
                <w:u w:val="none"/>
              </w:rPr>
              <w:t>1694.97m</w:t>
            </w:r>
            <w:r>
              <w:rPr>
                <w:color w:val="auto"/>
                <w:u w:val="none"/>
                <w:vertAlign w:val="superscript"/>
              </w:rPr>
              <w:t>2</w:t>
            </w:r>
          </w:p>
        </w:tc>
        <w:tc>
          <w:tcPr>
            <w:tcW w:w="896" w:type="pct"/>
            <w:tcBorders>
              <w:tl2br w:val="nil"/>
              <w:tr2bl w:val="nil"/>
            </w:tcBorders>
            <w:noWrap w:val="0"/>
            <w:vAlign w:val="center"/>
          </w:tcPr>
          <w:p>
            <w:pPr>
              <w:bidi w:val="0"/>
              <w:jc w:val="center"/>
              <w:rPr>
                <w:color w:val="auto"/>
                <w:u w:val="none"/>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5"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color w:val="auto"/>
                <w:u w:val="none"/>
                <w:lang w:val="en-US" w:eastAsia="zh-CN"/>
              </w:rPr>
              <w:t>1#原料仓库</w:t>
            </w:r>
          </w:p>
        </w:tc>
        <w:tc>
          <w:tcPr>
            <w:tcW w:w="2676"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color w:val="auto"/>
                <w:u w:val="none"/>
                <w:lang w:val="en-US" w:eastAsia="zh-CN"/>
              </w:rPr>
              <w:t>1层框架式结构甲类仓库，占地面积225m</w:t>
            </w:r>
            <w:r>
              <w:rPr>
                <w:rFonts w:hint="eastAsia"/>
                <w:color w:val="auto"/>
                <w:u w:val="none"/>
                <w:vertAlign w:val="superscript"/>
                <w:lang w:val="en-US" w:eastAsia="zh-CN"/>
              </w:rPr>
              <w:t>2</w:t>
            </w:r>
            <w:r>
              <w:rPr>
                <w:rFonts w:hint="eastAsia"/>
                <w:color w:val="auto"/>
                <w:u w:val="none"/>
                <w:lang w:val="en-US" w:eastAsia="zh-CN"/>
              </w:rPr>
              <w:t>，建筑面积225m</w:t>
            </w:r>
            <w:r>
              <w:rPr>
                <w:rFonts w:hint="eastAsia"/>
                <w:color w:val="auto"/>
                <w:u w:val="none"/>
                <w:vertAlign w:val="superscript"/>
                <w:lang w:val="en-US" w:eastAsia="zh-CN"/>
              </w:rPr>
              <w:t>2</w:t>
            </w:r>
          </w:p>
        </w:tc>
        <w:tc>
          <w:tcPr>
            <w:tcW w:w="896" w:type="pct"/>
            <w:tcBorders>
              <w:tl2br w:val="nil"/>
              <w:tr2bl w:val="nil"/>
            </w:tcBorders>
            <w:noWrap w:val="0"/>
            <w:vAlign w:val="center"/>
          </w:tcPr>
          <w:p>
            <w:pPr>
              <w:pStyle w:val="35"/>
              <w:bidi w:val="0"/>
              <w:jc w:val="center"/>
              <w:rPr>
                <w:rFonts w:hint="eastAsia" w:eastAsia="宋体"/>
                <w:color w:val="auto"/>
                <w:u w:val="none"/>
                <w:lang w:val="en-US" w:eastAsia="zh-CN"/>
              </w:rPr>
            </w:pPr>
            <w:r>
              <w:rPr>
                <w:rFonts w:hint="eastAsia"/>
                <w:color w:val="auto"/>
                <w:u w:val="none"/>
                <w:lang w:val="en-US" w:eastAsia="zh-CN"/>
              </w:rPr>
              <w:t>二期在建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5"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color w:val="auto"/>
                <w:u w:val="none"/>
                <w:lang w:val="en-US" w:eastAsia="zh-CN"/>
              </w:rPr>
              <w:t>1#产品仓库</w:t>
            </w:r>
          </w:p>
        </w:tc>
        <w:tc>
          <w:tcPr>
            <w:tcW w:w="2676" w:type="pct"/>
            <w:tcBorders>
              <w:tl2br w:val="nil"/>
              <w:tr2bl w:val="nil"/>
            </w:tcBorders>
            <w:noWrap w:val="0"/>
            <w:vAlign w:val="center"/>
          </w:tcPr>
          <w:p>
            <w:pPr>
              <w:pStyle w:val="35"/>
              <w:bidi w:val="0"/>
              <w:jc w:val="center"/>
              <w:rPr>
                <w:rFonts w:hint="eastAsia"/>
                <w:color w:val="auto"/>
                <w:u w:val="none"/>
              </w:rPr>
            </w:pPr>
            <w:r>
              <w:rPr>
                <w:rFonts w:hint="eastAsia"/>
                <w:color w:val="auto"/>
                <w:u w:val="none"/>
                <w:lang w:val="en-US" w:eastAsia="zh-CN"/>
              </w:rPr>
              <w:t>2层框架式结构甲类仓库，占地面积564.8m</w:t>
            </w:r>
            <w:r>
              <w:rPr>
                <w:rFonts w:hint="eastAsia"/>
                <w:color w:val="auto"/>
                <w:u w:val="none"/>
                <w:vertAlign w:val="superscript"/>
                <w:lang w:val="en-US" w:eastAsia="zh-CN"/>
              </w:rPr>
              <w:t>2</w:t>
            </w:r>
            <w:r>
              <w:rPr>
                <w:rFonts w:hint="eastAsia"/>
                <w:color w:val="auto"/>
                <w:u w:val="none"/>
                <w:lang w:val="en-US" w:eastAsia="zh-CN"/>
              </w:rPr>
              <w:t>，建筑面积1129.6m</w:t>
            </w:r>
            <w:r>
              <w:rPr>
                <w:rFonts w:hint="eastAsia"/>
                <w:color w:val="auto"/>
                <w:u w:val="none"/>
                <w:vertAlign w:val="superscript"/>
                <w:lang w:val="en-US" w:eastAsia="zh-CN"/>
              </w:rPr>
              <w:t>2</w:t>
            </w:r>
          </w:p>
        </w:tc>
        <w:tc>
          <w:tcPr>
            <w:tcW w:w="896" w:type="pct"/>
            <w:tcBorders>
              <w:tl2br w:val="nil"/>
              <w:tr2bl w:val="nil"/>
            </w:tcBorders>
            <w:noWrap w:val="0"/>
            <w:vAlign w:val="center"/>
          </w:tcPr>
          <w:p>
            <w:pPr>
              <w:pStyle w:val="35"/>
              <w:bidi w:val="0"/>
              <w:jc w:val="center"/>
              <w:rPr>
                <w:rFonts w:hint="eastAsia"/>
                <w:color w:val="auto"/>
                <w:u w:val="none"/>
              </w:rPr>
            </w:pPr>
            <w:r>
              <w:rPr>
                <w:rFonts w:hint="eastAsia"/>
                <w:color w:val="auto"/>
                <w:u w:val="none"/>
                <w:lang w:val="en-US" w:eastAsia="zh-CN"/>
              </w:rPr>
              <w:t>二期在建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48"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color w:val="auto"/>
                <w:u w:val="none"/>
              </w:rPr>
            </w:pPr>
            <w:r>
              <w:rPr>
                <w:color w:val="auto"/>
                <w:u w:val="none"/>
              </w:rPr>
              <w:t>装卸区</w:t>
            </w:r>
          </w:p>
        </w:tc>
        <w:tc>
          <w:tcPr>
            <w:tcW w:w="2676" w:type="pct"/>
            <w:tcBorders>
              <w:tl2br w:val="nil"/>
              <w:tr2bl w:val="nil"/>
            </w:tcBorders>
            <w:noWrap w:val="0"/>
            <w:vAlign w:val="center"/>
          </w:tcPr>
          <w:p>
            <w:pPr>
              <w:pStyle w:val="35"/>
              <w:bidi w:val="0"/>
              <w:jc w:val="center"/>
              <w:rPr>
                <w:color w:val="auto"/>
                <w:u w:val="none"/>
              </w:rPr>
            </w:pPr>
            <w:r>
              <w:rPr>
                <w:rFonts w:hint="eastAsia"/>
                <w:color w:val="auto"/>
                <w:u w:val="none"/>
              </w:rPr>
              <w:t>装卸站台，占地面积</w:t>
            </w:r>
            <w:r>
              <w:rPr>
                <w:color w:val="auto"/>
                <w:u w:val="none"/>
              </w:rPr>
              <w:t>389.5m</w:t>
            </w:r>
            <w:r>
              <w:rPr>
                <w:color w:val="auto"/>
                <w:u w:val="none"/>
                <w:vertAlign w:val="superscript"/>
              </w:rPr>
              <w:t>2</w:t>
            </w:r>
          </w:p>
        </w:tc>
        <w:tc>
          <w:tcPr>
            <w:tcW w:w="896" w:type="pct"/>
            <w:tcBorders>
              <w:tl2br w:val="nil"/>
              <w:tr2bl w:val="nil"/>
            </w:tcBorders>
            <w:noWrap w:val="0"/>
            <w:vAlign w:val="center"/>
          </w:tcPr>
          <w:p>
            <w:pPr>
              <w:pStyle w:val="35"/>
              <w:bidi w:val="0"/>
              <w:jc w:val="center"/>
              <w:rPr>
                <w:color w:val="auto"/>
                <w:u w:val="none"/>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7" w:hRule="atLeast"/>
          <w:jc w:val="center"/>
        </w:trPr>
        <w:tc>
          <w:tcPr>
            <w:tcW w:w="438" w:type="pct"/>
            <w:vMerge w:val="restart"/>
            <w:tcBorders>
              <w:tl2br w:val="nil"/>
              <w:tr2bl w:val="nil"/>
            </w:tcBorders>
            <w:noWrap w:val="0"/>
            <w:vAlign w:val="center"/>
          </w:tcPr>
          <w:p>
            <w:pPr>
              <w:pStyle w:val="35"/>
              <w:bidi w:val="0"/>
              <w:jc w:val="center"/>
              <w:rPr>
                <w:color w:val="auto"/>
                <w:u w:val="none"/>
              </w:rPr>
            </w:pPr>
            <w:r>
              <w:rPr>
                <w:color w:val="auto"/>
                <w:u w:val="none"/>
              </w:rPr>
              <w:t>环保工程</w:t>
            </w:r>
          </w:p>
        </w:tc>
        <w:tc>
          <w:tcPr>
            <w:tcW w:w="989" w:type="pct"/>
            <w:vMerge w:val="restart"/>
            <w:tcBorders>
              <w:tl2br w:val="nil"/>
              <w:tr2bl w:val="nil"/>
            </w:tcBorders>
            <w:noWrap w:val="0"/>
            <w:vAlign w:val="center"/>
          </w:tcPr>
          <w:p>
            <w:pPr>
              <w:pStyle w:val="35"/>
              <w:bidi w:val="0"/>
              <w:jc w:val="center"/>
              <w:rPr>
                <w:color w:val="auto"/>
                <w:u w:val="none"/>
              </w:rPr>
            </w:pPr>
            <w:r>
              <w:rPr>
                <w:rFonts w:hint="eastAsia"/>
                <w:color w:val="auto"/>
                <w:u w:val="none"/>
              </w:rPr>
              <w:t>废气</w:t>
            </w:r>
          </w:p>
        </w:tc>
        <w:tc>
          <w:tcPr>
            <w:tcW w:w="2676" w:type="pct"/>
            <w:tcBorders>
              <w:tl2br w:val="nil"/>
              <w:tr2bl w:val="nil"/>
            </w:tcBorders>
            <w:noWrap w:val="0"/>
            <w:vAlign w:val="center"/>
          </w:tcPr>
          <w:p>
            <w:pPr>
              <w:pStyle w:val="4"/>
              <w:spacing w:line="360" w:lineRule="exact"/>
              <w:ind w:firstLine="0" w:firstLineChars="0"/>
              <w:jc w:val="center"/>
              <w:rPr>
                <w:color w:val="auto"/>
                <w:u w:val="none"/>
              </w:rPr>
            </w:pPr>
            <w:r>
              <w:rPr>
                <w:rFonts w:hint="eastAsia" w:ascii="Times New Roman" w:hAnsi="Times New Roman"/>
                <w:caps w:val="0"/>
                <w:smallCaps w:val="0"/>
                <w:color w:val="auto"/>
                <w:sz w:val="21"/>
                <w:szCs w:val="21"/>
                <w:u w:val="none"/>
                <w:lang w:eastAsia="zh-CN"/>
              </w:rPr>
              <w:t>二氯丙烷、固化剂生产线</w:t>
            </w:r>
            <w:r>
              <w:rPr>
                <w:rFonts w:hint="eastAsia" w:ascii="Times New Roman" w:hAnsi="Times New Roman"/>
                <w:caps w:val="0"/>
                <w:smallCaps w:val="0"/>
                <w:color w:val="auto"/>
                <w:sz w:val="21"/>
                <w:szCs w:val="21"/>
                <w:u w:val="none"/>
              </w:rPr>
              <w:t>：冷凝回收+碱液喷淋塔</w:t>
            </w:r>
            <w:r>
              <w:rPr>
                <w:rFonts w:hint="eastAsia" w:ascii="Times New Roman" w:hAnsi="Times New Roman"/>
                <w:caps w:val="0"/>
                <w:smallCaps w:val="0"/>
                <w:color w:val="auto"/>
                <w:sz w:val="21"/>
                <w:szCs w:val="21"/>
                <w:u w:val="none"/>
                <w:lang w:val="en-US" w:eastAsia="zh-CN"/>
              </w:rPr>
              <w:t>+</w:t>
            </w:r>
            <w:r>
              <w:rPr>
                <w:rFonts w:hint="eastAsia"/>
                <w:caps w:val="0"/>
                <w:smallCaps w:val="0"/>
                <w:color w:val="auto"/>
                <w:sz w:val="21"/>
                <w:szCs w:val="21"/>
                <w:u w:val="none"/>
                <w:lang w:val="en-US" w:eastAsia="zh-CN"/>
              </w:rPr>
              <w:t>碳吸收</w:t>
            </w:r>
            <w:r>
              <w:rPr>
                <w:rFonts w:hint="eastAsia" w:ascii="Times New Roman" w:hAnsi="Times New Roman"/>
                <w:caps w:val="0"/>
                <w:smallCaps w:val="0"/>
                <w:color w:val="auto"/>
                <w:sz w:val="21"/>
                <w:szCs w:val="21"/>
                <w:u w:val="none"/>
              </w:rPr>
              <w:t>装置</w:t>
            </w:r>
          </w:p>
        </w:tc>
        <w:tc>
          <w:tcPr>
            <w:tcW w:w="896" w:type="pct"/>
            <w:tcBorders>
              <w:tl2br w:val="nil"/>
              <w:tr2bl w:val="nil"/>
            </w:tcBorders>
            <w:noWrap w:val="0"/>
            <w:vAlign w:val="center"/>
          </w:tcPr>
          <w:p>
            <w:pPr>
              <w:pStyle w:val="4"/>
              <w:spacing w:line="360" w:lineRule="exact"/>
              <w:ind w:firstLine="0" w:firstLineChars="0"/>
              <w:jc w:val="center"/>
              <w:rPr>
                <w:color w:val="auto"/>
                <w:sz w:val="21"/>
                <w:szCs w:val="21"/>
                <w:u w:val="none"/>
              </w:rPr>
            </w:pPr>
            <w:r>
              <w:rPr>
                <w:rFonts w:hint="eastAsia"/>
                <w:color w:val="auto"/>
                <w:sz w:val="21"/>
                <w:szCs w:val="21"/>
                <w:u w:val="none"/>
                <w:lang w:val="en-US" w:eastAsia="zh-CN"/>
              </w:rPr>
              <w:t>二期改造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7"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vMerge w:val="continue"/>
            <w:tcBorders>
              <w:tl2br w:val="nil"/>
              <w:tr2bl w:val="nil"/>
            </w:tcBorders>
            <w:noWrap w:val="0"/>
            <w:vAlign w:val="center"/>
          </w:tcPr>
          <w:p>
            <w:pPr>
              <w:pStyle w:val="35"/>
              <w:bidi w:val="0"/>
              <w:jc w:val="center"/>
              <w:rPr>
                <w:color w:val="auto"/>
                <w:u w:val="none"/>
              </w:rPr>
            </w:pPr>
          </w:p>
        </w:tc>
        <w:tc>
          <w:tcPr>
            <w:tcW w:w="2676" w:type="pct"/>
            <w:tcBorders>
              <w:tl2br w:val="nil"/>
              <w:tr2bl w:val="nil"/>
            </w:tcBorders>
            <w:noWrap w:val="0"/>
            <w:vAlign w:val="center"/>
          </w:tcPr>
          <w:p>
            <w:pPr>
              <w:pStyle w:val="4"/>
              <w:spacing w:line="360" w:lineRule="exact"/>
              <w:ind w:firstLine="0" w:firstLineChars="0"/>
              <w:jc w:val="center"/>
              <w:rPr>
                <w:rFonts w:hint="eastAsia"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研磨</w:t>
            </w:r>
            <w:r>
              <w:rPr>
                <w:rFonts w:hint="eastAsia" w:ascii="Times New Roman" w:hAnsi="Times New Roman"/>
                <w:caps w:val="0"/>
                <w:smallCaps w:val="0"/>
                <w:color w:val="auto"/>
                <w:sz w:val="21"/>
                <w:szCs w:val="21"/>
                <w:u w:val="none"/>
                <w:lang w:eastAsia="zh-CN"/>
              </w:rPr>
              <w:t>工序</w:t>
            </w:r>
            <w:r>
              <w:rPr>
                <w:rFonts w:hint="eastAsia" w:ascii="Times New Roman" w:hAnsi="Times New Roman"/>
                <w:caps w:val="0"/>
                <w:smallCaps w:val="0"/>
                <w:color w:val="auto"/>
                <w:sz w:val="21"/>
                <w:szCs w:val="21"/>
                <w:u w:val="none"/>
              </w:rPr>
              <w:t>：袋式除尘器</w:t>
            </w:r>
          </w:p>
        </w:tc>
        <w:tc>
          <w:tcPr>
            <w:tcW w:w="896" w:type="pct"/>
            <w:tcBorders>
              <w:tl2br w:val="nil"/>
              <w:tr2bl w:val="nil"/>
            </w:tcBorders>
            <w:noWrap w:val="0"/>
            <w:vAlign w:val="center"/>
          </w:tcPr>
          <w:p>
            <w:pPr>
              <w:pStyle w:val="4"/>
              <w:spacing w:line="360" w:lineRule="exact"/>
              <w:ind w:firstLine="0" w:firstLineChars="0"/>
              <w:jc w:val="center"/>
              <w:rPr>
                <w:rFonts w:hint="eastAsia" w:ascii="Times New Roman" w:hAnsi="Times New Roman" w:eastAsia="宋体" w:cs="Times New Roman"/>
                <w:color w:val="auto"/>
                <w:kern w:val="2"/>
                <w:sz w:val="21"/>
                <w:szCs w:val="20"/>
                <w:u w:val="none"/>
                <w:lang w:val="en-US" w:eastAsia="zh-CN" w:bidi="ar-SA"/>
              </w:rPr>
            </w:pPr>
            <w:r>
              <w:rPr>
                <w:rFonts w:hint="eastAsia" w:ascii="Times New Roman" w:hAnsi="Times New Roman" w:eastAsia="宋体" w:cs="Times New Roman"/>
                <w:color w:val="auto"/>
                <w:kern w:val="2"/>
                <w:sz w:val="21"/>
                <w:szCs w:val="20"/>
                <w:u w:val="none"/>
                <w:lang w:val="en-US" w:eastAsia="zh-CN" w:bidi="ar-SA"/>
              </w:rPr>
              <w:t>二期在建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7"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vMerge w:val="continue"/>
            <w:tcBorders>
              <w:tl2br w:val="nil"/>
              <w:tr2bl w:val="nil"/>
            </w:tcBorders>
            <w:noWrap w:val="0"/>
            <w:vAlign w:val="center"/>
          </w:tcPr>
          <w:p>
            <w:pPr>
              <w:pStyle w:val="35"/>
              <w:bidi w:val="0"/>
              <w:jc w:val="center"/>
              <w:rPr>
                <w:color w:val="auto"/>
                <w:u w:val="none"/>
              </w:rPr>
            </w:pPr>
          </w:p>
        </w:tc>
        <w:tc>
          <w:tcPr>
            <w:tcW w:w="2676" w:type="pct"/>
            <w:tcBorders>
              <w:tl2br w:val="nil"/>
              <w:tr2bl w:val="nil"/>
            </w:tcBorders>
            <w:noWrap w:val="0"/>
            <w:vAlign w:val="center"/>
          </w:tcPr>
          <w:p>
            <w:pPr>
              <w:pStyle w:val="4"/>
              <w:spacing w:line="360" w:lineRule="exact"/>
              <w:ind w:firstLine="0" w:firstLineChars="0"/>
              <w:jc w:val="center"/>
              <w:rPr>
                <w:color w:val="auto"/>
                <w:u w:val="none"/>
              </w:rPr>
            </w:pPr>
            <w:r>
              <w:rPr>
                <w:rFonts w:hint="eastAsia" w:ascii="Times New Roman" w:hAnsi="Times New Roman"/>
                <w:caps w:val="0"/>
                <w:smallCaps w:val="0"/>
                <w:color w:val="auto"/>
                <w:sz w:val="21"/>
                <w:szCs w:val="21"/>
                <w:u w:val="none"/>
                <w:lang w:eastAsia="zh-CN"/>
              </w:rPr>
              <w:t>涂料助剂及环氧地坪涂料生产线</w:t>
            </w:r>
            <w:r>
              <w:rPr>
                <w:rFonts w:hint="eastAsia" w:ascii="Times New Roman" w:hAnsi="Times New Roman"/>
                <w:caps w:val="0"/>
                <w:smallCaps w:val="0"/>
                <w:color w:val="auto"/>
                <w:sz w:val="21"/>
                <w:szCs w:val="21"/>
                <w:u w:val="none"/>
              </w:rPr>
              <w:t>：</w:t>
            </w:r>
            <w:r>
              <w:rPr>
                <w:rFonts w:hint="eastAsia" w:ascii="Times New Roman" w:hAnsi="Times New Roman"/>
                <w:caps w:val="0"/>
                <w:smallCaps w:val="0"/>
                <w:color w:val="auto"/>
                <w:sz w:val="21"/>
                <w:szCs w:val="21"/>
                <w:u w:val="none"/>
                <w:lang w:eastAsia="zh-CN"/>
              </w:rPr>
              <w:t>冷凝</w:t>
            </w:r>
            <w:r>
              <w:rPr>
                <w:rFonts w:hint="eastAsia" w:ascii="Times New Roman" w:hAnsi="Times New Roman"/>
                <w:caps w:val="0"/>
                <w:smallCaps w:val="0"/>
                <w:color w:val="auto"/>
                <w:sz w:val="21"/>
                <w:szCs w:val="21"/>
                <w:u w:val="none"/>
                <w:lang w:val="en-US" w:eastAsia="zh-CN"/>
              </w:rPr>
              <w:t>+</w:t>
            </w:r>
            <w:r>
              <w:rPr>
                <w:rFonts w:hint="eastAsia" w:ascii="Times New Roman" w:hAnsi="Times New Roman"/>
                <w:caps w:val="0"/>
                <w:smallCaps w:val="0"/>
                <w:color w:val="auto"/>
                <w:sz w:val="21"/>
                <w:szCs w:val="21"/>
                <w:u w:val="none"/>
              </w:rPr>
              <w:t>UV光解装置</w:t>
            </w:r>
          </w:p>
        </w:tc>
        <w:tc>
          <w:tcPr>
            <w:tcW w:w="896" w:type="pct"/>
            <w:tcBorders>
              <w:tl2br w:val="nil"/>
              <w:tr2bl w:val="nil"/>
            </w:tcBorders>
            <w:noWrap w:val="0"/>
            <w:vAlign w:val="center"/>
          </w:tcPr>
          <w:p>
            <w:pPr>
              <w:pStyle w:val="4"/>
              <w:spacing w:line="360" w:lineRule="exact"/>
              <w:ind w:firstLine="0" w:firstLineChars="0"/>
              <w:jc w:val="center"/>
              <w:rPr>
                <w:rFonts w:hint="eastAsia" w:ascii="Times New Roman" w:hAnsi="Times New Roman" w:eastAsia="宋体" w:cs="Times New Roman"/>
                <w:color w:val="auto"/>
                <w:kern w:val="2"/>
                <w:sz w:val="21"/>
                <w:szCs w:val="20"/>
                <w:u w:val="none"/>
                <w:lang w:val="en-US" w:eastAsia="zh-CN" w:bidi="ar-SA"/>
              </w:rPr>
            </w:pPr>
            <w:r>
              <w:rPr>
                <w:rFonts w:hint="eastAsia" w:ascii="Times New Roman" w:hAnsi="Times New Roman" w:eastAsia="宋体" w:cs="Times New Roman"/>
                <w:color w:val="auto"/>
                <w:kern w:val="2"/>
                <w:sz w:val="21"/>
                <w:szCs w:val="20"/>
                <w:u w:val="none"/>
                <w:lang w:val="en-US" w:eastAsia="zh-CN" w:bidi="ar-SA"/>
              </w:rPr>
              <w:t>二期在建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48"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color w:val="auto"/>
                <w:u w:val="none"/>
              </w:rPr>
            </w:pPr>
            <w:r>
              <w:rPr>
                <w:rFonts w:hint="eastAsia"/>
                <w:color w:val="auto"/>
                <w:u w:val="none"/>
              </w:rPr>
              <w:t>废水</w:t>
            </w:r>
          </w:p>
        </w:tc>
        <w:tc>
          <w:tcPr>
            <w:tcW w:w="2676" w:type="pct"/>
            <w:tcBorders>
              <w:tl2br w:val="nil"/>
              <w:tr2bl w:val="nil"/>
            </w:tcBorders>
            <w:noWrap w:val="0"/>
            <w:vAlign w:val="center"/>
          </w:tcPr>
          <w:p>
            <w:pPr>
              <w:pStyle w:val="35"/>
              <w:bidi w:val="0"/>
              <w:jc w:val="center"/>
              <w:rPr>
                <w:color w:val="auto"/>
                <w:u w:val="none"/>
              </w:rPr>
            </w:pPr>
            <w:r>
              <w:rPr>
                <w:rFonts w:hint="eastAsia"/>
                <w:color w:val="auto"/>
                <w:u w:val="none"/>
                <w:lang w:eastAsia="zh-CN"/>
              </w:rPr>
              <w:t>防渗</w:t>
            </w:r>
            <w:r>
              <w:rPr>
                <w:color w:val="auto"/>
                <w:u w:val="none"/>
              </w:rPr>
              <w:t>污水</w:t>
            </w:r>
            <w:r>
              <w:rPr>
                <w:rFonts w:hint="eastAsia"/>
                <w:color w:val="auto"/>
                <w:u w:val="none"/>
                <w:lang w:eastAsia="zh-CN"/>
              </w:rPr>
              <w:t>处理</w:t>
            </w:r>
            <w:r>
              <w:rPr>
                <w:color w:val="auto"/>
                <w:u w:val="none"/>
              </w:rPr>
              <w:t>池</w:t>
            </w:r>
            <w:r>
              <w:rPr>
                <w:rFonts w:hint="eastAsia"/>
                <w:color w:val="auto"/>
                <w:u w:val="none"/>
              </w:rPr>
              <w:t>：占地面积40</w:t>
            </w:r>
            <w:r>
              <w:rPr>
                <w:color w:val="auto"/>
                <w:u w:val="none"/>
              </w:rPr>
              <w:t>m</w:t>
            </w:r>
            <w:r>
              <w:rPr>
                <w:rFonts w:hint="eastAsia"/>
                <w:color w:val="auto"/>
                <w:u w:val="none"/>
                <w:vertAlign w:val="superscript"/>
                <w:lang w:val="en-US" w:eastAsia="zh-CN"/>
              </w:rPr>
              <w:t>2</w:t>
            </w:r>
            <w:r>
              <w:rPr>
                <w:rFonts w:hint="eastAsia"/>
                <w:color w:val="auto"/>
                <w:u w:val="none"/>
              </w:rPr>
              <w:t>，容积60</w:t>
            </w:r>
            <w:r>
              <w:rPr>
                <w:color w:val="auto"/>
                <w:u w:val="none"/>
              </w:rPr>
              <w:t>m</w:t>
            </w:r>
            <w:r>
              <w:rPr>
                <w:color w:val="auto"/>
                <w:u w:val="none"/>
                <w:vertAlign w:val="superscript"/>
              </w:rPr>
              <w:t>3</w:t>
            </w:r>
          </w:p>
        </w:tc>
        <w:tc>
          <w:tcPr>
            <w:tcW w:w="896" w:type="pct"/>
            <w:tcBorders>
              <w:tl2br w:val="nil"/>
              <w:tr2bl w:val="nil"/>
            </w:tcBorders>
            <w:noWrap w:val="0"/>
            <w:vAlign w:val="center"/>
          </w:tcPr>
          <w:p>
            <w:pPr>
              <w:pStyle w:val="35"/>
              <w:bidi w:val="0"/>
              <w:jc w:val="center"/>
              <w:rPr>
                <w:color w:val="auto"/>
                <w:sz w:val="21"/>
                <w:szCs w:val="21"/>
                <w:u w:val="none"/>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5"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color w:val="auto"/>
                <w:u w:val="none"/>
              </w:rPr>
            </w:pPr>
            <w:r>
              <w:rPr>
                <w:rFonts w:hint="eastAsia"/>
                <w:color w:val="auto"/>
                <w:u w:val="none"/>
              </w:rPr>
              <w:t>固废</w:t>
            </w:r>
          </w:p>
        </w:tc>
        <w:tc>
          <w:tcPr>
            <w:tcW w:w="2676" w:type="pct"/>
            <w:tcBorders>
              <w:tl2br w:val="nil"/>
              <w:tr2bl w:val="nil"/>
            </w:tcBorders>
            <w:noWrap w:val="0"/>
            <w:vAlign w:val="center"/>
          </w:tcPr>
          <w:p>
            <w:pPr>
              <w:pStyle w:val="35"/>
              <w:bidi w:val="0"/>
              <w:jc w:val="center"/>
              <w:rPr>
                <w:color w:val="auto"/>
                <w:u w:val="none"/>
              </w:rPr>
            </w:pPr>
            <w:r>
              <w:rPr>
                <w:rFonts w:hint="eastAsia"/>
                <w:color w:val="auto"/>
                <w:u w:val="none"/>
              </w:rPr>
              <w:t>危险废物暂存间1</w:t>
            </w:r>
            <w:r>
              <w:rPr>
                <w:rFonts w:hint="eastAsia"/>
                <w:color w:val="auto"/>
                <w:u w:val="none"/>
                <w:lang w:val="en-US" w:eastAsia="zh-CN"/>
              </w:rPr>
              <w:t>5</w:t>
            </w:r>
            <w:r>
              <w:rPr>
                <w:rFonts w:hint="eastAsia"/>
                <w:color w:val="auto"/>
                <w:u w:val="none"/>
              </w:rPr>
              <w:t>4.5</w:t>
            </w:r>
            <w:r>
              <w:rPr>
                <w:color w:val="auto"/>
                <w:u w:val="none"/>
              </w:rPr>
              <w:t>m</w:t>
            </w:r>
            <w:r>
              <w:rPr>
                <w:color w:val="auto"/>
                <w:u w:val="none"/>
                <w:vertAlign w:val="superscript"/>
              </w:rPr>
              <w:t>2</w:t>
            </w:r>
            <w:r>
              <w:rPr>
                <w:rFonts w:hint="eastAsia"/>
                <w:color w:val="auto"/>
                <w:u w:val="none"/>
              </w:rPr>
              <w:t>，位于厂区东北部生产辅助用房内，采取了有效防风、防雨、防渗措施</w:t>
            </w:r>
          </w:p>
        </w:tc>
        <w:tc>
          <w:tcPr>
            <w:tcW w:w="896" w:type="pct"/>
            <w:tcBorders>
              <w:tl2br w:val="nil"/>
              <w:tr2bl w:val="nil"/>
            </w:tcBorders>
            <w:noWrap w:val="0"/>
            <w:vAlign w:val="center"/>
          </w:tcPr>
          <w:p>
            <w:pPr>
              <w:pStyle w:val="35"/>
              <w:bidi w:val="0"/>
              <w:jc w:val="center"/>
              <w:rPr>
                <w:color w:val="auto"/>
                <w:sz w:val="21"/>
                <w:szCs w:val="21"/>
                <w:u w:val="none"/>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25"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color w:val="auto"/>
                <w:u w:val="none"/>
              </w:rPr>
            </w:pPr>
            <w:r>
              <w:rPr>
                <w:rFonts w:hint="eastAsia"/>
                <w:color w:val="auto"/>
                <w:u w:val="none"/>
              </w:rPr>
              <w:t>噪声</w:t>
            </w:r>
          </w:p>
        </w:tc>
        <w:tc>
          <w:tcPr>
            <w:tcW w:w="2676" w:type="pct"/>
            <w:tcBorders>
              <w:tl2br w:val="nil"/>
              <w:tr2bl w:val="nil"/>
            </w:tcBorders>
            <w:noWrap w:val="0"/>
            <w:vAlign w:val="center"/>
          </w:tcPr>
          <w:p>
            <w:pPr>
              <w:pStyle w:val="35"/>
              <w:bidi w:val="0"/>
              <w:jc w:val="center"/>
              <w:rPr>
                <w:color w:val="auto"/>
                <w:u w:val="none"/>
              </w:rPr>
            </w:pPr>
            <w:r>
              <w:rPr>
                <w:rFonts w:hint="eastAsia"/>
                <w:color w:val="auto"/>
                <w:u w:val="none"/>
              </w:rPr>
              <w:t>隔声、消声、减震</w:t>
            </w:r>
          </w:p>
        </w:tc>
        <w:tc>
          <w:tcPr>
            <w:tcW w:w="896" w:type="pct"/>
            <w:tcBorders>
              <w:tl2br w:val="nil"/>
              <w:tr2bl w:val="nil"/>
            </w:tcBorders>
            <w:noWrap w:val="0"/>
            <w:vAlign w:val="center"/>
          </w:tcPr>
          <w:p>
            <w:pPr>
              <w:pStyle w:val="35"/>
              <w:bidi w:val="0"/>
              <w:jc w:val="center"/>
              <w:rPr>
                <w:color w:val="auto"/>
                <w:sz w:val="21"/>
                <w:szCs w:val="21"/>
                <w:u w:val="none"/>
              </w:rPr>
            </w:pPr>
            <w:r>
              <w:rPr>
                <w:rFonts w:hint="eastAsia"/>
                <w:color w:val="auto"/>
                <w:u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48" w:hRule="atLeast"/>
          <w:jc w:val="center"/>
        </w:trPr>
        <w:tc>
          <w:tcPr>
            <w:tcW w:w="438" w:type="pct"/>
            <w:vMerge w:val="continue"/>
            <w:tcBorders>
              <w:tl2br w:val="nil"/>
              <w:tr2bl w:val="nil"/>
            </w:tcBorders>
            <w:noWrap w:val="0"/>
            <w:vAlign w:val="center"/>
          </w:tcPr>
          <w:p>
            <w:pPr>
              <w:pStyle w:val="35"/>
              <w:bidi w:val="0"/>
              <w:jc w:val="center"/>
              <w:rPr>
                <w:color w:val="auto"/>
                <w:u w:val="none"/>
              </w:rPr>
            </w:pPr>
          </w:p>
        </w:tc>
        <w:tc>
          <w:tcPr>
            <w:tcW w:w="989" w:type="pct"/>
            <w:tcBorders>
              <w:tl2br w:val="nil"/>
              <w:tr2bl w:val="nil"/>
            </w:tcBorders>
            <w:noWrap w:val="0"/>
            <w:vAlign w:val="center"/>
          </w:tcPr>
          <w:p>
            <w:pPr>
              <w:pStyle w:val="35"/>
              <w:bidi w:val="0"/>
              <w:jc w:val="center"/>
              <w:rPr>
                <w:color w:val="auto"/>
                <w:u w:val="none"/>
              </w:rPr>
            </w:pPr>
            <w:r>
              <w:rPr>
                <w:rFonts w:hint="eastAsia"/>
                <w:color w:val="auto"/>
                <w:u w:val="none"/>
              </w:rPr>
              <w:t>风险</w:t>
            </w:r>
          </w:p>
        </w:tc>
        <w:tc>
          <w:tcPr>
            <w:tcW w:w="2676" w:type="pct"/>
            <w:tcBorders>
              <w:tl2br w:val="nil"/>
              <w:tr2bl w:val="nil"/>
            </w:tcBorders>
            <w:noWrap w:val="0"/>
            <w:vAlign w:val="center"/>
          </w:tcPr>
          <w:p>
            <w:pPr>
              <w:pStyle w:val="35"/>
              <w:bidi w:val="0"/>
              <w:jc w:val="center"/>
              <w:rPr>
                <w:color w:val="auto"/>
                <w:u w:val="none"/>
              </w:rPr>
            </w:pPr>
            <w:r>
              <w:rPr>
                <w:color w:val="auto"/>
                <w:u w:val="none"/>
              </w:rPr>
              <w:t>事故池</w:t>
            </w:r>
            <w:r>
              <w:rPr>
                <w:rFonts w:hint="eastAsia"/>
                <w:color w:val="auto"/>
                <w:u w:val="none"/>
                <w:lang w:val="en-US" w:eastAsia="zh-CN"/>
              </w:rPr>
              <w:t>一个，</w:t>
            </w:r>
            <w:r>
              <w:rPr>
                <w:rFonts w:hint="eastAsia"/>
                <w:color w:val="auto"/>
                <w:u w:val="none"/>
              </w:rPr>
              <w:t>容积</w:t>
            </w:r>
            <w:r>
              <w:rPr>
                <w:color w:val="auto"/>
                <w:u w:val="none"/>
              </w:rPr>
              <w:t>450m</w:t>
            </w:r>
            <w:r>
              <w:rPr>
                <w:color w:val="auto"/>
                <w:u w:val="none"/>
                <w:vertAlign w:val="superscript"/>
              </w:rPr>
              <w:t>3</w:t>
            </w:r>
          </w:p>
        </w:tc>
        <w:tc>
          <w:tcPr>
            <w:tcW w:w="896" w:type="pct"/>
            <w:tcBorders>
              <w:tl2br w:val="nil"/>
              <w:tr2bl w:val="nil"/>
            </w:tcBorders>
            <w:noWrap w:val="0"/>
            <w:vAlign w:val="center"/>
          </w:tcPr>
          <w:p>
            <w:pPr>
              <w:pStyle w:val="35"/>
              <w:bidi w:val="0"/>
              <w:jc w:val="center"/>
              <w:rPr>
                <w:color w:val="auto"/>
                <w:sz w:val="21"/>
                <w:szCs w:val="21"/>
                <w:u w:val="none"/>
              </w:rPr>
            </w:pPr>
            <w:r>
              <w:rPr>
                <w:rFonts w:hint="eastAsia"/>
                <w:color w:val="auto"/>
                <w:u w:val="none"/>
                <w:lang w:val="en-US" w:eastAsia="zh-CN"/>
              </w:rPr>
              <w:t>已建</w:t>
            </w:r>
          </w:p>
        </w:tc>
      </w:tr>
    </w:tbl>
    <w:p>
      <w:pPr>
        <w:pStyle w:val="32"/>
        <w:bidi w:val="0"/>
        <w:rPr>
          <w:color w:val="auto"/>
          <w:lang w:val="de-DE"/>
        </w:rPr>
      </w:pPr>
      <w:bookmarkStart w:id="41" w:name="_Toc30819"/>
      <w:r>
        <w:rPr>
          <w:rFonts w:hint="eastAsia"/>
          <w:color w:val="auto"/>
          <w:lang w:val="en-US" w:eastAsia="zh-CN"/>
        </w:rPr>
        <w:t>3</w:t>
      </w:r>
      <w:r>
        <w:rPr>
          <w:color w:val="auto"/>
          <w:lang w:val="de-DE"/>
        </w:rPr>
        <w:t>.1.</w:t>
      </w:r>
      <w:r>
        <w:rPr>
          <w:rFonts w:hint="eastAsia"/>
          <w:color w:val="auto"/>
          <w:lang w:val="de-DE"/>
        </w:rPr>
        <w:t>3</w:t>
      </w:r>
      <w:r>
        <w:rPr>
          <w:color w:val="auto"/>
          <w:lang w:val="de-DE"/>
        </w:rPr>
        <w:t>现有工程</w:t>
      </w:r>
      <w:r>
        <w:rPr>
          <w:rFonts w:hint="eastAsia"/>
          <w:color w:val="auto"/>
          <w:lang w:val="de-DE"/>
        </w:rPr>
        <w:t>产品方案</w:t>
      </w:r>
      <w:bookmarkEnd w:id="41"/>
    </w:p>
    <w:p>
      <w:pPr>
        <w:pStyle w:val="33"/>
        <w:bidi w:val="0"/>
        <w:rPr>
          <w:rFonts w:hint="default"/>
          <w:color w:val="auto"/>
          <w:lang w:val="en-US" w:eastAsia="zh-CN"/>
        </w:rPr>
      </w:pPr>
      <w:r>
        <w:rPr>
          <w:rFonts w:hint="eastAsia"/>
          <w:color w:val="auto"/>
        </w:rPr>
        <w:t>现有工程主要生产产品见表</w:t>
      </w:r>
      <w:r>
        <w:rPr>
          <w:rFonts w:hint="eastAsia"/>
          <w:color w:val="auto"/>
          <w:lang w:val="en-US" w:eastAsia="zh-CN"/>
        </w:rPr>
        <w:t>3</w:t>
      </w:r>
      <w:r>
        <w:rPr>
          <w:rFonts w:hint="eastAsia"/>
          <w:color w:val="auto"/>
        </w:rPr>
        <w:t>.1-</w:t>
      </w:r>
      <w:r>
        <w:rPr>
          <w:rFonts w:hint="eastAsia"/>
          <w:color w:val="auto"/>
          <w:lang w:val="en-US" w:eastAsia="zh-CN"/>
        </w:rPr>
        <w:t>3</w:t>
      </w:r>
      <w:r>
        <w:rPr>
          <w:rFonts w:hint="eastAsia"/>
          <w:color w:val="auto"/>
        </w:rPr>
        <w:t>。</w:t>
      </w:r>
    </w:p>
    <w:p>
      <w:pPr>
        <w:pStyle w:val="36"/>
        <w:bidi w:val="0"/>
        <w:rPr>
          <w:rFonts w:hint="eastAsia"/>
          <w:color w:val="auto"/>
        </w:rPr>
      </w:pPr>
      <w:r>
        <w:rPr>
          <w:rFonts w:hint="eastAsia"/>
          <w:color w:val="auto"/>
          <w:lang w:val="en-US" w:eastAsia="zh-CN"/>
        </w:rPr>
        <w:t>表3.1-3  现有产品方案</w:t>
      </w:r>
      <w:r>
        <w:rPr>
          <w:color w:val="auto"/>
        </w:rPr>
        <w:t>品方案</w:t>
      </w:r>
      <w:r>
        <w:rPr>
          <w:rFonts w:hint="eastAsia"/>
          <w:color w:val="auto"/>
        </w:rPr>
        <w:t>一览</w:t>
      </w:r>
      <w:r>
        <w:rPr>
          <w:color w:val="auto"/>
        </w:rPr>
        <w:t>表</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2270"/>
        <w:gridCol w:w="1537"/>
        <w:gridCol w:w="1351"/>
        <w:gridCol w:w="1663"/>
        <w:gridCol w:w="19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3" w:hRule="atLeast"/>
          <w:tblHeader/>
          <w:jc w:val="center"/>
        </w:trPr>
        <w:tc>
          <w:tcPr>
            <w:tcW w:w="372" w:type="pct"/>
            <w:vMerge w:val="restart"/>
            <w:tcBorders>
              <w:tl2br w:val="nil"/>
              <w:tr2bl w:val="nil"/>
            </w:tcBorders>
            <w:noWrap w:val="0"/>
            <w:vAlign w:val="center"/>
          </w:tcPr>
          <w:p>
            <w:pPr>
              <w:spacing w:line="360" w:lineRule="exact"/>
              <w:jc w:val="center"/>
              <w:rPr>
                <w:rFonts w:hint="eastAsia" w:ascii="Times New Roman" w:hAnsi="Times New Roman" w:eastAsia="宋体"/>
                <w:b/>
                <w:caps w:val="0"/>
                <w:smallCaps w:val="0"/>
                <w:color w:val="auto"/>
                <w:szCs w:val="21"/>
                <w:lang w:eastAsia="zh-CN"/>
              </w:rPr>
            </w:pPr>
            <w:r>
              <w:rPr>
                <w:rFonts w:hint="eastAsia" w:ascii="Times New Roman" w:hAnsi="Times New Roman"/>
                <w:b/>
                <w:caps w:val="0"/>
                <w:smallCaps w:val="0"/>
                <w:color w:val="auto"/>
                <w:szCs w:val="21"/>
                <w:lang w:eastAsia="zh-CN"/>
              </w:rPr>
              <w:t>序号</w:t>
            </w:r>
          </w:p>
        </w:tc>
        <w:tc>
          <w:tcPr>
            <w:tcW w:w="1193" w:type="pct"/>
            <w:vMerge w:val="restart"/>
            <w:tcBorders>
              <w:tl2br w:val="nil"/>
              <w:tr2bl w:val="nil"/>
            </w:tcBorders>
            <w:noWrap w:val="0"/>
            <w:vAlign w:val="center"/>
          </w:tcPr>
          <w:p>
            <w:pPr>
              <w:spacing w:line="360" w:lineRule="exact"/>
              <w:jc w:val="center"/>
              <w:rPr>
                <w:rFonts w:ascii="Times New Roman" w:hAnsi="Times New Roman"/>
                <w:b/>
                <w:caps w:val="0"/>
                <w:smallCaps w:val="0"/>
                <w:color w:val="auto"/>
                <w:szCs w:val="21"/>
              </w:rPr>
            </w:pPr>
            <w:r>
              <w:rPr>
                <w:rFonts w:ascii="Times New Roman" w:hAnsi="Times New Roman"/>
                <w:b/>
                <w:caps w:val="0"/>
                <w:smallCaps w:val="0"/>
                <w:color w:val="auto"/>
                <w:szCs w:val="21"/>
              </w:rPr>
              <w:t>名 称</w:t>
            </w:r>
          </w:p>
        </w:tc>
        <w:tc>
          <w:tcPr>
            <w:tcW w:w="2392" w:type="pct"/>
            <w:gridSpan w:val="3"/>
            <w:tcBorders>
              <w:tl2br w:val="nil"/>
              <w:tr2bl w:val="nil"/>
            </w:tcBorders>
            <w:noWrap w:val="0"/>
            <w:vAlign w:val="center"/>
          </w:tcPr>
          <w:p>
            <w:pPr>
              <w:spacing w:line="360" w:lineRule="exact"/>
              <w:jc w:val="center"/>
              <w:rPr>
                <w:rFonts w:ascii="Times New Roman" w:hAnsi="Times New Roman"/>
                <w:b/>
                <w:caps w:val="0"/>
                <w:smallCaps w:val="0"/>
                <w:color w:val="auto"/>
                <w:szCs w:val="21"/>
              </w:rPr>
            </w:pPr>
            <w:r>
              <w:rPr>
                <w:rFonts w:hint="eastAsia" w:ascii="Times New Roman" w:hAnsi="Times New Roman"/>
                <w:b/>
                <w:caps w:val="0"/>
                <w:smallCaps w:val="0"/>
                <w:color w:val="auto"/>
                <w:szCs w:val="21"/>
                <w:lang w:eastAsia="zh-CN"/>
              </w:rPr>
              <w:t>设计规模</w:t>
            </w:r>
            <w:r>
              <w:rPr>
                <w:rFonts w:hint="eastAsia" w:ascii="Times New Roman" w:hAnsi="Times New Roman"/>
                <w:b/>
                <w:caps w:val="0"/>
                <w:smallCaps w:val="0"/>
                <w:color w:val="auto"/>
                <w:szCs w:val="21"/>
              </w:rPr>
              <w:t>（</w:t>
            </w:r>
            <w:r>
              <w:rPr>
                <w:rFonts w:ascii="Times New Roman" w:hAnsi="Times New Roman"/>
                <w:b/>
                <w:caps w:val="0"/>
                <w:smallCaps w:val="0"/>
                <w:color w:val="auto"/>
                <w:szCs w:val="21"/>
              </w:rPr>
              <w:t>t/a</w:t>
            </w:r>
            <w:r>
              <w:rPr>
                <w:rFonts w:hint="eastAsia" w:ascii="Times New Roman" w:hAnsi="Times New Roman"/>
                <w:b/>
                <w:caps w:val="0"/>
                <w:smallCaps w:val="0"/>
                <w:color w:val="auto"/>
                <w:szCs w:val="21"/>
              </w:rPr>
              <w:t>）</w:t>
            </w:r>
          </w:p>
        </w:tc>
        <w:tc>
          <w:tcPr>
            <w:tcW w:w="1041" w:type="pct"/>
            <w:vMerge w:val="restart"/>
            <w:tcBorders>
              <w:tl2br w:val="nil"/>
              <w:tr2bl w:val="nil"/>
            </w:tcBorders>
            <w:noWrap w:val="0"/>
            <w:vAlign w:val="center"/>
          </w:tcPr>
          <w:p>
            <w:pPr>
              <w:spacing w:line="360" w:lineRule="exact"/>
              <w:jc w:val="center"/>
              <w:rPr>
                <w:rFonts w:ascii="Times New Roman" w:hAnsi="Times New Roman"/>
                <w:b/>
                <w:caps w:val="0"/>
                <w:smallCaps w:val="0"/>
                <w:color w:val="auto"/>
                <w:szCs w:val="21"/>
              </w:rPr>
            </w:pPr>
            <w:r>
              <w:rPr>
                <w:rFonts w:hint="eastAsia" w:ascii="Times New Roman" w:hAnsi="Times New Roman"/>
                <w:b/>
                <w:caps w:val="0"/>
                <w:smallCaps w:val="0"/>
                <w:color w:val="auto"/>
                <w:szCs w:val="21"/>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7" w:hRule="atLeast"/>
          <w:tblHeader/>
          <w:jc w:val="center"/>
        </w:trPr>
        <w:tc>
          <w:tcPr>
            <w:tcW w:w="372" w:type="pct"/>
            <w:vMerge w:val="continue"/>
            <w:tcBorders>
              <w:tl2br w:val="nil"/>
              <w:tr2bl w:val="nil"/>
            </w:tcBorders>
            <w:noWrap w:val="0"/>
            <w:vAlign w:val="center"/>
          </w:tcPr>
          <w:p>
            <w:pPr>
              <w:spacing w:line="360" w:lineRule="exact"/>
              <w:jc w:val="center"/>
              <w:rPr>
                <w:rFonts w:ascii="Times New Roman" w:hAnsi="Times New Roman"/>
                <w:b/>
                <w:caps w:val="0"/>
                <w:smallCaps w:val="0"/>
                <w:color w:val="auto"/>
                <w:szCs w:val="21"/>
              </w:rPr>
            </w:pPr>
          </w:p>
        </w:tc>
        <w:tc>
          <w:tcPr>
            <w:tcW w:w="1193" w:type="pct"/>
            <w:vMerge w:val="continue"/>
            <w:tcBorders>
              <w:tl2br w:val="nil"/>
              <w:tr2bl w:val="nil"/>
            </w:tcBorders>
            <w:noWrap w:val="0"/>
            <w:vAlign w:val="center"/>
          </w:tcPr>
          <w:p>
            <w:pPr>
              <w:spacing w:line="360" w:lineRule="exact"/>
              <w:jc w:val="center"/>
              <w:rPr>
                <w:rFonts w:ascii="Times New Roman" w:hAnsi="Times New Roman"/>
                <w:b/>
                <w:caps w:val="0"/>
                <w:smallCaps w:val="0"/>
                <w:color w:val="auto"/>
                <w:szCs w:val="21"/>
              </w:rPr>
            </w:pPr>
          </w:p>
        </w:tc>
        <w:tc>
          <w:tcPr>
            <w:tcW w:w="808" w:type="pct"/>
            <w:tcBorders>
              <w:tl2br w:val="nil"/>
              <w:tr2bl w:val="nil"/>
            </w:tcBorders>
            <w:noWrap w:val="0"/>
            <w:vAlign w:val="center"/>
          </w:tcPr>
          <w:p>
            <w:pPr>
              <w:spacing w:line="360" w:lineRule="exact"/>
              <w:jc w:val="center"/>
              <w:rPr>
                <w:rFonts w:hint="eastAsia" w:ascii="Times New Roman" w:hAnsi="Times New Roman" w:eastAsia="宋体"/>
                <w:b/>
                <w:caps w:val="0"/>
                <w:smallCaps w:val="0"/>
                <w:color w:val="auto"/>
                <w:szCs w:val="21"/>
                <w:lang w:eastAsia="zh-CN"/>
              </w:rPr>
            </w:pPr>
            <w:r>
              <w:rPr>
                <w:rFonts w:hint="eastAsia" w:ascii="Times New Roman" w:hAnsi="Times New Roman"/>
                <w:b/>
                <w:caps w:val="0"/>
                <w:smallCaps w:val="0"/>
                <w:color w:val="auto"/>
                <w:szCs w:val="21"/>
                <w:lang w:val="en-US" w:eastAsia="zh-CN"/>
              </w:rPr>
              <w:t>一期</w:t>
            </w:r>
          </w:p>
        </w:tc>
        <w:tc>
          <w:tcPr>
            <w:tcW w:w="710" w:type="pct"/>
            <w:tcBorders>
              <w:tl2br w:val="nil"/>
              <w:tr2bl w:val="nil"/>
            </w:tcBorders>
            <w:noWrap w:val="0"/>
            <w:vAlign w:val="center"/>
          </w:tcPr>
          <w:p>
            <w:pPr>
              <w:spacing w:line="360" w:lineRule="exact"/>
              <w:jc w:val="center"/>
              <w:rPr>
                <w:rFonts w:hint="eastAsia" w:ascii="Times New Roman" w:hAnsi="Times New Roman" w:eastAsia="宋体"/>
                <w:b/>
                <w:caps w:val="0"/>
                <w:smallCaps w:val="0"/>
                <w:color w:val="auto"/>
                <w:szCs w:val="21"/>
                <w:lang w:eastAsia="zh-CN"/>
              </w:rPr>
            </w:pPr>
            <w:r>
              <w:rPr>
                <w:rFonts w:hint="eastAsia" w:ascii="Times New Roman" w:hAnsi="Times New Roman"/>
                <w:b/>
                <w:caps w:val="0"/>
                <w:smallCaps w:val="0"/>
                <w:color w:val="auto"/>
                <w:szCs w:val="21"/>
                <w:lang w:val="en-US" w:eastAsia="zh-CN"/>
              </w:rPr>
              <w:t>二期</w:t>
            </w:r>
          </w:p>
        </w:tc>
        <w:tc>
          <w:tcPr>
            <w:tcW w:w="874" w:type="pct"/>
            <w:tcBorders>
              <w:tl2br w:val="nil"/>
              <w:tr2bl w:val="nil"/>
            </w:tcBorders>
            <w:noWrap w:val="0"/>
            <w:vAlign w:val="center"/>
          </w:tcPr>
          <w:p>
            <w:pPr>
              <w:spacing w:line="360" w:lineRule="exact"/>
              <w:jc w:val="center"/>
              <w:rPr>
                <w:rFonts w:hint="default" w:ascii="Times New Roman" w:hAnsi="Times New Roman" w:eastAsia="宋体"/>
                <w:b/>
                <w:caps w:val="0"/>
                <w:smallCaps w:val="0"/>
                <w:color w:val="auto"/>
                <w:szCs w:val="21"/>
                <w:lang w:val="en-US" w:eastAsia="zh-CN"/>
              </w:rPr>
            </w:pPr>
            <w:r>
              <w:rPr>
                <w:rFonts w:hint="eastAsia" w:ascii="Times New Roman" w:hAnsi="Times New Roman"/>
                <w:b/>
                <w:caps w:val="0"/>
                <w:smallCaps w:val="0"/>
                <w:color w:val="auto"/>
                <w:szCs w:val="21"/>
                <w:lang w:val="en-US" w:eastAsia="zh-CN"/>
              </w:rPr>
              <w:t>总计</w:t>
            </w:r>
          </w:p>
        </w:tc>
        <w:tc>
          <w:tcPr>
            <w:tcW w:w="1041" w:type="pct"/>
            <w:vMerge w:val="continue"/>
            <w:tcBorders>
              <w:tl2br w:val="nil"/>
              <w:tr2bl w:val="nil"/>
            </w:tcBorders>
            <w:noWrap w:val="0"/>
            <w:vAlign w:val="center"/>
          </w:tcPr>
          <w:p>
            <w:pPr>
              <w:spacing w:line="360" w:lineRule="exact"/>
              <w:jc w:val="center"/>
              <w:rPr>
                <w:rFonts w:hint="eastAsia" w:ascii="Times New Roman" w:hAnsi="Times New Roman"/>
                <w:b/>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7" w:hRule="atLeast"/>
          <w:jc w:val="center"/>
        </w:trPr>
        <w:tc>
          <w:tcPr>
            <w:tcW w:w="372"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1</w:t>
            </w:r>
          </w:p>
        </w:tc>
        <w:tc>
          <w:tcPr>
            <w:tcW w:w="1193"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二氯丙烷</w:t>
            </w:r>
          </w:p>
        </w:tc>
        <w:tc>
          <w:tcPr>
            <w:tcW w:w="808"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1000</w:t>
            </w:r>
          </w:p>
        </w:tc>
        <w:tc>
          <w:tcPr>
            <w:tcW w:w="710"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lang w:val="en-US" w:eastAsia="zh-CN"/>
              </w:rPr>
              <w:t>2</w:t>
            </w:r>
            <w:r>
              <w:rPr>
                <w:rFonts w:hint="eastAsia" w:ascii="Times New Roman" w:hAnsi="Times New Roman"/>
                <w:caps w:val="0"/>
                <w:smallCaps w:val="0"/>
                <w:color w:val="auto"/>
                <w:szCs w:val="21"/>
              </w:rPr>
              <w:t>000</w:t>
            </w:r>
          </w:p>
        </w:tc>
        <w:tc>
          <w:tcPr>
            <w:tcW w:w="874"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lang w:val="en-US" w:eastAsia="zh-CN"/>
              </w:rPr>
              <w:t>3</w:t>
            </w:r>
            <w:r>
              <w:rPr>
                <w:rFonts w:hint="eastAsia" w:ascii="Times New Roman" w:hAnsi="Times New Roman"/>
                <w:caps w:val="0"/>
                <w:smallCaps w:val="0"/>
                <w:color w:val="auto"/>
                <w:szCs w:val="21"/>
              </w:rPr>
              <w:t>000</w:t>
            </w:r>
          </w:p>
        </w:tc>
        <w:tc>
          <w:tcPr>
            <w:tcW w:w="1041" w:type="pct"/>
            <w:vMerge w:val="restart"/>
            <w:tcBorders>
              <w:tl2br w:val="nil"/>
              <w:tr2bl w:val="nil"/>
            </w:tcBorders>
            <w:noWrap w:val="0"/>
            <w:vAlign w:val="center"/>
          </w:tcPr>
          <w:p>
            <w:pPr>
              <w:spacing w:line="360" w:lineRule="exact"/>
              <w:jc w:val="center"/>
              <w:rPr>
                <w:rFonts w:hint="eastAsia" w:ascii="Times New Roman" w:hAnsi="Times New Roman"/>
                <w:caps w:val="0"/>
                <w:smallCaps w:val="0"/>
                <w:color w:val="auto"/>
                <w:szCs w:val="21"/>
              </w:rPr>
            </w:pPr>
            <w:r>
              <w:rPr>
                <w:rFonts w:hint="eastAsia"/>
                <w:color w:val="auto"/>
                <w:u w:val="none"/>
                <w:lang w:val="en-US" w:eastAsia="zh-CN"/>
              </w:rPr>
              <w:t>1#</w:t>
            </w:r>
            <w:r>
              <w:rPr>
                <w:color w:val="auto"/>
                <w:u w:val="none"/>
              </w:rPr>
              <w:t>生产车间</w:t>
            </w:r>
          </w:p>
          <w:p>
            <w:pPr>
              <w:spacing w:line="36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1" w:hRule="atLeast"/>
          <w:jc w:val="center"/>
        </w:trPr>
        <w:tc>
          <w:tcPr>
            <w:tcW w:w="372"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2</w:t>
            </w:r>
          </w:p>
        </w:tc>
        <w:tc>
          <w:tcPr>
            <w:tcW w:w="1193"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苯乙烯</w:t>
            </w:r>
          </w:p>
        </w:tc>
        <w:tc>
          <w:tcPr>
            <w:tcW w:w="808"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1000</w:t>
            </w:r>
          </w:p>
        </w:tc>
        <w:tc>
          <w:tcPr>
            <w:tcW w:w="710"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eastAsia="zh-CN"/>
              </w:rPr>
              <w:t>0</w:t>
            </w:r>
          </w:p>
        </w:tc>
        <w:tc>
          <w:tcPr>
            <w:tcW w:w="874"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rPr>
              <w:t>1000</w:t>
            </w:r>
          </w:p>
        </w:tc>
        <w:tc>
          <w:tcPr>
            <w:tcW w:w="1041" w:type="pct"/>
            <w:vMerge w:val="continue"/>
            <w:tcBorders>
              <w:tl2br w:val="nil"/>
              <w:tr2bl w:val="nil"/>
            </w:tcBorders>
            <w:noWrap w:val="0"/>
            <w:vAlign w:val="center"/>
          </w:tcPr>
          <w:p>
            <w:pPr>
              <w:spacing w:line="36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1" w:hRule="atLeast"/>
          <w:jc w:val="center"/>
        </w:trPr>
        <w:tc>
          <w:tcPr>
            <w:tcW w:w="372"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3</w:t>
            </w:r>
          </w:p>
        </w:tc>
        <w:tc>
          <w:tcPr>
            <w:tcW w:w="1193"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环己烷</w:t>
            </w:r>
          </w:p>
        </w:tc>
        <w:tc>
          <w:tcPr>
            <w:tcW w:w="808"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1000</w:t>
            </w:r>
          </w:p>
        </w:tc>
        <w:tc>
          <w:tcPr>
            <w:tcW w:w="710"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eastAsia="zh-CN"/>
              </w:rPr>
              <w:t>0</w:t>
            </w:r>
          </w:p>
        </w:tc>
        <w:tc>
          <w:tcPr>
            <w:tcW w:w="874"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1000</w:t>
            </w:r>
          </w:p>
        </w:tc>
        <w:tc>
          <w:tcPr>
            <w:tcW w:w="1041" w:type="pct"/>
            <w:vMerge w:val="continue"/>
            <w:tcBorders>
              <w:tl2br w:val="nil"/>
              <w:tr2bl w:val="nil"/>
            </w:tcBorders>
            <w:noWrap w:val="0"/>
            <w:vAlign w:val="center"/>
          </w:tcPr>
          <w:p>
            <w:pPr>
              <w:spacing w:line="36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1" w:hRule="atLeast"/>
          <w:jc w:val="center"/>
        </w:trPr>
        <w:tc>
          <w:tcPr>
            <w:tcW w:w="372"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4</w:t>
            </w:r>
          </w:p>
        </w:tc>
        <w:tc>
          <w:tcPr>
            <w:tcW w:w="1193"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环己酮</w:t>
            </w:r>
          </w:p>
        </w:tc>
        <w:tc>
          <w:tcPr>
            <w:tcW w:w="808"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2000</w:t>
            </w:r>
          </w:p>
        </w:tc>
        <w:tc>
          <w:tcPr>
            <w:tcW w:w="710"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0</w:t>
            </w:r>
          </w:p>
        </w:tc>
        <w:tc>
          <w:tcPr>
            <w:tcW w:w="874"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2000</w:t>
            </w:r>
          </w:p>
        </w:tc>
        <w:tc>
          <w:tcPr>
            <w:tcW w:w="1041" w:type="pct"/>
            <w:vMerge w:val="continue"/>
            <w:tcBorders>
              <w:tl2br w:val="nil"/>
              <w:tr2bl w:val="nil"/>
            </w:tcBorders>
            <w:noWrap w:val="0"/>
            <w:vAlign w:val="center"/>
          </w:tcPr>
          <w:p>
            <w:pPr>
              <w:spacing w:line="36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12" w:hRule="atLeast"/>
          <w:jc w:val="center"/>
        </w:trPr>
        <w:tc>
          <w:tcPr>
            <w:tcW w:w="372"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5</w:t>
            </w:r>
          </w:p>
        </w:tc>
        <w:tc>
          <w:tcPr>
            <w:tcW w:w="1193"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工业原料油</w:t>
            </w:r>
          </w:p>
        </w:tc>
        <w:tc>
          <w:tcPr>
            <w:tcW w:w="808"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8000</w:t>
            </w:r>
          </w:p>
        </w:tc>
        <w:tc>
          <w:tcPr>
            <w:tcW w:w="710"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0</w:t>
            </w:r>
          </w:p>
        </w:tc>
        <w:tc>
          <w:tcPr>
            <w:tcW w:w="874"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8000</w:t>
            </w:r>
          </w:p>
        </w:tc>
        <w:tc>
          <w:tcPr>
            <w:tcW w:w="1041" w:type="pct"/>
            <w:vMerge w:val="continue"/>
            <w:tcBorders>
              <w:tl2br w:val="nil"/>
              <w:tr2bl w:val="nil"/>
            </w:tcBorders>
            <w:noWrap w:val="0"/>
            <w:vAlign w:val="center"/>
          </w:tcPr>
          <w:p>
            <w:pPr>
              <w:spacing w:line="36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55" w:hRule="atLeast"/>
          <w:jc w:val="center"/>
        </w:trPr>
        <w:tc>
          <w:tcPr>
            <w:tcW w:w="372" w:type="pct"/>
            <w:tcBorders>
              <w:tl2br w:val="nil"/>
              <w:tr2bl w:val="nil"/>
            </w:tcBorders>
            <w:noWrap w:val="0"/>
            <w:vAlign w:val="center"/>
          </w:tcPr>
          <w:p>
            <w:pPr>
              <w:spacing w:line="360" w:lineRule="exact"/>
              <w:jc w:val="center"/>
              <w:rPr>
                <w:rFonts w:hint="eastAsia" w:ascii="Times New Roman" w:hAnsi="Times New Roman"/>
                <w:caps w:val="0"/>
                <w:smallCaps w:val="0"/>
                <w:color w:val="auto"/>
                <w:szCs w:val="21"/>
                <w:lang w:val="en-US" w:eastAsia="zh-CN"/>
              </w:rPr>
            </w:pPr>
            <w:r>
              <w:rPr>
                <w:rFonts w:hint="eastAsia" w:ascii="Times New Roman" w:hAnsi="Times New Roman"/>
                <w:caps w:val="0"/>
                <w:smallCaps w:val="0"/>
                <w:color w:val="auto"/>
                <w:szCs w:val="21"/>
                <w:lang w:val="en-US" w:eastAsia="zh-CN"/>
              </w:rPr>
              <w:t>6</w:t>
            </w:r>
          </w:p>
        </w:tc>
        <w:tc>
          <w:tcPr>
            <w:tcW w:w="1193"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eastAsia="zh-CN"/>
              </w:rPr>
              <w:t>对甲苯磺酸巴马丁</w:t>
            </w:r>
          </w:p>
        </w:tc>
        <w:tc>
          <w:tcPr>
            <w:tcW w:w="808"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val="en-US" w:eastAsia="zh-CN"/>
              </w:rPr>
              <w:t>60</w:t>
            </w:r>
          </w:p>
        </w:tc>
        <w:tc>
          <w:tcPr>
            <w:tcW w:w="710"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-60</w:t>
            </w:r>
          </w:p>
        </w:tc>
        <w:tc>
          <w:tcPr>
            <w:tcW w:w="874"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val="en-US" w:eastAsia="zh-CN"/>
              </w:rPr>
              <w:t>0</w:t>
            </w:r>
          </w:p>
        </w:tc>
        <w:tc>
          <w:tcPr>
            <w:tcW w:w="1041" w:type="pct"/>
            <w:vMerge w:val="continue"/>
            <w:tcBorders>
              <w:tl2br w:val="nil"/>
              <w:tr2bl w:val="nil"/>
            </w:tcBorders>
            <w:noWrap w:val="0"/>
            <w:vAlign w:val="center"/>
          </w:tcPr>
          <w:p>
            <w:pPr>
              <w:spacing w:line="36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1" w:hRule="atLeast"/>
          <w:jc w:val="center"/>
        </w:trPr>
        <w:tc>
          <w:tcPr>
            <w:tcW w:w="372"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7</w:t>
            </w:r>
          </w:p>
        </w:tc>
        <w:tc>
          <w:tcPr>
            <w:tcW w:w="1193"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环氧固化剂</w:t>
            </w:r>
          </w:p>
        </w:tc>
        <w:tc>
          <w:tcPr>
            <w:tcW w:w="808"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0</w:t>
            </w:r>
          </w:p>
        </w:tc>
        <w:tc>
          <w:tcPr>
            <w:tcW w:w="710"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lang w:val="en-US" w:eastAsia="zh-CN"/>
              </w:rPr>
              <w:t>6</w:t>
            </w:r>
            <w:r>
              <w:rPr>
                <w:rFonts w:hint="eastAsia" w:ascii="Times New Roman" w:hAnsi="Times New Roman"/>
                <w:caps w:val="0"/>
                <w:smallCaps w:val="0"/>
                <w:color w:val="auto"/>
                <w:szCs w:val="21"/>
              </w:rPr>
              <w:t>100</w:t>
            </w:r>
          </w:p>
        </w:tc>
        <w:tc>
          <w:tcPr>
            <w:tcW w:w="874"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lang w:val="en-US" w:eastAsia="zh-CN"/>
              </w:rPr>
              <w:t>6</w:t>
            </w:r>
            <w:r>
              <w:rPr>
                <w:rFonts w:hint="eastAsia" w:ascii="Times New Roman" w:hAnsi="Times New Roman"/>
                <w:caps w:val="0"/>
                <w:smallCaps w:val="0"/>
                <w:color w:val="auto"/>
                <w:szCs w:val="21"/>
              </w:rPr>
              <w:t>100</w:t>
            </w:r>
          </w:p>
        </w:tc>
        <w:tc>
          <w:tcPr>
            <w:tcW w:w="1041" w:type="pct"/>
            <w:vMerge w:val="continue"/>
            <w:tcBorders>
              <w:tl2br w:val="nil"/>
              <w:tr2bl w:val="nil"/>
            </w:tcBorders>
            <w:noWrap w:val="0"/>
            <w:vAlign w:val="center"/>
          </w:tcPr>
          <w:p>
            <w:pPr>
              <w:spacing w:line="36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1" w:hRule="atLeast"/>
          <w:jc w:val="center"/>
        </w:trPr>
        <w:tc>
          <w:tcPr>
            <w:tcW w:w="372"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8</w:t>
            </w:r>
          </w:p>
        </w:tc>
        <w:tc>
          <w:tcPr>
            <w:tcW w:w="1193"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涂料助剂</w:t>
            </w:r>
          </w:p>
        </w:tc>
        <w:tc>
          <w:tcPr>
            <w:tcW w:w="808"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0</w:t>
            </w:r>
          </w:p>
        </w:tc>
        <w:tc>
          <w:tcPr>
            <w:tcW w:w="710"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900</w:t>
            </w:r>
          </w:p>
        </w:tc>
        <w:tc>
          <w:tcPr>
            <w:tcW w:w="874"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900</w:t>
            </w:r>
          </w:p>
        </w:tc>
        <w:tc>
          <w:tcPr>
            <w:tcW w:w="1041" w:type="pct"/>
            <w:vMerge w:val="restart"/>
            <w:tcBorders>
              <w:tl2br w:val="nil"/>
              <w:tr2bl w:val="nil"/>
            </w:tcBorders>
            <w:noWrap w:val="0"/>
            <w:vAlign w:val="center"/>
          </w:tcPr>
          <w:p>
            <w:pPr>
              <w:spacing w:line="360" w:lineRule="exact"/>
              <w:jc w:val="center"/>
              <w:rPr>
                <w:rFonts w:hint="eastAsia" w:ascii="Times New Roman" w:hAnsi="Times New Roman"/>
                <w:caps w:val="0"/>
                <w:smallCaps w:val="0"/>
                <w:color w:val="auto"/>
                <w:szCs w:val="21"/>
              </w:rPr>
            </w:pPr>
            <w:r>
              <w:rPr>
                <w:rFonts w:hint="eastAsia"/>
                <w:color w:val="auto"/>
                <w:u w:val="none"/>
                <w:lang w:val="en-US" w:eastAsia="zh-CN"/>
              </w:rPr>
              <w:t>2#</w:t>
            </w:r>
            <w:r>
              <w:rPr>
                <w:color w:val="auto"/>
                <w:u w:val="none"/>
              </w:rPr>
              <w:t>生产车间</w:t>
            </w:r>
          </w:p>
          <w:p>
            <w:pPr>
              <w:spacing w:line="36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1" w:hRule="atLeast"/>
          <w:jc w:val="center"/>
        </w:trPr>
        <w:tc>
          <w:tcPr>
            <w:tcW w:w="372"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9</w:t>
            </w:r>
          </w:p>
        </w:tc>
        <w:tc>
          <w:tcPr>
            <w:tcW w:w="1193"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环氧地坪涂料</w:t>
            </w:r>
          </w:p>
        </w:tc>
        <w:tc>
          <w:tcPr>
            <w:tcW w:w="808"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0</w:t>
            </w:r>
          </w:p>
        </w:tc>
        <w:tc>
          <w:tcPr>
            <w:tcW w:w="710"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3000</w:t>
            </w:r>
          </w:p>
        </w:tc>
        <w:tc>
          <w:tcPr>
            <w:tcW w:w="874" w:type="pct"/>
            <w:tcBorders>
              <w:tl2br w:val="nil"/>
              <w:tr2bl w:val="nil"/>
            </w:tcBorders>
            <w:noWrap w:val="0"/>
            <w:vAlign w:val="center"/>
          </w:tcPr>
          <w:p>
            <w:pPr>
              <w:spacing w:line="36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3000</w:t>
            </w:r>
          </w:p>
        </w:tc>
        <w:tc>
          <w:tcPr>
            <w:tcW w:w="1041" w:type="pct"/>
            <w:vMerge w:val="continue"/>
            <w:tcBorders>
              <w:tl2br w:val="nil"/>
              <w:tr2bl w:val="nil"/>
            </w:tcBorders>
            <w:noWrap w:val="0"/>
            <w:vAlign w:val="center"/>
          </w:tcPr>
          <w:p>
            <w:pPr>
              <w:spacing w:line="360" w:lineRule="exact"/>
              <w:jc w:val="center"/>
              <w:rPr>
                <w:rFonts w:ascii="Times New Roman" w:hAnsi="Times New Roman"/>
                <w:caps w:val="0"/>
                <w:smallCaps w:val="0"/>
                <w:color w:val="auto"/>
                <w:szCs w:val="21"/>
              </w:rPr>
            </w:pPr>
          </w:p>
        </w:tc>
      </w:tr>
    </w:tbl>
    <w:p>
      <w:pPr>
        <w:pStyle w:val="33"/>
        <w:bidi w:val="0"/>
        <w:rPr>
          <w:rFonts w:ascii="Times New Roman" w:hAnsi="Times New Roman"/>
          <w:b w:val="0"/>
          <w:bCs/>
          <w:caps w:val="0"/>
          <w:smallCaps w:val="0"/>
          <w:color w:val="auto"/>
          <w:szCs w:val="21"/>
        </w:rPr>
      </w:pPr>
      <w:r>
        <w:rPr>
          <w:rFonts w:ascii="Times New Roman" w:hAnsi="Times New Roman"/>
          <w:b w:val="0"/>
          <w:bCs/>
          <w:caps w:val="0"/>
          <w:smallCaps w:val="0"/>
          <w:color w:val="auto"/>
          <w:szCs w:val="21"/>
        </w:rPr>
        <w:t>现有工程主要原辅材料见表</w:t>
      </w:r>
      <w:r>
        <w:rPr>
          <w:rFonts w:hint="eastAsia"/>
          <w:b w:val="0"/>
          <w:bCs/>
          <w:caps w:val="0"/>
          <w:smallCaps w:val="0"/>
          <w:color w:val="auto"/>
          <w:szCs w:val="21"/>
          <w:lang w:val="en-US" w:eastAsia="zh-CN"/>
        </w:rPr>
        <w:t>3</w:t>
      </w:r>
      <w:r>
        <w:rPr>
          <w:rFonts w:ascii="Times New Roman" w:hAnsi="Times New Roman"/>
          <w:b w:val="0"/>
          <w:bCs/>
          <w:caps w:val="0"/>
          <w:smallCaps w:val="0"/>
          <w:color w:val="auto"/>
          <w:szCs w:val="21"/>
        </w:rPr>
        <w:t>.1-</w:t>
      </w:r>
      <w:r>
        <w:rPr>
          <w:rFonts w:hint="eastAsia"/>
          <w:b w:val="0"/>
          <w:bCs/>
          <w:caps w:val="0"/>
          <w:smallCaps w:val="0"/>
          <w:color w:val="auto"/>
          <w:szCs w:val="21"/>
          <w:lang w:val="en-US" w:eastAsia="zh-CN"/>
        </w:rPr>
        <w:t>4、表3.1-5</w:t>
      </w:r>
      <w:r>
        <w:rPr>
          <w:rFonts w:ascii="Times New Roman" w:hAnsi="Times New Roman"/>
          <w:b w:val="0"/>
          <w:bCs/>
          <w:caps w:val="0"/>
          <w:smallCaps w:val="0"/>
          <w:color w:val="auto"/>
          <w:szCs w:val="21"/>
        </w:rPr>
        <w:t>。</w:t>
      </w:r>
    </w:p>
    <w:p>
      <w:pPr>
        <w:pStyle w:val="36"/>
        <w:bidi w:val="0"/>
        <w:rPr>
          <w:rFonts w:hint="eastAsia"/>
          <w:color w:val="auto"/>
          <w:lang w:val="en-US" w:eastAsia="zh-CN"/>
        </w:rPr>
      </w:pPr>
      <w:r>
        <w:rPr>
          <w:color w:val="auto"/>
        </w:rPr>
        <w:t>表</w:t>
      </w:r>
      <w:r>
        <w:rPr>
          <w:rFonts w:hint="eastAsia"/>
          <w:color w:val="auto"/>
          <w:lang w:val="en-US" w:eastAsia="zh-CN"/>
        </w:rPr>
        <w:t>3.1-4</w:t>
      </w:r>
      <w:r>
        <w:rPr>
          <w:color w:val="auto"/>
        </w:rPr>
        <w:t xml:space="preserve">  </w:t>
      </w:r>
      <w:r>
        <w:rPr>
          <w:rFonts w:hint="eastAsia"/>
          <w:color w:val="auto"/>
        </w:rPr>
        <w:t>现有</w:t>
      </w:r>
      <w:r>
        <w:rPr>
          <w:color w:val="auto"/>
        </w:rPr>
        <w:t>原辅材料消耗表</w:t>
      </w:r>
      <w:r>
        <w:rPr>
          <w:rFonts w:hint="eastAsia"/>
          <w:color w:val="auto"/>
          <w:lang w:val="en-US" w:eastAsia="zh-CN"/>
        </w:rPr>
        <w:t>（一期项目）</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2136"/>
        <w:gridCol w:w="900"/>
        <w:gridCol w:w="1152"/>
        <w:gridCol w:w="927"/>
        <w:gridCol w:w="1748"/>
        <w:gridCol w:w="10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9" w:hRule="atLeast"/>
          <w:jc w:val="center"/>
        </w:trPr>
        <w:tc>
          <w:tcPr>
            <w:tcW w:w="860" w:type="pct"/>
            <w:tcBorders>
              <w:tl2br w:val="nil"/>
              <w:tr2bl w:val="nil"/>
            </w:tcBorders>
            <w:noWrap w:val="0"/>
            <w:vAlign w:val="center"/>
          </w:tcPr>
          <w:p>
            <w:pPr>
              <w:pStyle w:val="35"/>
              <w:bidi w:val="0"/>
              <w:jc w:val="center"/>
              <w:rPr>
                <w:b/>
                <w:bCs/>
                <w:color w:val="auto"/>
              </w:rPr>
            </w:pPr>
            <w:r>
              <w:rPr>
                <w:rFonts w:hint="eastAsia"/>
                <w:b/>
                <w:bCs/>
                <w:color w:val="auto"/>
              </w:rPr>
              <w:t>产品</w:t>
            </w:r>
          </w:p>
        </w:tc>
        <w:tc>
          <w:tcPr>
            <w:tcW w:w="1122" w:type="pct"/>
            <w:tcBorders>
              <w:tl2br w:val="nil"/>
              <w:tr2bl w:val="nil"/>
            </w:tcBorders>
            <w:noWrap w:val="0"/>
            <w:vAlign w:val="center"/>
          </w:tcPr>
          <w:p>
            <w:pPr>
              <w:pStyle w:val="35"/>
              <w:bidi w:val="0"/>
              <w:jc w:val="center"/>
              <w:rPr>
                <w:b/>
                <w:bCs/>
                <w:color w:val="auto"/>
              </w:rPr>
            </w:pPr>
            <w:r>
              <w:rPr>
                <w:rFonts w:hint="eastAsia"/>
                <w:b/>
                <w:bCs/>
                <w:color w:val="auto"/>
              </w:rPr>
              <w:t>原辅材料</w:t>
            </w:r>
          </w:p>
        </w:tc>
        <w:tc>
          <w:tcPr>
            <w:tcW w:w="473" w:type="pct"/>
            <w:tcBorders>
              <w:tl2br w:val="nil"/>
              <w:tr2bl w:val="nil"/>
            </w:tcBorders>
            <w:noWrap w:val="0"/>
            <w:vAlign w:val="center"/>
          </w:tcPr>
          <w:p>
            <w:pPr>
              <w:pStyle w:val="35"/>
              <w:bidi w:val="0"/>
              <w:jc w:val="center"/>
              <w:rPr>
                <w:b/>
                <w:bCs/>
                <w:color w:val="auto"/>
              </w:rPr>
            </w:pPr>
            <w:r>
              <w:rPr>
                <w:rFonts w:hint="eastAsia"/>
                <w:b/>
                <w:bCs/>
                <w:color w:val="auto"/>
              </w:rPr>
              <w:t>形态</w:t>
            </w:r>
          </w:p>
        </w:tc>
        <w:tc>
          <w:tcPr>
            <w:tcW w:w="605" w:type="pct"/>
            <w:tcBorders>
              <w:tl2br w:val="nil"/>
              <w:tr2bl w:val="nil"/>
            </w:tcBorders>
            <w:noWrap w:val="0"/>
            <w:vAlign w:val="center"/>
          </w:tcPr>
          <w:p>
            <w:pPr>
              <w:pStyle w:val="35"/>
              <w:bidi w:val="0"/>
              <w:jc w:val="center"/>
              <w:rPr>
                <w:b/>
                <w:bCs/>
                <w:color w:val="auto"/>
              </w:rPr>
            </w:pPr>
            <w:r>
              <w:rPr>
                <w:b/>
                <w:bCs/>
                <w:color w:val="auto"/>
              </w:rPr>
              <w:t>年需用量t/a</w:t>
            </w:r>
          </w:p>
        </w:tc>
        <w:tc>
          <w:tcPr>
            <w:tcW w:w="487" w:type="pct"/>
            <w:tcBorders>
              <w:tl2br w:val="nil"/>
              <w:tr2bl w:val="nil"/>
            </w:tcBorders>
            <w:noWrap w:val="0"/>
            <w:vAlign w:val="center"/>
          </w:tcPr>
          <w:p>
            <w:pPr>
              <w:pStyle w:val="35"/>
              <w:bidi w:val="0"/>
              <w:jc w:val="center"/>
              <w:rPr>
                <w:b/>
                <w:bCs/>
                <w:color w:val="auto"/>
              </w:rPr>
            </w:pPr>
            <w:r>
              <w:rPr>
                <w:b/>
                <w:bCs/>
                <w:color w:val="auto"/>
              </w:rPr>
              <w:t>运输</w:t>
            </w:r>
          </w:p>
          <w:p>
            <w:pPr>
              <w:pStyle w:val="35"/>
              <w:bidi w:val="0"/>
              <w:jc w:val="center"/>
              <w:rPr>
                <w:b/>
                <w:bCs/>
                <w:color w:val="auto"/>
              </w:rPr>
            </w:pPr>
            <w:r>
              <w:rPr>
                <w:b/>
                <w:bCs/>
                <w:color w:val="auto"/>
              </w:rPr>
              <w:t>方式</w:t>
            </w:r>
          </w:p>
        </w:tc>
        <w:tc>
          <w:tcPr>
            <w:tcW w:w="918" w:type="pct"/>
            <w:tcBorders>
              <w:tl2br w:val="nil"/>
              <w:tr2bl w:val="nil"/>
            </w:tcBorders>
            <w:noWrap w:val="0"/>
            <w:vAlign w:val="center"/>
          </w:tcPr>
          <w:p>
            <w:pPr>
              <w:pStyle w:val="35"/>
              <w:bidi w:val="0"/>
              <w:jc w:val="center"/>
              <w:rPr>
                <w:b/>
                <w:bCs/>
                <w:color w:val="auto"/>
              </w:rPr>
            </w:pPr>
            <w:r>
              <w:rPr>
                <w:b/>
                <w:bCs/>
                <w:color w:val="auto"/>
              </w:rPr>
              <w:t>储存</w:t>
            </w:r>
          </w:p>
          <w:p>
            <w:pPr>
              <w:pStyle w:val="35"/>
              <w:bidi w:val="0"/>
              <w:jc w:val="center"/>
              <w:rPr>
                <w:b/>
                <w:bCs/>
                <w:color w:val="auto"/>
              </w:rPr>
            </w:pPr>
            <w:r>
              <w:rPr>
                <w:b/>
                <w:bCs/>
                <w:color w:val="auto"/>
              </w:rPr>
              <w:t>方式</w:t>
            </w:r>
          </w:p>
        </w:tc>
        <w:tc>
          <w:tcPr>
            <w:tcW w:w="531" w:type="pct"/>
            <w:tcBorders>
              <w:tl2br w:val="nil"/>
              <w:tr2bl w:val="nil"/>
            </w:tcBorders>
            <w:noWrap w:val="0"/>
            <w:vAlign w:val="center"/>
          </w:tcPr>
          <w:p>
            <w:pPr>
              <w:pStyle w:val="35"/>
              <w:bidi w:val="0"/>
              <w:jc w:val="center"/>
              <w:rPr>
                <w:b/>
                <w:bCs/>
                <w:color w:val="auto"/>
              </w:rPr>
            </w:pPr>
            <w:r>
              <w:rPr>
                <w:b/>
                <w:bCs/>
                <w:color w:val="auto"/>
              </w:rPr>
              <w:t>最大储存量(t)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6" w:hRule="atLeast"/>
          <w:jc w:val="center"/>
        </w:trPr>
        <w:tc>
          <w:tcPr>
            <w:tcW w:w="860" w:type="pct"/>
            <w:tcBorders>
              <w:tl2br w:val="nil"/>
              <w:tr2bl w:val="nil"/>
            </w:tcBorders>
            <w:noWrap w:val="0"/>
            <w:vAlign w:val="center"/>
          </w:tcPr>
          <w:p>
            <w:pPr>
              <w:pStyle w:val="35"/>
              <w:bidi w:val="0"/>
              <w:jc w:val="center"/>
              <w:rPr>
                <w:color w:val="auto"/>
              </w:rPr>
            </w:pPr>
            <w:r>
              <w:rPr>
                <w:rFonts w:hint="eastAsia"/>
                <w:color w:val="auto"/>
              </w:rPr>
              <w:t>二氯丙烷</w:t>
            </w:r>
          </w:p>
        </w:tc>
        <w:tc>
          <w:tcPr>
            <w:tcW w:w="1122" w:type="pct"/>
            <w:tcBorders>
              <w:tl2br w:val="nil"/>
              <w:tr2bl w:val="nil"/>
            </w:tcBorders>
            <w:noWrap w:val="0"/>
            <w:vAlign w:val="center"/>
          </w:tcPr>
          <w:p>
            <w:pPr>
              <w:pStyle w:val="35"/>
              <w:bidi w:val="0"/>
              <w:jc w:val="center"/>
              <w:rPr>
                <w:rFonts w:hint="eastAsia"/>
                <w:color w:val="auto"/>
                <w:lang w:eastAsia="zh-CN"/>
              </w:rPr>
            </w:pPr>
            <w:r>
              <w:rPr>
                <w:rFonts w:hint="eastAsia"/>
                <w:color w:val="auto"/>
                <w:lang w:val="en-US" w:eastAsia="zh-CN"/>
              </w:rPr>
              <w:t>工业用二氯丙烷</w:t>
            </w:r>
          </w:p>
        </w:tc>
        <w:tc>
          <w:tcPr>
            <w:tcW w:w="473" w:type="pct"/>
            <w:tcBorders>
              <w:tl2br w:val="nil"/>
              <w:tr2bl w:val="nil"/>
            </w:tcBorders>
            <w:noWrap w:val="0"/>
            <w:vAlign w:val="center"/>
          </w:tcPr>
          <w:p>
            <w:pPr>
              <w:pStyle w:val="35"/>
              <w:bidi w:val="0"/>
              <w:jc w:val="center"/>
              <w:rPr>
                <w:color w:val="auto"/>
              </w:rPr>
            </w:pPr>
            <w:r>
              <w:rPr>
                <w:rFonts w:hint="eastAsia"/>
                <w:color w:val="auto"/>
              </w:rPr>
              <w:t>液态</w:t>
            </w:r>
          </w:p>
        </w:tc>
        <w:tc>
          <w:tcPr>
            <w:tcW w:w="605" w:type="pct"/>
            <w:tcBorders>
              <w:tl2br w:val="nil"/>
              <w:tr2bl w:val="nil"/>
            </w:tcBorders>
            <w:noWrap w:val="0"/>
            <w:vAlign w:val="center"/>
          </w:tcPr>
          <w:p>
            <w:pPr>
              <w:pStyle w:val="35"/>
              <w:bidi w:val="0"/>
              <w:jc w:val="center"/>
              <w:rPr>
                <w:color w:val="auto"/>
              </w:rPr>
            </w:pPr>
            <w:r>
              <w:rPr>
                <w:rFonts w:hint="eastAsia"/>
                <w:color w:val="auto"/>
                <w:lang w:val="en-US" w:eastAsia="zh-CN"/>
              </w:rPr>
              <w:t>1150</w:t>
            </w:r>
          </w:p>
        </w:tc>
        <w:tc>
          <w:tcPr>
            <w:tcW w:w="487" w:type="pct"/>
            <w:tcBorders>
              <w:tl2br w:val="nil"/>
              <w:tr2bl w:val="nil"/>
            </w:tcBorders>
            <w:noWrap w:val="0"/>
            <w:vAlign w:val="center"/>
          </w:tcPr>
          <w:p>
            <w:pPr>
              <w:pStyle w:val="35"/>
              <w:bidi w:val="0"/>
              <w:jc w:val="center"/>
              <w:rPr>
                <w:color w:val="auto"/>
              </w:rPr>
            </w:pPr>
            <w:r>
              <w:rPr>
                <w:color w:val="auto"/>
              </w:rPr>
              <w:t>槽车</w:t>
            </w:r>
          </w:p>
        </w:tc>
        <w:tc>
          <w:tcPr>
            <w:tcW w:w="918" w:type="pct"/>
            <w:tcBorders>
              <w:tl2br w:val="nil"/>
              <w:tr2bl w:val="nil"/>
            </w:tcBorders>
            <w:noWrap w:val="0"/>
            <w:vAlign w:val="center"/>
          </w:tcPr>
          <w:p>
            <w:pPr>
              <w:pStyle w:val="35"/>
              <w:bidi w:val="0"/>
              <w:jc w:val="center"/>
              <w:rPr>
                <w:color w:val="auto"/>
              </w:rPr>
            </w:pPr>
            <w:r>
              <w:rPr>
                <w:rFonts w:hint="eastAsia"/>
                <w:color w:val="auto"/>
                <w:lang w:val="en-US" w:eastAsia="zh-CN"/>
              </w:rPr>
              <w:t>固定立式</w:t>
            </w:r>
            <w:r>
              <w:rPr>
                <w:color w:val="auto"/>
              </w:rPr>
              <w:t>储罐</w:t>
            </w:r>
          </w:p>
        </w:tc>
        <w:tc>
          <w:tcPr>
            <w:tcW w:w="531" w:type="pct"/>
            <w:tcBorders>
              <w:tl2br w:val="nil"/>
              <w:tr2bl w:val="nil"/>
            </w:tcBorders>
            <w:noWrap w:val="0"/>
            <w:vAlign w:val="center"/>
          </w:tcPr>
          <w:p>
            <w:pPr>
              <w:pStyle w:val="35"/>
              <w:bidi w:val="0"/>
              <w:jc w:val="center"/>
              <w:rPr>
                <w:color w:val="auto"/>
              </w:rPr>
            </w:pPr>
            <w:r>
              <w:rPr>
                <w:rFonts w:hint="eastAsia"/>
                <w:color w:val="auto"/>
                <w:lang w:val="en-US" w:eastAsia="zh-CN"/>
              </w:rPr>
              <w:t>2</w:t>
            </w:r>
            <w:r>
              <w:rPr>
                <w:rFonts w:hint="eastAsia"/>
                <w:color w:val="auto"/>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6" w:hRule="atLeast"/>
          <w:jc w:val="center"/>
        </w:trPr>
        <w:tc>
          <w:tcPr>
            <w:tcW w:w="860" w:type="pct"/>
            <w:tcBorders>
              <w:tl2br w:val="nil"/>
              <w:tr2bl w:val="nil"/>
            </w:tcBorders>
            <w:noWrap w:val="0"/>
            <w:vAlign w:val="center"/>
          </w:tcPr>
          <w:p>
            <w:pPr>
              <w:pStyle w:val="35"/>
              <w:bidi w:val="0"/>
              <w:jc w:val="center"/>
              <w:rPr>
                <w:color w:val="auto"/>
              </w:rPr>
            </w:pPr>
            <w:r>
              <w:rPr>
                <w:rFonts w:hint="eastAsia"/>
                <w:color w:val="auto"/>
              </w:rPr>
              <w:t>环己烷</w:t>
            </w:r>
          </w:p>
        </w:tc>
        <w:tc>
          <w:tcPr>
            <w:tcW w:w="1122" w:type="pct"/>
            <w:vMerge w:val="restart"/>
            <w:tcBorders>
              <w:tl2br w:val="nil"/>
              <w:tr2bl w:val="nil"/>
            </w:tcBorders>
            <w:noWrap w:val="0"/>
            <w:vAlign w:val="center"/>
          </w:tcPr>
          <w:p>
            <w:pPr>
              <w:pStyle w:val="35"/>
              <w:bidi w:val="0"/>
              <w:jc w:val="center"/>
              <w:rPr>
                <w:color w:val="auto"/>
              </w:rPr>
            </w:pPr>
            <w:r>
              <w:rPr>
                <w:rFonts w:hint="eastAsia"/>
                <w:color w:val="auto"/>
                <w:lang w:eastAsia="zh-CN"/>
              </w:rPr>
              <w:t>废</w:t>
            </w:r>
            <w:r>
              <w:rPr>
                <w:rFonts w:hint="eastAsia"/>
                <w:color w:val="auto"/>
              </w:rPr>
              <w:t>环己烷</w:t>
            </w:r>
            <w:r>
              <w:rPr>
                <w:rFonts w:hint="eastAsia"/>
                <w:color w:val="auto"/>
                <w:lang w:eastAsia="zh-CN"/>
              </w:rPr>
              <w:t>、</w:t>
            </w:r>
            <w:r>
              <w:rPr>
                <w:rFonts w:hint="eastAsia"/>
                <w:color w:val="auto"/>
              </w:rPr>
              <w:t>环己酮</w:t>
            </w:r>
            <w:r>
              <w:rPr>
                <w:rFonts w:hint="eastAsia"/>
                <w:color w:val="auto"/>
                <w:lang w:eastAsia="zh-CN"/>
              </w:rPr>
              <w:t>、</w:t>
            </w:r>
            <w:r>
              <w:rPr>
                <w:rFonts w:hint="eastAsia"/>
                <w:color w:val="auto"/>
              </w:rPr>
              <w:t>苯乙烯原料油</w:t>
            </w:r>
          </w:p>
        </w:tc>
        <w:tc>
          <w:tcPr>
            <w:tcW w:w="473" w:type="pct"/>
            <w:vMerge w:val="restart"/>
            <w:tcBorders>
              <w:tl2br w:val="nil"/>
              <w:tr2bl w:val="nil"/>
            </w:tcBorders>
            <w:noWrap w:val="0"/>
            <w:vAlign w:val="center"/>
          </w:tcPr>
          <w:p>
            <w:pPr>
              <w:pStyle w:val="35"/>
              <w:bidi w:val="0"/>
              <w:jc w:val="center"/>
              <w:rPr>
                <w:color w:val="auto"/>
              </w:rPr>
            </w:pPr>
            <w:r>
              <w:rPr>
                <w:rFonts w:hint="eastAsia"/>
                <w:color w:val="auto"/>
              </w:rPr>
              <w:t>液态</w:t>
            </w:r>
          </w:p>
        </w:tc>
        <w:tc>
          <w:tcPr>
            <w:tcW w:w="605" w:type="pct"/>
            <w:vMerge w:val="restart"/>
            <w:tcBorders>
              <w:tl2br w:val="nil"/>
              <w:tr2bl w:val="nil"/>
            </w:tcBorders>
            <w:noWrap w:val="0"/>
            <w:vAlign w:val="center"/>
          </w:tcPr>
          <w:p>
            <w:pPr>
              <w:pStyle w:val="35"/>
              <w:bidi w:val="0"/>
              <w:jc w:val="center"/>
              <w:rPr>
                <w:rFonts w:hint="eastAsia"/>
                <w:color w:val="auto"/>
                <w:lang w:eastAsia="zh-CN"/>
              </w:rPr>
            </w:pPr>
            <w:r>
              <w:rPr>
                <w:rFonts w:hint="eastAsia"/>
                <w:color w:val="auto"/>
                <w:lang w:val="en-US" w:eastAsia="zh-CN"/>
              </w:rPr>
              <w:t>4450</w:t>
            </w:r>
          </w:p>
        </w:tc>
        <w:tc>
          <w:tcPr>
            <w:tcW w:w="487" w:type="pct"/>
            <w:vMerge w:val="restart"/>
            <w:tcBorders>
              <w:tl2br w:val="nil"/>
              <w:tr2bl w:val="nil"/>
            </w:tcBorders>
            <w:noWrap w:val="0"/>
            <w:vAlign w:val="center"/>
          </w:tcPr>
          <w:p>
            <w:pPr>
              <w:pStyle w:val="35"/>
              <w:bidi w:val="0"/>
              <w:jc w:val="center"/>
              <w:rPr>
                <w:color w:val="auto"/>
              </w:rPr>
            </w:pPr>
            <w:r>
              <w:rPr>
                <w:color w:val="auto"/>
              </w:rPr>
              <w:t>槽车</w:t>
            </w:r>
          </w:p>
        </w:tc>
        <w:tc>
          <w:tcPr>
            <w:tcW w:w="918" w:type="pct"/>
            <w:vMerge w:val="restart"/>
            <w:tcBorders>
              <w:tl2br w:val="nil"/>
              <w:tr2bl w:val="nil"/>
            </w:tcBorders>
            <w:noWrap w:val="0"/>
            <w:vAlign w:val="center"/>
          </w:tcPr>
          <w:p>
            <w:pPr>
              <w:bidi w:val="0"/>
              <w:jc w:val="center"/>
              <w:rPr>
                <w:color w:val="auto"/>
              </w:rPr>
            </w:pPr>
            <w:r>
              <w:rPr>
                <w:rFonts w:hint="eastAsia"/>
                <w:color w:val="auto"/>
                <w:lang w:val="en-US" w:eastAsia="zh-CN"/>
              </w:rPr>
              <w:t>固定立式</w:t>
            </w:r>
            <w:r>
              <w:rPr>
                <w:color w:val="auto"/>
              </w:rPr>
              <w:t>储罐</w:t>
            </w:r>
          </w:p>
        </w:tc>
        <w:tc>
          <w:tcPr>
            <w:tcW w:w="531" w:type="pct"/>
            <w:vMerge w:val="restart"/>
            <w:tcBorders>
              <w:tl2br w:val="nil"/>
              <w:tr2bl w:val="nil"/>
            </w:tcBorders>
            <w:noWrap w:val="0"/>
            <w:vAlign w:val="center"/>
          </w:tcPr>
          <w:p>
            <w:pPr>
              <w:pStyle w:val="35"/>
              <w:bidi w:val="0"/>
              <w:jc w:val="center"/>
              <w:rPr>
                <w:rFonts w:hint="eastAsia"/>
                <w:color w:val="auto"/>
                <w:lang w:eastAsia="zh-CN"/>
              </w:rPr>
            </w:pPr>
            <w:r>
              <w:rPr>
                <w:rFonts w:hint="eastAsia"/>
                <w:color w:val="auto"/>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6" w:hRule="atLeast"/>
          <w:jc w:val="center"/>
        </w:trPr>
        <w:tc>
          <w:tcPr>
            <w:tcW w:w="860" w:type="pct"/>
            <w:tcBorders>
              <w:tl2br w:val="nil"/>
              <w:tr2bl w:val="nil"/>
            </w:tcBorders>
            <w:noWrap w:val="0"/>
            <w:vAlign w:val="center"/>
          </w:tcPr>
          <w:p>
            <w:pPr>
              <w:pStyle w:val="35"/>
              <w:bidi w:val="0"/>
              <w:jc w:val="center"/>
              <w:rPr>
                <w:color w:val="auto"/>
              </w:rPr>
            </w:pPr>
            <w:r>
              <w:rPr>
                <w:rFonts w:hint="eastAsia"/>
                <w:color w:val="auto"/>
              </w:rPr>
              <w:t>环己酮</w:t>
            </w:r>
          </w:p>
        </w:tc>
        <w:tc>
          <w:tcPr>
            <w:tcW w:w="1122" w:type="pct"/>
            <w:vMerge w:val="continue"/>
            <w:tcBorders>
              <w:tl2br w:val="nil"/>
              <w:tr2bl w:val="nil"/>
            </w:tcBorders>
            <w:noWrap w:val="0"/>
            <w:vAlign w:val="center"/>
          </w:tcPr>
          <w:p>
            <w:pPr>
              <w:pStyle w:val="35"/>
              <w:bidi w:val="0"/>
              <w:jc w:val="center"/>
              <w:rPr>
                <w:color w:val="auto"/>
              </w:rPr>
            </w:pPr>
          </w:p>
        </w:tc>
        <w:tc>
          <w:tcPr>
            <w:tcW w:w="473" w:type="pct"/>
            <w:vMerge w:val="continue"/>
            <w:tcBorders>
              <w:tl2br w:val="nil"/>
              <w:tr2bl w:val="nil"/>
            </w:tcBorders>
            <w:noWrap w:val="0"/>
            <w:vAlign w:val="center"/>
          </w:tcPr>
          <w:p>
            <w:pPr>
              <w:pStyle w:val="35"/>
              <w:bidi w:val="0"/>
              <w:jc w:val="center"/>
              <w:rPr>
                <w:color w:val="auto"/>
              </w:rPr>
            </w:pPr>
          </w:p>
        </w:tc>
        <w:tc>
          <w:tcPr>
            <w:tcW w:w="605" w:type="pct"/>
            <w:vMerge w:val="continue"/>
            <w:tcBorders>
              <w:tl2br w:val="nil"/>
              <w:tr2bl w:val="nil"/>
            </w:tcBorders>
            <w:noWrap w:val="0"/>
            <w:vAlign w:val="center"/>
          </w:tcPr>
          <w:p>
            <w:pPr>
              <w:pStyle w:val="35"/>
              <w:bidi w:val="0"/>
              <w:jc w:val="center"/>
              <w:rPr>
                <w:color w:val="auto"/>
              </w:rPr>
            </w:pPr>
          </w:p>
        </w:tc>
        <w:tc>
          <w:tcPr>
            <w:tcW w:w="487" w:type="pct"/>
            <w:vMerge w:val="continue"/>
            <w:tcBorders>
              <w:tl2br w:val="nil"/>
              <w:tr2bl w:val="nil"/>
            </w:tcBorders>
            <w:noWrap w:val="0"/>
            <w:vAlign w:val="center"/>
          </w:tcPr>
          <w:p>
            <w:pPr>
              <w:pStyle w:val="35"/>
              <w:bidi w:val="0"/>
              <w:jc w:val="center"/>
              <w:rPr>
                <w:color w:val="auto"/>
              </w:rPr>
            </w:pPr>
          </w:p>
        </w:tc>
        <w:tc>
          <w:tcPr>
            <w:tcW w:w="918" w:type="pct"/>
            <w:vMerge w:val="continue"/>
            <w:tcBorders>
              <w:tl2br w:val="nil"/>
              <w:tr2bl w:val="nil"/>
            </w:tcBorders>
            <w:noWrap w:val="0"/>
            <w:vAlign w:val="center"/>
          </w:tcPr>
          <w:p>
            <w:pPr>
              <w:pStyle w:val="35"/>
              <w:bidi w:val="0"/>
              <w:jc w:val="center"/>
              <w:rPr>
                <w:color w:val="auto"/>
              </w:rPr>
            </w:pPr>
          </w:p>
        </w:tc>
        <w:tc>
          <w:tcPr>
            <w:tcW w:w="531" w:type="pct"/>
            <w:vMerge w:val="continue"/>
            <w:tcBorders>
              <w:tl2br w:val="nil"/>
              <w:tr2bl w:val="nil"/>
            </w:tcBorders>
            <w:noWrap w:val="0"/>
            <w:vAlign w:val="center"/>
          </w:tcPr>
          <w:p>
            <w:pPr>
              <w:pStyle w:val="35"/>
              <w:bidi w:val="0"/>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6" w:hRule="atLeast"/>
          <w:jc w:val="center"/>
        </w:trPr>
        <w:tc>
          <w:tcPr>
            <w:tcW w:w="860" w:type="pct"/>
            <w:tcBorders>
              <w:tl2br w:val="nil"/>
              <w:tr2bl w:val="nil"/>
            </w:tcBorders>
            <w:noWrap w:val="0"/>
            <w:vAlign w:val="center"/>
          </w:tcPr>
          <w:p>
            <w:pPr>
              <w:pStyle w:val="35"/>
              <w:bidi w:val="0"/>
              <w:jc w:val="center"/>
              <w:rPr>
                <w:color w:val="auto"/>
              </w:rPr>
            </w:pPr>
            <w:r>
              <w:rPr>
                <w:rFonts w:hint="eastAsia"/>
                <w:color w:val="auto"/>
              </w:rPr>
              <w:t>苯乙烯</w:t>
            </w:r>
          </w:p>
        </w:tc>
        <w:tc>
          <w:tcPr>
            <w:tcW w:w="1122" w:type="pct"/>
            <w:vMerge w:val="continue"/>
            <w:tcBorders>
              <w:tl2br w:val="nil"/>
              <w:tr2bl w:val="nil"/>
            </w:tcBorders>
            <w:noWrap w:val="0"/>
            <w:vAlign w:val="center"/>
          </w:tcPr>
          <w:p>
            <w:pPr>
              <w:pStyle w:val="35"/>
              <w:bidi w:val="0"/>
              <w:jc w:val="center"/>
              <w:rPr>
                <w:color w:val="auto"/>
              </w:rPr>
            </w:pPr>
          </w:p>
        </w:tc>
        <w:tc>
          <w:tcPr>
            <w:tcW w:w="473" w:type="pct"/>
            <w:vMerge w:val="continue"/>
            <w:tcBorders>
              <w:tl2br w:val="nil"/>
              <w:tr2bl w:val="nil"/>
            </w:tcBorders>
            <w:noWrap w:val="0"/>
            <w:vAlign w:val="center"/>
          </w:tcPr>
          <w:p>
            <w:pPr>
              <w:pStyle w:val="35"/>
              <w:bidi w:val="0"/>
              <w:jc w:val="center"/>
              <w:rPr>
                <w:color w:val="auto"/>
              </w:rPr>
            </w:pPr>
          </w:p>
        </w:tc>
        <w:tc>
          <w:tcPr>
            <w:tcW w:w="605" w:type="pct"/>
            <w:vMerge w:val="continue"/>
            <w:tcBorders>
              <w:tl2br w:val="nil"/>
              <w:tr2bl w:val="nil"/>
            </w:tcBorders>
            <w:noWrap w:val="0"/>
            <w:vAlign w:val="center"/>
          </w:tcPr>
          <w:p>
            <w:pPr>
              <w:pStyle w:val="35"/>
              <w:bidi w:val="0"/>
              <w:jc w:val="center"/>
              <w:rPr>
                <w:color w:val="auto"/>
              </w:rPr>
            </w:pPr>
          </w:p>
        </w:tc>
        <w:tc>
          <w:tcPr>
            <w:tcW w:w="487" w:type="pct"/>
            <w:vMerge w:val="continue"/>
            <w:tcBorders>
              <w:tl2br w:val="nil"/>
              <w:tr2bl w:val="nil"/>
            </w:tcBorders>
            <w:noWrap w:val="0"/>
            <w:vAlign w:val="center"/>
          </w:tcPr>
          <w:p>
            <w:pPr>
              <w:pStyle w:val="35"/>
              <w:bidi w:val="0"/>
              <w:jc w:val="center"/>
              <w:rPr>
                <w:color w:val="auto"/>
              </w:rPr>
            </w:pPr>
          </w:p>
        </w:tc>
        <w:tc>
          <w:tcPr>
            <w:tcW w:w="918" w:type="pct"/>
            <w:vMerge w:val="continue"/>
            <w:tcBorders>
              <w:tl2br w:val="nil"/>
              <w:tr2bl w:val="nil"/>
            </w:tcBorders>
            <w:noWrap w:val="0"/>
            <w:vAlign w:val="center"/>
          </w:tcPr>
          <w:p>
            <w:pPr>
              <w:pStyle w:val="35"/>
              <w:bidi w:val="0"/>
              <w:jc w:val="center"/>
              <w:rPr>
                <w:color w:val="auto"/>
              </w:rPr>
            </w:pPr>
          </w:p>
        </w:tc>
        <w:tc>
          <w:tcPr>
            <w:tcW w:w="531" w:type="pct"/>
            <w:vMerge w:val="continue"/>
            <w:tcBorders>
              <w:tl2br w:val="nil"/>
              <w:tr2bl w:val="nil"/>
            </w:tcBorders>
            <w:noWrap w:val="0"/>
            <w:vAlign w:val="center"/>
          </w:tcPr>
          <w:p>
            <w:pPr>
              <w:pStyle w:val="35"/>
              <w:bidi w:val="0"/>
              <w:jc w:val="center"/>
              <w:rPr>
                <w:color w:val="auto"/>
              </w:rPr>
            </w:pPr>
          </w:p>
        </w:tc>
      </w:tr>
      <w:tr>
        <w:trPr>
          <w:trHeight w:val="286" w:hRule="atLeast"/>
          <w:jc w:val="center"/>
        </w:trPr>
        <w:tc>
          <w:tcPr>
            <w:tcW w:w="860" w:type="pct"/>
            <w:vMerge w:val="restart"/>
            <w:tcBorders>
              <w:tl2br w:val="nil"/>
              <w:tr2bl w:val="nil"/>
            </w:tcBorders>
            <w:noWrap w:val="0"/>
            <w:vAlign w:val="center"/>
          </w:tcPr>
          <w:p>
            <w:pPr>
              <w:pStyle w:val="35"/>
              <w:bidi w:val="0"/>
              <w:jc w:val="center"/>
              <w:rPr>
                <w:color w:val="auto"/>
              </w:rPr>
            </w:pPr>
            <w:r>
              <w:rPr>
                <w:rFonts w:hint="eastAsia"/>
                <w:color w:val="auto"/>
              </w:rPr>
              <w:t>工业原料油</w:t>
            </w:r>
          </w:p>
        </w:tc>
        <w:tc>
          <w:tcPr>
            <w:tcW w:w="1122" w:type="pct"/>
            <w:tcBorders>
              <w:tl2br w:val="nil"/>
              <w:tr2bl w:val="nil"/>
            </w:tcBorders>
            <w:noWrap w:val="0"/>
            <w:vAlign w:val="center"/>
          </w:tcPr>
          <w:p>
            <w:pPr>
              <w:pStyle w:val="35"/>
              <w:bidi w:val="0"/>
              <w:jc w:val="center"/>
              <w:rPr>
                <w:color w:val="auto"/>
              </w:rPr>
            </w:pPr>
            <w:r>
              <w:rPr>
                <w:color w:val="auto"/>
              </w:rPr>
              <w:t>X油</w:t>
            </w:r>
          </w:p>
        </w:tc>
        <w:tc>
          <w:tcPr>
            <w:tcW w:w="473" w:type="pct"/>
            <w:tcBorders>
              <w:tl2br w:val="nil"/>
              <w:tr2bl w:val="nil"/>
            </w:tcBorders>
            <w:noWrap w:val="0"/>
            <w:vAlign w:val="center"/>
          </w:tcPr>
          <w:p>
            <w:pPr>
              <w:pStyle w:val="35"/>
              <w:bidi w:val="0"/>
              <w:jc w:val="center"/>
              <w:rPr>
                <w:color w:val="auto"/>
              </w:rPr>
            </w:pPr>
            <w:r>
              <w:rPr>
                <w:rFonts w:hint="eastAsia"/>
                <w:color w:val="auto"/>
              </w:rPr>
              <w:t>液态</w:t>
            </w:r>
          </w:p>
        </w:tc>
        <w:tc>
          <w:tcPr>
            <w:tcW w:w="1152" w:type="dxa"/>
            <w:tcBorders>
              <w:tl2br w:val="nil"/>
              <w:tr2bl w:val="nil"/>
            </w:tcBorders>
            <w:noWrap w:val="0"/>
            <w:vAlign w:val="center"/>
          </w:tcPr>
          <w:p>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487" w:type="pct"/>
            <w:tcBorders>
              <w:tl2br w:val="nil"/>
              <w:tr2bl w:val="nil"/>
            </w:tcBorders>
            <w:noWrap w:val="0"/>
            <w:vAlign w:val="center"/>
          </w:tcPr>
          <w:p>
            <w:pPr>
              <w:pStyle w:val="35"/>
              <w:bidi w:val="0"/>
              <w:jc w:val="center"/>
              <w:rPr>
                <w:color w:val="auto"/>
              </w:rPr>
            </w:pPr>
            <w:r>
              <w:rPr>
                <w:color w:val="auto"/>
              </w:rPr>
              <w:t>槽车</w:t>
            </w:r>
          </w:p>
        </w:tc>
        <w:tc>
          <w:tcPr>
            <w:tcW w:w="918" w:type="pct"/>
            <w:tcBorders>
              <w:tl2br w:val="nil"/>
              <w:tr2bl w:val="nil"/>
            </w:tcBorders>
            <w:noWrap w:val="0"/>
            <w:vAlign w:val="center"/>
          </w:tcPr>
          <w:p>
            <w:pPr>
              <w:bidi w:val="0"/>
              <w:jc w:val="center"/>
              <w:rPr>
                <w:color w:val="auto"/>
              </w:rPr>
            </w:pPr>
            <w:r>
              <w:rPr>
                <w:rFonts w:hint="eastAsia"/>
                <w:color w:val="auto"/>
                <w:lang w:val="en-US" w:eastAsia="zh-CN"/>
              </w:rPr>
              <w:t>固定立式</w:t>
            </w:r>
            <w:r>
              <w:rPr>
                <w:color w:val="auto"/>
              </w:rPr>
              <w:t>储罐</w:t>
            </w:r>
          </w:p>
        </w:tc>
        <w:tc>
          <w:tcPr>
            <w:tcW w:w="531" w:type="pct"/>
            <w:tcBorders>
              <w:tl2br w:val="nil"/>
              <w:tr2bl w:val="nil"/>
            </w:tcBorders>
            <w:noWrap w:val="0"/>
            <w:vAlign w:val="center"/>
          </w:tcPr>
          <w:p>
            <w:pPr>
              <w:pStyle w:val="35"/>
              <w:bidi w:val="0"/>
              <w:jc w:val="center"/>
              <w:rPr>
                <w:color w:val="auto"/>
              </w:rPr>
            </w:pPr>
            <w:r>
              <w:rPr>
                <w:color w:val="auto"/>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6" w:hRule="atLeast"/>
          <w:jc w:val="center"/>
        </w:trPr>
        <w:tc>
          <w:tcPr>
            <w:tcW w:w="860" w:type="pct"/>
            <w:vMerge w:val="continue"/>
            <w:tcBorders>
              <w:tl2br w:val="nil"/>
              <w:tr2bl w:val="nil"/>
            </w:tcBorders>
            <w:noWrap w:val="0"/>
            <w:vAlign w:val="center"/>
          </w:tcPr>
          <w:p>
            <w:pPr>
              <w:pStyle w:val="35"/>
              <w:bidi w:val="0"/>
              <w:jc w:val="center"/>
              <w:rPr>
                <w:color w:val="auto"/>
              </w:rPr>
            </w:pPr>
          </w:p>
        </w:tc>
        <w:tc>
          <w:tcPr>
            <w:tcW w:w="1122" w:type="pct"/>
            <w:tcBorders>
              <w:tl2br w:val="nil"/>
              <w:tr2bl w:val="nil"/>
            </w:tcBorders>
            <w:noWrap w:val="0"/>
            <w:vAlign w:val="center"/>
          </w:tcPr>
          <w:p>
            <w:pPr>
              <w:pStyle w:val="35"/>
              <w:bidi w:val="0"/>
              <w:jc w:val="center"/>
              <w:rPr>
                <w:color w:val="auto"/>
              </w:rPr>
            </w:pPr>
            <w:r>
              <w:rPr>
                <w:color w:val="auto"/>
              </w:rPr>
              <w:t>工业重油</w:t>
            </w:r>
          </w:p>
        </w:tc>
        <w:tc>
          <w:tcPr>
            <w:tcW w:w="473" w:type="pct"/>
            <w:tcBorders>
              <w:tl2br w:val="nil"/>
              <w:tr2bl w:val="nil"/>
            </w:tcBorders>
            <w:noWrap w:val="0"/>
            <w:vAlign w:val="center"/>
          </w:tcPr>
          <w:p>
            <w:pPr>
              <w:pStyle w:val="35"/>
              <w:bidi w:val="0"/>
              <w:jc w:val="center"/>
              <w:rPr>
                <w:color w:val="auto"/>
              </w:rPr>
            </w:pPr>
            <w:r>
              <w:rPr>
                <w:rFonts w:hint="eastAsia"/>
                <w:color w:val="auto"/>
              </w:rPr>
              <w:t>液态</w:t>
            </w:r>
          </w:p>
        </w:tc>
        <w:tc>
          <w:tcPr>
            <w:tcW w:w="1152" w:type="dxa"/>
            <w:tcBorders>
              <w:tl2br w:val="nil"/>
              <w:tr2bl w:val="nil"/>
            </w:tcBorders>
            <w:noWrap w:val="0"/>
            <w:vAlign w:val="center"/>
          </w:tcPr>
          <w:p>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1497</w:t>
            </w:r>
          </w:p>
        </w:tc>
        <w:tc>
          <w:tcPr>
            <w:tcW w:w="487" w:type="pct"/>
            <w:tcBorders>
              <w:tl2br w:val="nil"/>
              <w:tr2bl w:val="nil"/>
            </w:tcBorders>
            <w:noWrap w:val="0"/>
            <w:vAlign w:val="center"/>
          </w:tcPr>
          <w:p>
            <w:pPr>
              <w:pStyle w:val="35"/>
              <w:bidi w:val="0"/>
              <w:jc w:val="center"/>
              <w:rPr>
                <w:color w:val="auto"/>
              </w:rPr>
            </w:pPr>
            <w:r>
              <w:rPr>
                <w:color w:val="auto"/>
              </w:rPr>
              <w:t>槽车</w:t>
            </w:r>
          </w:p>
        </w:tc>
        <w:tc>
          <w:tcPr>
            <w:tcW w:w="918" w:type="pct"/>
            <w:tcBorders>
              <w:tl2br w:val="nil"/>
              <w:tr2bl w:val="nil"/>
            </w:tcBorders>
            <w:noWrap w:val="0"/>
            <w:vAlign w:val="center"/>
          </w:tcPr>
          <w:p>
            <w:pPr>
              <w:bidi w:val="0"/>
              <w:jc w:val="center"/>
              <w:rPr>
                <w:color w:val="auto"/>
              </w:rPr>
            </w:pPr>
            <w:r>
              <w:rPr>
                <w:rFonts w:hint="eastAsia"/>
                <w:color w:val="auto"/>
                <w:lang w:val="en-US" w:eastAsia="zh-CN"/>
              </w:rPr>
              <w:t>固定立式</w:t>
            </w:r>
            <w:r>
              <w:rPr>
                <w:color w:val="auto"/>
              </w:rPr>
              <w:t>储罐</w:t>
            </w:r>
          </w:p>
        </w:tc>
        <w:tc>
          <w:tcPr>
            <w:tcW w:w="531" w:type="pct"/>
            <w:tcBorders>
              <w:tl2br w:val="nil"/>
              <w:tr2bl w:val="nil"/>
            </w:tcBorders>
            <w:noWrap w:val="0"/>
            <w:vAlign w:val="center"/>
          </w:tcPr>
          <w:p>
            <w:pPr>
              <w:pStyle w:val="35"/>
              <w:bidi w:val="0"/>
              <w:jc w:val="center"/>
              <w:rPr>
                <w:color w:val="auto"/>
              </w:rPr>
            </w:pPr>
            <w:r>
              <w:rPr>
                <w:color w:val="auto"/>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5" w:hRule="atLeast"/>
          <w:jc w:val="center"/>
        </w:trPr>
        <w:tc>
          <w:tcPr>
            <w:tcW w:w="860" w:type="pct"/>
            <w:vMerge w:val="continue"/>
            <w:tcBorders>
              <w:tl2br w:val="nil"/>
              <w:tr2bl w:val="nil"/>
            </w:tcBorders>
            <w:noWrap w:val="0"/>
            <w:vAlign w:val="center"/>
          </w:tcPr>
          <w:p>
            <w:pPr>
              <w:pStyle w:val="35"/>
              <w:bidi w:val="0"/>
              <w:jc w:val="center"/>
              <w:rPr>
                <w:color w:val="auto"/>
              </w:rPr>
            </w:pPr>
          </w:p>
        </w:tc>
        <w:tc>
          <w:tcPr>
            <w:tcW w:w="1122" w:type="pct"/>
            <w:tcBorders>
              <w:tl2br w:val="nil"/>
              <w:tr2bl w:val="nil"/>
            </w:tcBorders>
            <w:noWrap w:val="0"/>
            <w:vAlign w:val="center"/>
          </w:tcPr>
          <w:p>
            <w:pPr>
              <w:pStyle w:val="35"/>
              <w:bidi w:val="0"/>
              <w:jc w:val="center"/>
              <w:rPr>
                <w:color w:val="auto"/>
              </w:rPr>
            </w:pPr>
            <w:r>
              <w:rPr>
                <w:color w:val="auto"/>
              </w:rPr>
              <w:t>煤焦油</w:t>
            </w:r>
          </w:p>
        </w:tc>
        <w:tc>
          <w:tcPr>
            <w:tcW w:w="473" w:type="pct"/>
            <w:tcBorders>
              <w:tl2br w:val="nil"/>
              <w:tr2bl w:val="nil"/>
            </w:tcBorders>
            <w:noWrap w:val="0"/>
            <w:vAlign w:val="center"/>
          </w:tcPr>
          <w:p>
            <w:pPr>
              <w:pStyle w:val="35"/>
              <w:bidi w:val="0"/>
              <w:jc w:val="center"/>
              <w:rPr>
                <w:color w:val="auto"/>
              </w:rPr>
            </w:pPr>
            <w:r>
              <w:rPr>
                <w:rFonts w:hint="eastAsia"/>
                <w:color w:val="auto"/>
              </w:rPr>
              <w:t>液态</w:t>
            </w:r>
          </w:p>
        </w:tc>
        <w:tc>
          <w:tcPr>
            <w:tcW w:w="1152" w:type="dxa"/>
            <w:tcBorders>
              <w:tl2br w:val="nil"/>
              <w:tr2bl w:val="nil"/>
            </w:tcBorders>
            <w:noWrap w:val="0"/>
            <w:vAlign w:val="center"/>
          </w:tcPr>
          <w:p>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5410</w:t>
            </w:r>
          </w:p>
        </w:tc>
        <w:tc>
          <w:tcPr>
            <w:tcW w:w="487" w:type="pct"/>
            <w:tcBorders>
              <w:tl2br w:val="nil"/>
              <w:tr2bl w:val="nil"/>
            </w:tcBorders>
            <w:noWrap w:val="0"/>
            <w:vAlign w:val="center"/>
          </w:tcPr>
          <w:p>
            <w:pPr>
              <w:pStyle w:val="35"/>
              <w:bidi w:val="0"/>
              <w:jc w:val="center"/>
              <w:rPr>
                <w:color w:val="auto"/>
              </w:rPr>
            </w:pPr>
            <w:r>
              <w:rPr>
                <w:color w:val="auto"/>
              </w:rPr>
              <w:t>槽车</w:t>
            </w:r>
          </w:p>
        </w:tc>
        <w:tc>
          <w:tcPr>
            <w:tcW w:w="918" w:type="pct"/>
            <w:tcBorders>
              <w:tl2br w:val="nil"/>
              <w:tr2bl w:val="nil"/>
            </w:tcBorders>
            <w:noWrap w:val="0"/>
            <w:vAlign w:val="center"/>
          </w:tcPr>
          <w:p>
            <w:pPr>
              <w:bidi w:val="0"/>
              <w:jc w:val="center"/>
              <w:rPr>
                <w:color w:val="auto"/>
              </w:rPr>
            </w:pPr>
            <w:r>
              <w:rPr>
                <w:rFonts w:hint="eastAsia"/>
                <w:color w:val="auto"/>
                <w:lang w:val="en-US" w:eastAsia="zh-CN"/>
              </w:rPr>
              <w:t>固定立式</w:t>
            </w:r>
            <w:r>
              <w:rPr>
                <w:color w:val="auto"/>
              </w:rPr>
              <w:t>储罐</w:t>
            </w:r>
          </w:p>
        </w:tc>
        <w:tc>
          <w:tcPr>
            <w:tcW w:w="531" w:type="pct"/>
            <w:tcBorders>
              <w:tl2br w:val="nil"/>
              <w:tr2bl w:val="nil"/>
            </w:tcBorders>
            <w:noWrap w:val="0"/>
            <w:vAlign w:val="center"/>
          </w:tcPr>
          <w:p>
            <w:pPr>
              <w:pStyle w:val="35"/>
              <w:bidi w:val="0"/>
              <w:jc w:val="center"/>
              <w:rPr>
                <w:color w:val="auto"/>
              </w:rPr>
            </w:pPr>
            <w:r>
              <w:rPr>
                <w:color w:val="auto"/>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2" w:hRule="atLeast"/>
          <w:jc w:val="center"/>
        </w:trPr>
        <w:tc>
          <w:tcPr>
            <w:tcW w:w="860" w:type="pct"/>
            <w:vMerge w:val="continue"/>
            <w:tcBorders>
              <w:tl2br w:val="nil"/>
              <w:tr2bl w:val="nil"/>
            </w:tcBorders>
            <w:noWrap w:val="0"/>
            <w:vAlign w:val="center"/>
          </w:tcPr>
          <w:p>
            <w:pPr>
              <w:pStyle w:val="35"/>
              <w:bidi w:val="0"/>
              <w:jc w:val="center"/>
              <w:rPr>
                <w:color w:val="auto"/>
              </w:rPr>
            </w:pPr>
          </w:p>
        </w:tc>
        <w:tc>
          <w:tcPr>
            <w:tcW w:w="1122" w:type="pct"/>
            <w:tcBorders>
              <w:tl2br w:val="nil"/>
              <w:tr2bl w:val="nil"/>
            </w:tcBorders>
            <w:noWrap w:val="0"/>
            <w:vAlign w:val="center"/>
          </w:tcPr>
          <w:p>
            <w:pPr>
              <w:pStyle w:val="35"/>
              <w:bidi w:val="0"/>
              <w:jc w:val="center"/>
              <w:rPr>
                <w:color w:val="auto"/>
              </w:rPr>
            </w:pPr>
            <w:r>
              <w:rPr>
                <w:color w:val="auto"/>
              </w:rPr>
              <w:t>溶剂油</w:t>
            </w:r>
          </w:p>
        </w:tc>
        <w:tc>
          <w:tcPr>
            <w:tcW w:w="473" w:type="pct"/>
            <w:tcBorders>
              <w:tl2br w:val="nil"/>
              <w:tr2bl w:val="nil"/>
            </w:tcBorders>
            <w:noWrap w:val="0"/>
            <w:vAlign w:val="center"/>
          </w:tcPr>
          <w:p>
            <w:pPr>
              <w:pStyle w:val="35"/>
              <w:bidi w:val="0"/>
              <w:jc w:val="center"/>
              <w:rPr>
                <w:color w:val="auto"/>
              </w:rPr>
            </w:pPr>
            <w:r>
              <w:rPr>
                <w:rFonts w:hint="eastAsia"/>
                <w:color w:val="auto"/>
              </w:rPr>
              <w:t>液态</w:t>
            </w:r>
          </w:p>
        </w:tc>
        <w:tc>
          <w:tcPr>
            <w:tcW w:w="1152" w:type="dxa"/>
            <w:tcBorders>
              <w:tl2br w:val="nil"/>
              <w:tr2bl w:val="nil"/>
            </w:tcBorders>
            <w:noWrap w:val="0"/>
            <w:vAlign w:val="center"/>
          </w:tcPr>
          <w:p>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748</w:t>
            </w:r>
          </w:p>
        </w:tc>
        <w:tc>
          <w:tcPr>
            <w:tcW w:w="487" w:type="pct"/>
            <w:tcBorders>
              <w:tl2br w:val="nil"/>
              <w:tr2bl w:val="nil"/>
            </w:tcBorders>
            <w:noWrap w:val="0"/>
            <w:vAlign w:val="center"/>
          </w:tcPr>
          <w:p>
            <w:pPr>
              <w:pStyle w:val="35"/>
              <w:bidi w:val="0"/>
              <w:jc w:val="center"/>
              <w:rPr>
                <w:color w:val="auto"/>
              </w:rPr>
            </w:pPr>
            <w:r>
              <w:rPr>
                <w:color w:val="auto"/>
              </w:rPr>
              <w:t>槽车</w:t>
            </w:r>
          </w:p>
        </w:tc>
        <w:tc>
          <w:tcPr>
            <w:tcW w:w="918" w:type="pct"/>
            <w:tcBorders>
              <w:tl2br w:val="nil"/>
              <w:tr2bl w:val="nil"/>
            </w:tcBorders>
            <w:noWrap w:val="0"/>
            <w:vAlign w:val="center"/>
          </w:tcPr>
          <w:p>
            <w:pPr>
              <w:bidi w:val="0"/>
              <w:jc w:val="center"/>
              <w:rPr>
                <w:color w:val="auto"/>
              </w:rPr>
            </w:pPr>
            <w:r>
              <w:rPr>
                <w:rFonts w:hint="eastAsia"/>
                <w:color w:val="auto"/>
                <w:lang w:val="en-US" w:eastAsia="zh-CN"/>
              </w:rPr>
              <w:t>固定立式</w:t>
            </w:r>
            <w:r>
              <w:rPr>
                <w:color w:val="auto"/>
              </w:rPr>
              <w:t>储罐</w:t>
            </w:r>
          </w:p>
        </w:tc>
        <w:tc>
          <w:tcPr>
            <w:tcW w:w="531" w:type="pct"/>
            <w:tcBorders>
              <w:tl2br w:val="nil"/>
              <w:tr2bl w:val="nil"/>
            </w:tcBorders>
            <w:noWrap w:val="0"/>
            <w:vAlign w:val="center"/>
          </w:tcPr>
          <w:p>
            <w:pPr>
              <w:pStyle w:val="35"/>
              <w:bidi w:val="0"/>
              <w:jc w:val="center"/>
              <w:rPr>
                <w:color w:val="auto"/>
              </w:rPr>
            </w:pPr>
            <w:r>
              <w:rPr>
                <w:color w:val="auto"/>
              </w:rPr>
              <w:t>200</w:t>
            </w:r>
          </w:p>
        </w:tc>
      </w:tr>
    </w:tbl>
    <w:p>
      <w:pPr>
        <w:pStyle w:val="36"/>
        <w:bidi w:val="0"/>
        <w:rPr>
          <w:rFonts w:hint="eastAsia"/>
          <w:color w:val="auto"/>
          <w:lang w:val="en-US" w:eastAsia="zh-CN"/>
        </w:rPr>
      </w:pPr>
      <w:r>
        <w:rPr>
          <w:color w:val="auto"/>
        </w:rPr>
        <w:t>表</w:t>
      </w:r>
      <w:r>
        <w:rPr>
          <w:rFonts w:hint="eastAsia"/>
          <w:color w:val="auto"/>
          <w:lang w:val="en-US" w:eastAsia="zh-CN"/>
        </w:rPr>
        <w:t>3.1</w:t>
      </w:r>
      <w:r>
        <w:rPr>
          <w:rFonts w:hint="eastAsia"/>
          <w:color w:val="auto"/>
        </w:rPr>
        <w:t>-5</w:t>
      </w:r>
      <w:r>
        <w:rPr>
          <w:rFonts w:hint="eastAsia"/>
          <w:color w:val="auto"/>
          <w:lang w:val="en-US" w:eastAsia="zh-CN"/>
        </w:rPr>
        <w:t xml:space="preserve"> </w:t>
      </w:r>
      <w:r>
        <w:rPr>
          <w:color w:val="auto"/>
        </w:rPr>
        <w:t xml:space="preserve"> </w:t>
      </w:r>
      <w:r>
        <w:rPr>
          <w:rFonts w:hint="eastAsia"/>
          <w:color w:val="auto"/>
        </w:rPr>
        <w:t>现有</w:t>
      </w:r>
      <w:r>
        <w:rPr>
          <w:color w:val="auto"/>
        </w:rPr>
        <w:t>原辅材料消耗表</w:t>
      </w:r>
      <w:r>
        <w:rPr>
          <w:rFonts w:hint="eastAsia"/>
          <w:color w:val="auto"/>
          <w:lang w:val="en-US" w:eastAsia="zh-CN"/>
        </w:rPr>
        <w:t>（二期项目）</w:t>
      </w:r>
    </w:p>
    <w:tbl>
      <w:tblPr>
        <w:tblStyle w:val="27"/>
        <w:tblW w:w="504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001"/>
        <w:gridCol w:w="1260"/>
        <w:gridCol w:w="2086"/>
        <w:gridCol w:w="899"/>
        <w:gridCol w:w="720"/>
        <w:gridCol w:w="735"/>
        <w:gridCol w:w="1530"/>
        <w:gridCol w:w="11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blHeader/>
          <w:jc w:val="center"/>
        </w:trPr>
        <w:tc>
          <w:tcPr>
            <w:tcW w:w="532" w:type="pct"/>
            <w:tcBorders>
              <w:tl2br w:val="nil"/>
              <w:tr2bl w:val="nil"/>
            </w:tcBorders>
            <w:noWrap w:val="0"/>
            <w:vAlign w:val="center"/>
          </w:tcPr>
          <w:p>
            <w:pPr>
              <w:pStyle w:val="35"/>
              <w:bidi w:val="0"/>
              <w:jc w:val="center"/>
              <w:rPr>
                <w:rFonts w:hint="eastAsia"/>
                <w:b/>
                <w:bCs/>
                <w:color w:val="auto"/>
              </w:rPr>
            </w:pPr>
            <w:r>
              <w:rPr>
                <w:rFonts w:hint="eastAsia"/>
                <w:b/>
                <w:bCs/>
                <w:color w:val="auto"/>
                <w:lang w:val="en-US" w:eastAsia="zh-CN"/>
              </w:rPr>
              <w:t>产品</w:t>
            </w:r>
          </w:p>
        </w:tc>
        <w:tc>
          <w:tcPr>
            <w:tcW w:w="669" w:type="pct"/>
            <w:tcBorders>
              <w:tl2br w:val="nil"/>
              <w:tr2bl w:val="nil"/>
            </w:tcBorders>
            <w:noWrap w:val="0"/>
            <w:vAlign w:val="center"/>
          </w:tcPr>
          <w:p>
            <w:pPr>
              <w:pStyle w:val="35"/>
              <w:bidi w:val="0"/>
              <w:jc w:val="center"/>
              <w:rPr>
                <w:rFonts w:hint="eastAsia"/>
                <w:b/>
                <w:bCs/>
                <w:color w:val="auto"/>
              </w:rPr>
            </w:pPr>
            <w:r>
              <w:rPr>
                <w:rFonts w:hint="eastAsia"/>
                <w:b/>
                <w:bCs/>
                <w:color w:val="auto"/>
                <w:lang w:val="en-US" w:eastAsia="zh-CN"/>
              </w:rPr>
              <w:t>系列</w:t>
            </w:r>
          </w:p>
        </w:tc>
        <w:tc>
          <w:tcPr>
            <w:tcW w:w="1107" w:type="pct"/>
            <w:tcBorders>
              <w:tl2br w:val="nil"/>
              <w:tr2bl w:val="nil"/>
            </w:tcBorders>
            <w:noWrap w:val="0"/>
            <w:vAlign w:val="center"/>
          </w:tcPr>
          <w:p>
            <w:pPr>
              <w:pStyle w:val="35"/>
              <w:bidi w:val="0"/>
              <w:jc w:val="center"/>
              <w:rPr>
                <w:rFonts w:hint="eastAsia"/>
                <w:b/>
                <w:bCs/>
                <w:color w:val="auto"/>
              </w:rPr>
            </w:pPr>
            <w:r>
              <w:rPr>
                <w:rFonts w:hint="eastAsia"/>
                <w:b/>
                <w:bCs/>
                <w:color w:val="auto"/>
                <w:lang w:val="en-US" w:eastAsia="zh-CN"/>
              </w:rPr>
              <w:t>原料名称</w:t>
            </w:r>
          </w:p>
        </w:tc>
        <w:tc>
          <w:tcPr>
            <w:tcW w:w="477" w:type="pct"/>
            <w:tcBorders>
              <w:tl2br w:val="nil"/>
              <w:tr2bl w:val="nil"/>
            </w:tcBorders>
            <w:noWrap w:val="0"/>
            <w:vAlign w:val="center"/>
          </w:tcPr>
          <w:p>
            <w:pPr>
              <w:pStyle w:val="35"/>
              <w:bidi w:val="0"/>
              <w:jc w:val="center"/>
              <w:rPr>
                <w:rFonts w:hint="eastAsia"/>
                <w:b/>
                <w:bCs/>
                <w:color w:val="auto"/>
              </w:rPr>
            </w:pPr>
            <w:r>
              <w:rPr>
                <w:rFonts w:hint="eastAsia"/>
                <w:b/>
                <w:bCs/>
                <w:color w:val="auto"/>
                <w:lang w:val="en-US" w:eastAsia="zh-CN"/>
              </w:rPr>
              <w:t>规格</w:t>
            </w:r>
          </w:p>
        </w:tc>
        <w:tc>
          <w:tcPr>
            <w:tcW w:w="382" w:type="pct"/>
            <w:tcBorders>
              <w:tl2br w:val="nil"/>
              <w:tr2bl w:val="nil"/>
            </w:tcBorders>
            <w:noWrap w:val="0"/>
            <w:vAlign w:val="center"/>
          </w:tcPr>
          <w:p>
            <w:pPr>
              <w:pStyle w:val="35"/>
              <w:bidi w:val="0"/>
              <w:jc w:val="center"/>
              <w:rPr>
                <w:rFonts w:hint="eastAsia"/>
                <w:b/>
                <w:bCs/>
                <w:color w:val="auto"/>
              </w:rPr>
            </w:pPr>
            <w:r>
              <w:rPr>
                <w:rFonts w:hint="eastAsia"/>
                <w:b/>
                <w:bCs/>
                <w:color w:val="auto"/>
                <w:lang w:val="en-US" w:eastAsia="zh-CN"/>
              </w:rPr>
              <w:t>形态</w:t>
            </w:r>
          </w:p>
        </w:tc>
        <w:tc>
          <w:tcPr>
            <w:tcW w:w="390" w:type="pct"/>
            <w:tcBorders>
              <w:tl2br w:val="nil"/>
              <w:tr2bl w:val="nil"/>
            </w:tcBorders>
            <w:noWrap w:val="0"/>
            <w:vAlign w:val="center"/>
          </w:tcPr>
          <w:p>
            <w:pPr>
              <w:pStyle w:val="35"/>
              <w:bidi w:val="0"/>
              <w:jc w:val="center"/>
              <w:rPr>
                <w:rFonts w:hint="eastAsia"/>
                <w:b/>
                <w:bCs/>
                <w:color w:val="auto"/>
              </w:rPr>
            </w:pPr>
            <w:r>
              <w:rPr>
                <w:rFonts w:hint="eastAsia"/>
                <w:b/>
                <w:bCs/>
                <w:color w:val="auto"/>
                <w:lang w:val="en-US" w:eastAsia="zh-CN"/>
              </w:rPr>
              <w:t>年耗</w:t>
            </w:r>
            <w:r>
              <w:rPr>
                <w:rFonts w:hint="default"/>
                <w:b/>
                <w:bCs/>
                <w:color w:val="auto"/>
                <w:lang w:val="en-US" w:eastAsia="zh-CN"/>
              </w:rPr>
              <w:t>量</w:t>
            </w:r>
            <w:r>
              <w:rPr>
                <w:rFonts w:hint="eastAsia"/>
                <w:b/>
                <w:bCs/>
                <w:color w:val="auto"/>
                <w:lang w:val="en-US" w:eastAsia="zh-CN"/>
              </w:rPr>
              <w:t>（</w:t>
            </w:r>
            <w:r>
              <w:rPr>
                <w:rFonts w:hint="default"/>
                <w:b/>
                <w:bCs/>
                <w:color w:val="auto"/>
                <w:lang w:val="en-US" w:eastAsia="zh-CN"/>
              </w:rPr>
              <w:t>t/a</w:t>
            </w:r>
            <w:r>
              <w:rPr>
                <w:rFonts w:hint="eastAsia"/>
                <w:b/>
                <w:bCs/>
                <w:color w:val="auto"/>
                <w:lang w:val="en-US" w:eastAsia="zh-CN"/>
              </w:rPr>
              <w:t>）</w:t>
            </w:r>
          </w:p>
        </w:tc>
        <w:tc>
          <w:tcPr>
            <w:tcW w:w="812" w:type="pct"/>
            <w:tcBorders>
              <w:tl2br w:val="nil"/>
              <w:tr2bl w:val="nil"/>
            </w:tcBorders>
            <w:noWrap w:val="0"/>
            <w:vAlign w:val="center"/>
          </w:tcPr>
          <w:p>
            <w:pPr>
              <w:pStyle w:val="35"/>
              <w:bidi w:val="0"/>
              <w:jc w:val="center"/>
              <w:rPr>
                <w:rFonts w:hint="default"/>
                <w:b/>
                <w:bCs/>
                <w:color w:val="auto"/>
                <w:lang w:val="en-US"/>
              </w:rPr>
            </w:pPr>
            <w:r>
              <w:rPr>
                <w:rFonts w:hint="eastAsia"/>
                <w:b/>
                <w:bCs/>
                <w:color w:val="auto"/>
                <w:lang w:val="en-US" w:eastAsia="zh-CN"/>
              </w:rPr>
              <w:t>存储方式/位置</w:t>
            </w:r>
          </w:p>
        </w:tc>
        <w:tc>
          <w:tcPr>
            <w:tcW w:w="627" w:type="pct"/>
            <w:tcBorders>
              <w:tl2br w:val="nil"/>
              <w:tr2bl w:val="nil"/>
            </w:tcBorders>
            <w:noWrap w:val="0"/>
            <w:vAlign w:val="center"/>
          </w:tcPr>
          <w:p>
            <w:pPr>
              <w:pStyle w:val="35"/>
              <w:bidi w:val="0"/>
              <w:jc w:val="center"/>
              <w:rPr>
                <w:rFonts w:hint="eastAsia"/>
                <w:b/>
                <w:bCs/>
                <w:color w:val="auto"/>
              </w:rPr>
            </w:pPr>
            <w:r>
              <w:rPr>
                <w:rFonts w:hint="eastAsia"/>
                <w:b/>
                <w:bCs/>
                <w:color w:val="auto"/>
                <w:lang w:val="en-US" w:eastAsia="zh-CN"/>
              </w:rPr>
              <w:t>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二氯丙烷</w:t>
            </w:r>
          </w:p>
        </w:tc>
        <w:tc>
          <w:tcPr>
            <w:tcW w:w="669" w:type="pct"/>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工业用二氯丙烷</w:t>
            </w:r>
          </w:p>
        </w:tc>
        <w:tc>
          <w:tcPr>
            <w:tcW w:w="477" w:type="pct"/>
            <w:tcBorders>
              <w:tl2br w:val="nil"/>
              <w:tr2bl w:val="nil"/>
            </w:tcBorders>
            <w:noWrap w:val="0"/>
            <w:vAlign w:val="center"/>
          </w:tcPr>
          <w:p>
            <w:pPr>
              <w:pStyle w:val="35"/>
              <w:bidi w:val="0"/>
              <w:jc w:val="center"/>
              <w:rPr>
                <w:rFonts w:hint="default"/>
                <w:color w:val="auto"/>
              </w:rPr>
            </w:pP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3500</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巴陵石化环氧树脂事业部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restart"/>
            <w:tcBorders>
              <w:tl2br w:val="nil"/>
              <w:tr2bl w:val="nil"/>
            </w:tcBorders>
            <w:noWrap w:val="0"/>
            <w:vAlign w:val="center"/>
          </w:tcPr>
          <w:p>
            <w:pPr>
              <w:pStyle w:val="35"/>
              <w:bidi w:val="0"/>
              <w:jc w:val="center"/>
              <w:rPr>
                <w:rFonts w:hint="eastAsia"/>
                <w:color w:val="auto"/>
              </w:rPr>
            </w:pPr>
            <w:r>
              <w:rPr>
                <w:rFonts w:hint="eastAsia"/>
                <w:color w:val="auto"/>
                <w:lang w:val="en-US" w:eastAsia="zh-CN"/>
              </w:rPr>
              <w:t>环氧固化剂</w:t>
            </w:r>
          </w:p>
        </w:tc>
        <w:tc>
          <w:tcPr>
            <w:tcW w:w="669" w:type="pct"/>
            <w:vMerge w:val="restart"/>
            <w:tcBorders>
              <w:tl2br w:val="nil"/>
              <w:tr2bl w:val="nil"/>
            </w:tcBorders>
            <w:noWrap w:val="0"/>
            <w:vAlign w:val="center"/>
          </w:tcPr>
          <w:p>
            <w:pPr>
              <w:pStyle w:val="35"/>
              <w:bidi w:val="0"/>
              <w:jc w:val="center"/>
              <w:rPr>
                <w:rFonts w:hint="eastAsia"/>
                <w:color w:val="auto"/>
              </w:rPr>
            </w:pPr>
            <w:r>
              <w:rPr>
                <w:rFonts w:hint="eastAsia"/>
                <w:color w:val="auto"/>
                <w:lang w:val="en-US" w:eastAsia="zh-CN"/>
              </w:rPr>
              <w:t>T31固化剂</w:t>
            </w: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1，</w:t>
            </w:r>
            <w:r>
              <w:rPr>
                <w:rFonts w:hint="default"/>
                <w:color w:val="auto"/>
                <w:lang w:val="en-US" w:eastAsia="zh-CN"/>
              </w:rPr>
              <w:t>2</w:t>
            </w:r>
            <w:r>
              <w:rPr>
                <w:rFonts w:hint="eastAsia"/>
                <w:color w:val="auto"/>
                <w:lang w:val="en-US" w:eastAsia="zh-CN"/>
              </w:rPr>
              <w:t>乙二胺</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≥98.0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333.62</w:t>
            </w:r>
          </w:p>
        </w:tc>
        <w:tc>
          <w:tcPr>
            <w:tcW w:w="812" w:type="pct"/>
            <w:tcBorders>
              <w:tl2br w:val="nil"/>
              <w:tr2bl w:val="nil"/>
            </w:tcBorders>
            <w:noWrap w:val="0"/>
            <w:vAlign w:val="center"/>
          </w:tcPr>
          <w:p>
            <w:pPr>
              <w:pStyle w:val="35"/>
              <w:bidi w:val="0"/>
              <w:jc w:val="center"/>
              <w:rPr>
                <w:rFonts w:hint="default" w:eastAsia="宋体"/>
                <w:color w:val="auto"/>
                <w:lang w:val="en-US" w:eastAsia="zh-CN"/>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苯酚</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560.01</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多聚甲醛</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w:t>
            </w:r>
            <w:r>
              <w:rPr>
                <w:rFonts w:hint="eastAsia"/>
                <w:color w:val="auto"/>
                <w:lang w:val="en-US" w:eastAsia="zh-CN"/>
              </w:rPr>
              <w:t>7</w:t>
            </w:r>
            <w:r>
              <w:rPr>
                <w:rFonts w:hint="default"/>
                <w:color w:val="auto"/>
                <w:lang w:val="en-US" w:eastAsia="zh-CN"/>
              </w:rPr>
              <w:t>.0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245.75</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甲醇</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w:t>
            </w:r>
            <w:r>
              <w:rPr>
                <w:rFonts w:hint="eastAsia"/>
                <w:color w:val="auto"/>
                <w:lang w:val="en-US" w:eastAsia="zh-CN"/>
              </w:rPr>
              <w:t>8</w:t>
            </w:r>
            <w:r>
              <w:rPr>
                <w:rFonts w:hint="default"/>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89.36</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二丁脂</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lang w:eastAsia="zh-CN"/>
              </w:rPr>
            </w:pPr>
            <w:r>
              <w:rPr>
                <w:rFonts w:hint="eastAsia"/>
                <w:color w:val="auto"/>
                <w:lang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89.36</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二氯丙烷</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w:t>
            </w:r>
            <w:r>
              <w:rPr>
                <w:rFonts w:hint="eastAsia"/>
                <w:color w:val="auto"/>
                <w:lang w:val="en-US" w:eastAsia="zh-CN"/>
              </w:rPr>
              <w:t>5</w:t>
            </w:r>
            <w:r>
              <w:rPr>
                <w:rFonts w:hint="default"/>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148.94</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lang w:eastAsia="zh-CN"/>
              </w:rPr>
            </w:pPr>
            <w:r>
              <w:rPr>
                <w:rFonts w:hint="eastAsia"/>
                <w:color w:val="auto"/>
                <w:lang w:eastAsia="zh-CN"/>
              </w:rPr>
              <w:t>自产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restar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593固化剂</w:t>
            </w: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环氧树脂</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固态</w:t>
            </w:r>
          </w:p>
        </w:tc>
        <w:tc>
          <w:tcPr>
            <w:tcW w:w="390"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507.14</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苯甲醇</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w:t>
            </w:r>
            <w:r>
              <w:rPr>
                <w:rFonts w:hint="eastAsia"/>
                <w:color w:val="auto"/>
                <w:lang w:val="en-US" w:eastAsia="zh-CN"/>
              </w:rPr>
              <w:t>7</w:t>
            </w:r>
            <w:r>
              <w:rPr>
                <w:rFonts w:hint="default"/>
                <w:color w:val="auto"/>
                <w:lang w:val="en-US" w:eastAsia="zh-CN"/>
              </w:rPr>
              <w:t>.0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882.48</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二乙烯三胺</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w:t>
            </w:r>
            <w:r>
              <w:rPr>
                <w:rFonts w:hint="eastAsia"/>
                <w:color w:val="auto"/>
                <w:lang w:val="en-US" w:eastAsia="zh-CN"/>
              </w:rPr>
              <w:t>7</w:t>
            </w:r>
            <w:r>
              <w:rPr>
                <w:rFonts w:hint="default"/>
                <w:color w:val="auto"/>
                <w:lang w:val="en-US" w:eastAsia="zh-CN"/>
              </w:rPr>
              <w:t>.0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992.24</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restart"/>
            <w:tcBorders>
              <w:tl2br w:val="nil"/>
              <w:tr2bl w:val="nil"/>
            </w:tcBorders>
            <w:noWrap w:val="0"/>
            <w:vAlign w:val="center"/>
          </w:tcPr>
          <w:p>
            <w:pPr>
              <w:pStyle w:val="35"/>
              <w:bidi w:val="0"/>
              <w:jc w:val="center"/>
              <w:rPr>
                <w:rFonts w:hint="eastAsia"/>
                <w:color w:val="auto"/>
              </w:rPr>
            </w:pPr>
            <w:r>
              <w:rPr>
                <w:rFonts w:hint="eastAsia"/>
                <w:color w:val="auto"/>
                <w:lang w:val="en-US" w:eastAsia="zh-CN"/>
              </w:rPr>
              <w:t>改性胺固化剂</w:t>
            </w: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聚醚胺</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100</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环氧树脂</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固态</w:t>
            </w:r>
          </w:p>
        </w:tc>
        <w:tc>
          <w:tcPr>
            <w:tcW w:w="390"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507.14</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苄基缩水甘油醚</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200</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三乙烯四胺</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w:t>
            </w:r>
            <w:r>
              <w:rPr>
                <w:rFonts w:hint="eastAsia"/>
                <w:color w:val="auto"/>
                <w:lang w:val="en-US" w:eastAsia="zh-CN"/>
              </w:rPr>
              <w:t>7</w:t>
            </w:r>
            <w:r>
              <w:rPr>
                <w:rFonts w:hint="default"/>
                <w:color w:val="auto"/>
                <w:lang w:val="en-US" w:eastAsia="zh-CN"/>
              </w:rPr>
              <w:t>.0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200</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苯甲醇</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w:t>
            </w:r>
            <w:r>
              <w:rPr>
                <w:rFonts w:hint="eastAsia"/>
                <w:color w:val="auto"/>
                <w:lang w:val="en-US" w:eastAsia="zh-CN"/>
              </w:rPr>
              <w:t>7</w:t>
            </w:r>
            <w:r>
              <w:rPr>
                <w:rFonts w:hint="default"/>
                <w:color w:val="auto"/>
                <w:lang w:val="en-US" w:eastAsia="zh-CN"/>
              </w:rPr>
              <w:t>.0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882.48</w:t>
            </w:r>
          </w:p>
        </w:tc>
        <w:tc>
          <w:tcPr>
            <w:tcW w:w="81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restar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涂料助剂</w:t>
            </w:r>
          </w:p>
        </w:tc>
        <w:tc>
          <w:tcPr>
            <w:tcW w:w="669" w:type="pct"/>
            <w:vMerge w:val="restart"/>
            <w:tcBorders>
              <w:tl2br w:val="nil"/>
              <w:tr2bl w:val="nil"/>
            </w:tcBorders>
            <w:noWrap w:val="0"/>
            <w:vAlign w:val="center"/>
          </w:tcPr>
          <w:p>
            <w:pPr>
              <w:pStyle w:val="35"/>
              <w:bidi w:val="0"/>
              <w:jc w:val="center"/>
              <w:rPr>
                <w:rFonts w:hint="eastAsia"/>
                <w:color w:val="auto"/>
              </w:rPr>
            </w:pPr>
            <w:r>
              <w:rPr>
                <w:rFonts w:hint="eastAsia"/>
                <w:color w:val="auto"/>
                <w:lang w:val="en-US" w:eastAsia="zh-CN"/>
              </w:rPr>
              <w:t>聚酯分散剂</w:t>
            </w: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己二酸</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w:t>
            </w:r>
            <w:r>
              <w:rPr>
                <w:rFonts w:hint="eastAsia"/>
                <w:color w:val="auto"/>
                <w:lang w:val="en-US" w:eastAsia="zh-CN"/>
              </w:rPr>
              <w:t>8</w:t>
            </w:r>
            <w:r>
              <w:rPr>
                <w:rFonts w:hint="default"/>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65.36</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袋装/原料仓库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新戊二醇</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w:t>
            </w:r>
            <w:r>
              <w:rPr>
                <w:rFonts w:hint="eastAsia"/>
                <w:color w:val="auto"/>
                <w:lang w:val="en-US" w:eastAsia="zh-CN"/>
              </w:rPr>
              <w:t>5</w:t>
            </w:r>
            <w:r>
              <w:rPr>
                <w:rFonts w:hint="default"/>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61.19</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袋装/原料仓库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多聚磷酸</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w:t>
            </w:r>
            <w:r>
              <w:rPr>
                <w:rFonts w:hint="eastAsia"/>
                <w:color w:val="auto"/>
                <w:lang w:val="en-US" w:eastAsia="zh-CN"/>
              </w:rPr>
              <w:t>7</w:t>
            </w:r>
            <w:r>
              <w:rPr>
                <w:rFonts w:hint="default"/>
                <w:color w:val="auto"/>
                <w:lang w:val="en-US" w:eastAsia="zh-CN"/>
              </w:rPr>
              <w:t>.0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5.49</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3-甲基戊二醇</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19.51</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丙二醇甲醚醋酸酯</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151.56</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restart"/>
            <w:tcBorders>
              <w:tl2br w:val="nil"/>
              <w:tr2bl w:val="nil"/>
            </w:tcBorders>
            <w:noWrap w:val="0"/>
            <w:vAlign w:val="center"/>
          </w:tcPr>
          <w:p>
            <w:pPr>
              <w:pStyle w:val="35"/>
              <w:bidi w:val="0"/>
              <w:jc w:val="center"/>
              <w:rPr>
                <w:rFonts w:hint="eastAsia"/>
                <w:color w:val="auto"/>
              </w:rPr>
            </w:pPr>
            <w:r>
              <w:rPr>
                <w:rFonts w:hint="eastAsia"/>
                <w:color w:val="auto"/>
                <w:lang w:val="en-US" w:eastAsia="zh-CN"/>
              </w:rPr>
              <w:t>1#丙烯酸分散剂</w:t>
            </w: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丙烯酸</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100</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甲基丙烯酸</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w:t>
            </w:r>
            <w:r>
              <w:rPr>
                <w:rFonts w:hint="eastAsia"/>
                <w:color w:val="auto"/>
                <w:lang w:val="en-US" w:eastAsia="zh-CN"/>
              </w:rPr>
              <w:t>7</w:t>
            </w:r>
            <w:r>
              <w:rPr>
                <w:rFonts w:hint="default"/>
                <w:color w:val="auto"/>
                <w:lang w:val="en-US" w:eastAsia="zh-CN"/>
              </w:rPr>
              <w:t>.0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w:t>
            </w:r>
            <w:r>
              <w:rPr>
                <w:rFonts w:hint="default"/>
                <w:color w:val="auto"/>
                <w:lang w:val="en-US" w:eastAsia="zh-CN"/>
              </w:rPr>
              <w:t>/</w:t>
            </w:r>
            <w:r>
              <w:rPr>
                <w:rFonts w:hint="eastAsia"/>
                <w:color w:val="auto"/>
                <w:lang w:val="en-US" w:eastAsia="zh-CN"/>
              </w:rPr>
              <w:t>液</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50</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二叔丁基过氧化物</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8</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氢氧化钠</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8</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袋装/原料仓库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restart"/>
            <w:tcBorders>
              <w:tl2br w:val="nil"/>
              <w:tr2bl w:val="nil"/>
            </w:tcBorders>
            <w:noWrap w:val="0"/>
            <w:vAlign w:val="center"/>
          </w:tcPr>
          <w:p>
            <w:pPr>
              <w:pStyle w:val="35"/>
              <w:bidi w:val="0"/>
              <w:jc w:val="center"/>
              <w:rPr>
                <w:rFonts w:hint="eastAsia"/>
                <w:color w:val="auto"/>
              </w:rPr>
            </w:pPr>
            <w:r>
              <w:rPr>
                <w:rFonts w:hint="eastAsia"/>
                <w:color w:val="auto"/>
                <w:lang w:val="en-US" w:eastAsia="zh-CN"/>
              </w:rPr>
              <w:t>2#丙烯酸分散剂</w:t>
            </w: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丙烯酸</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≥99.0</w:t>
            </w: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100</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甲基丙烯酸甲酯</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w:t>
            </w:r>
            <w:r>
              <w:rPr>
                <w:rFonts w:hint="eastAsia"/>
                <w:color w:val="auto"/>
                <w:lang w:val="en-US" w:eastAsia="zh-CN"/>
              </w:rPr>
              <w:t>5</w:t>
            </w:r>
            <w:r>
              <w:rPr>
                <w:rFonts w:hint="default"/>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100</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二甲苯</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12</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vMerge w:val="continue"/>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二叔丁基过氧化物</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w:t>
            </w:r>
            <w:r>
              <w:rPr>
                <w:rFonts w:hint="eastAsia"/>
                <w:color w:val="auto"/>
                <w:lang w:val="en-US" w:eastAsia="zh-CN"/>
              </w:rPr>
              <w:t>5</w:t>
            </w:r>
            <w:r>
              <w:rPr>
                <w:rFonts w:hint="default"/>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100</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restart"/>
            <w:tcBorders>
              <w:tl2br w:val="nil"/>
              <w:tr2bl w:val="nil"/>
            </w:tcBorders>
            <w:noWrap w:val="0"/>
            <w:vAlign w:val="center"/>
          </w:tcPr>
          <w:p>
            <w:pPr>
              <w:pStyle w:val="35"/>
              <w:bidi w:val="0"/>
              <w:jc w:val="center"/>
              <w:rPr>
                <w:rFonts w:hint="eastAsia"/>
                <w:color w:val="auto"/>
              </w:rPr>
            </w:pPr>
            <w:r>
              <w:rPr>
                <w:rFonts w:hint="eastAsia"/>
                <w:color w:val="auto"/>
                <w:lang w:val="en-US" w:eastAsia="zh-CN"/>
              </w:rPr>
              <w:t>环氧地坪涂料</w:t>
            </w:r>
          </w:p>
        </w:tc>
        <w:tc>
          <w:tcPr>
            <w:tcW w:w="669" w:type="pct"/>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环氧树脂</w:t>
            </w:r>
          </w:p>
        </w:tc>
        <w:tc>
          <w:tcPr>
            <w:tcW w:w="477" w:type="pct"/>
            <w:tcBorders>
              <w:tl2br w:val="nil"/>
              <w:tr2bl w:val="nil"/>
            </w:tcBorders>
            <w:noWrap w:val="0"/>
            <w:vAlign w:val="center"/>
          </w:tcPr>
          <w:p>
            <w:pPr>
              <w:pStyle w:val="35"/>
              <w:bidi w:val="0"/>
              <w:jc w:val="center"/>
              <w:rPr>
                <w:rFonts w:hint="default"/>
                <w:color w:val="auto"/>
              </w:rPr>
            </w:pPr>
            <w:r>
              <w:rPr>
                <w:rFonts w:hint="default"/>
                <w:color w:val="auto"/>
                <w:lang w:val="en-US" w:eastAsia="zh-CN"/>
              </w:rPr>
              <w:t>≥99.</w:t>
            </w:r>
            <w:r>
              <w:rPr>
                <w:rFonts w:hint="eastAsia"/>
                <w:color w:val="auto"/>
                <w:lang w:val="en-US" w:eastAsia="zh-CN"/>
              </w:rPr>
              <w:t>8</w:t>
            </w:r>
            <w:r>
              <w:rPr>
                <w:rFonts w:hint="default"/>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600</w:t>
            </w:r>
          </w:p>
        </w:tc>
        <w:tc>
          <w:tcPr>
            <w:tcW w:w="812" w:type="pct"/>
            <w:tcBorders>
              <w:tl2br w:val="nil"/>
              <w:tr2bl w:val="nil"/>
            </w:tcBorders>
            <w:noWrap w:val="0"/>
            <w:vAlign w:val="center"/>
          </w:tcPr>
          <w:p>
            <w:pPr>
              <w:bidi w:val="0"/>
              <w:jc w:val="center"/>
              <w:rPr>
                <w:rFonts w:hint="default"/>
                <w:color w:val="auto"/>
                <w:lang w:val="en-US"/>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苄基缩水甘油醚</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100</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聚醚胺固化剂</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320</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酚醛胺固化剂</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lang w:eastAsia="zh-CN"/>
              </w:rPr>
            </w:pPr>
            <w:r>
              <w:rPr>
                <w:rFonts w:hint="eastAsia"/>
                <w:color w:val="auto"/>
                <w:lang w:eastAsia="zh-CN"/>
              </w:rPr>
              <w:t>液态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320</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桶装/原料仓库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碳酸钙</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1020.4</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袋装/原料仓库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硫酸钡</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511</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袋装/原料仓库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硅微粉</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108</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袋装/原料仓库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分散剂</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20</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袋装/原料仓库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流平剂</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20</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袋装/原料仓库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532" w:type="pct"/>
            <w:vMerge w:val="continue"/>
            <w:tcBorders>
              <w:tl2br w:val="nil"/>
              <w:tr2bl w:val="nil"/>
            </w:tcBorders>
            <w:noWrap w:val="0"/>
            <w:vAlign w:val="center"/>
          </w:tcPr>
          <w:p>
            <w:pPr>
              <w:pStyle w:val="35"/>
              <w:bidi w:val="0"/>
              <w:jc w:val="center"/>
              <w:rPr>
                <w:rFonts w:hint="eastAsia"/>
                <w:color w:val="auto"/>
              </w:rPr>
            </w:pPr>
          </w:p>
        </w:tc>
        <w:tc>
          <w:tcPr>
            <w:tcW w:w="669" w:type="pct"/>
            <w:tcBorders>
              <w:tl2br w:val="nil"/>
              <w:tr2bl w:val="nil"/>
            </w:tcBorders>
            <w:noWrap w:val="0"/>
            <w:vAlign w:val="center"/>
          </w:tcPr>
          <w:p>
            <w:pPr>
              <w:pStyle w:val="35"/>
              <w:bidi w:val="0"/>
              <w:jc w:val="center"/>
              <w:rPr>
                <w:rFonts w:hint="eastAsia"/>
                <w:color w:val="auto"/>
              </w:rPr>
            </w:pPr>
          </w:p>
        </w:tc>
        <w:tc>
          <w:tcPr>
            <w:tcW w:w="110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消泡剂</w:t>
            </w:r>
          </w:p>
        </w:tc>
        <w:tc>
          <w:tcPr>
            <w:tcW w:w="47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w:t>
            </w:r>
          </w:p>
        </w:tc>
        <w:tc>
          <w:tcPr>
            <w:tcW w:w="382"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固态</w:t>
            </w:r>
          </w:p>
        </w:tc>
        <w:tc>
          <w:tcPr>
            <w:tcW w:w="390"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20</w:t>
            </w:r>
          </w:p>
        </w:tc>
        <w:tc>
          <w:tcPr>
            <w:tcW w:w="812" w:type="pct"/>
            <w:tcBorders>
              <w:tl2br w:val="nil"/>
              <w:tr2bl w:val="nil"/>
            </w:tcBorders>
            <w:noWrap w:val="0"/>
            <w:vAlign w:val="center"/>
          </w:tcPr>
          <w:p>
            <w:pPr>
              <w:bidi w:val="0"/>
              <w:jc w:val="center"/>
              <w:rPr>
                <w:rFonts w:hint="eastAsia"/>
                <w:color w:val="auto"/>
              </w:rPr>
            </w:pPr>
            <w:r>
              <w:rPr>
                <w:rFonts w:hint="eastAsia"/>
                <w:color w:val="auto"/>
                <w:lang w:val="en-US" w:eastAsia="zh-CN"/>
              </w:rPr>
              <w:t>袋装/原料仓库</w:t>
            </w:r>
          </w:p>
        </w:tc>
        <w:tc>
          <w:tcPr>
            <w:tcW w:w="627"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外购</w:t>
            </w:r>
          </w:p>
        </w:tc>
      </w:tr>
    </w:tbl>
    <w:p>
      <w:pPr>
        <w:pStyle w:val="32"/>
        <w:bidi w:val="0"/>
        <w:rPr>
          <w:rFonts w:hint="eastAsia"/>
          <w:color w:val="auto"/>
          <w:lang w:val="de-DE"/>
        </w:rPr>
      </w:pPr>
      <w:bookmarkStart w:id="42" w:name="_Toc15921"/>
      <w:r>
        <w:rPr>
          <w:rFonts w:hint="eastAsia"/>
          <w:color w:val="auto"/>
          <w:lang w:val="en-US" w:eastAsia="zh-CN"/>
        </w:rPr>
        <w:t>3</w:t>
      </w:r>
      <w:r>
        <w:rPr>
          <w:color w:val="auto"/>
          <w:lang w:val="de-DE"/>
        </w:rPr>
        <w:t>.1.</w:t>
      </w:r>
      <w:r>
        <w:rPr>
          <w:rFonts w:hint="eastAsia"/>
          <w:color w:val="auto"/>
          <w:lang w:val="de-DE"/>
        </w:rPr>
        <w:t>4</w:t>
      </w:r>
      <w:r>
        <w:rPr>
          <w:color w:val="auto"/>
          <w:lang w:val="de-DE"/>
        </w:rPr>
        <w:t>现有工程</w:t>
      </w:r>
      <w:r>
        <w:rPr>
          <w:rFonts w:hint="eastAsia"/>
          <w:color w:val="auto"/>
          <w:lang w:val="de-DE"/>
        </w:rPr>
        <w:t>主要生产设备</w:t>
      </w:r>
      <w:bookmarkEnd w:id="42"/>
    </w:p>
    <w:p>
      <w:pPr>
        <w:pStyle w:val="33"/>
        <w:bidi w:val="0"/>
        <w:rPr>
          <w:rFonts w:hint="default"/>
          <w:color w:val="auto"/>
          <w:lang w:val="en-US" w:eastAsia="zh-CN"/>
        </w:rPr>
      </w:pPr>
      <w:r>
        <w:rPr>
          <w:rFonts w:hint="eastAsia"/>
          <w:color w:val="auto"/>
          <w:lang w:val="en-US" w:eastAsia="zh-CN"/>
        </w:rPr>
        <w:t>现有生产设备包括一期已建和二期在建设备和生产线，</w:t>
      </w:r>
      <w:r>
        <w:rPr>
          <w:rFonts w:hint="eastAsia" w:ascii="Times New Roman" w:hAnsi="Times New Roman"/>
          <w:caps w:val="0"/>
          <w:smallCaps w:val="0"/>
          <w:color w:val="auto"/>
          <w:sz w:val="24"/>
        </w:rPr>
        <w:t>二氯丙烷1000吨、苯乙烯1000吨、环己烷1000吨、环己酮2000吨</w:t>
      </w:r>
      <w:r>
        <w:rPr>
          <w:rFonts w:hint="eastAsia" w:ascii="Times New Roman" w:hAnsi="Times New Roman"/>
          <w:caps w:val="0"/>
          <w:smallCaps w:val="0"/>
          <w:color w:val="auto"/>
          <w:sz w:val="24"/>
          <w:lang w:eastAsia="zh-CN"/>
        </w:rPr>
        <w:t>通过（溶剂回收）精馏装置</w:t>
      </w:r>
      <w:r>
        <w:rPr>
          <w:rFonts w:hint="eastAsia"/>
          <w:caps w:val="0"/>
          <w:smallCaps w:val="0"/>
          <w:color w:val="auto"/>
          <w:sz w:val="24"/>
          <w:lang w:val="en-US" w:eastAsia="zh-CN"/>
        </w:rPr>
        <w:t>进行生产</w:t>
      </w:r>
      <w:r>
        <w:rPr>
          <w:rFonts w:hint="eastAsia"/>
          <w:caps w:val="0"/>
          <w:smallCaps w:val="0"/>
          <w:color w:val="auto"/>
          <w:sz w:val="24"/>
          <w:lang w:eastAsia="zh-CN"/>
        </w:rPr>
        <w:t>，</w:t>
      </w:r>
      <w:r>
        <w:rPr>
          <w:rFonts w:hint="eastAsia" w:ascii="Times New Roman" w:hAnsi="Times New Roman"/>
          <w:caps w:val="0"/>
          <w:smallCaps w:val="0"/>
          <w:color w:val="auto"/>
          <w:sz w:val="24"/>
        </w:rPr>
        <w:t>工业燃料油8000吨</w:t>
      </w:r>
      <w:r>
        <w:rPr>
          <w:rFonts w:hint="eastAsia" w:ascii="Times New Roman" w:hAnsi="Times New Roman"/>
          <w:caps w:val="0"/>
          <w:smallCaps w:val="0"/>
          <w:color w:val="auto"/>
          <w:sz w:val="24"/>
          <w:lang w:eastAsia="zh-CN"/>
        </w:rPr>
        <w:t>通过燃料油设备进行生产进行生产</w:t>
      </w:r>
      <w:r>
        <w:rPr>
          <w:rFonts w:hint="eastAsia"/>
          <w:color w:val="auto"/>
          <w:lang w:val="en-US" w:eastAsia="zh-CN"/>
        </w:rPr>
        <w:t>见下表3.1-6。</w:t>
      </w:r>
    </w:p>
    <w:p>
      <w:pPr>
        <w:pStyle w:val="36"/>
        <w:bidi w:val="0"/>
        <w:rPr>
          <w:color w:val="auto"/>
        </w:rPr>
      </w:pPr>
      <w:r>
        <w:rPr>
          <w:color w:val="auto"/>
        </w:rPr>
        <w:t>表</w:t>
      </w:r>
      <w:r>
        <w:rPr>
          <w:rFonts w:hint="eastAsia"/>
          <w:color w:val="auto"/>
          <w:lang w:val="en-US" w:eastAsia="zh-CN"/>
        </w:rPr>
        <w:t>3.1-6</w:t>
      </w:r>
      <w:r>
        <w:rPr>
          <w:color w:val="auto"/>
        </w:rPr>
        <w:t xml:space="preserve">  </w:t>
      </w:r>
      <w:r>
        <w:rPr>
          <w:rFonts w:hint="eastAsia"/>
          <w:color w:val="auto"/>
          <w:lang w:val="en-US" w:eastAsia="zh-CN"/>
        </w:rPr>
        <w:t>现有</w:t>
      </w:r>
      <w:r>
        <w:rPr>
          <w:rFonts w:hint="eastAsia"/>
          <w:color w:val="auto"/>
        </w:rPr>
        <w:t>生产</w:t>
      </w:r>
      <w:r>
        <w:rPr>
          <w:color w:val="auto"/>
        </w:rPr>
        <w:t>设备一览表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657"/>
        <w:gridCol w:w="3272"/>
        <w:gridCol w:w="1459"/>
        <w:gridCol w:w="875"/>
        <w:gridCol w:w="15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9" w:hRule="atLeast"/>
          <w:tblHeader/>
          <w:jc w:val="center"/>
        </w:trPr>
        <w:tc>
          <w:tcPr>
            <w:tcW w:w="360" w:type="pct"/>
            <w:tcBorders>
              <w:tl2br w:val="nil"/>
              <w:tr2bl w:val="nil"/>
            </w:tcBorders>
            <w:noWrap w:val="0"/>
            <w:vAlign w:val="center"/>
          </w:tcPr>
          <w:p>
            <w:pPr>
              <w:pStyle w:val="35"/>
              <w:bidi w:val="0"/>
              <w:rPr>
                <w:b/>
                <w:bCs/>
                <w:color w:val="auto"/>
              </w:rPr>
            </w:pPr>
            <w:r>
              <w:rPr>
                <w:b/>
                <w:bCs/>
                <w:color w:val="auto"/>
              </w:rPr>
              <w:t>序号</w:t>
            </w:r>
          </w:p>
        </w:tc>
        <w:tc>
          <w:tcPr>
            <w:tcW w:w="871" w:type="pct"/>
            <w:tcBorders>
              <w:tl2br w:val="nil"/>
              <w:tr2bl w:val="nil"/>
            </w:tcBorders>
            <w:noWrap w:val="0"/>
            <w:vAlign w:val="center"/>
          </w:tcPr>
          <w:p>
            <w:pPr>
              <w:pStyle w:val="35"/>
              <w:bidi w:val="0"/>
              <w:rPr>
                <w:b/>
                <w:bCs/>
                <w:color w:val="auto"/>
              </w:rPr>
            </w:pPr>
            <w:r>
              <w:rPr>
                <w:b/>
                <w:bCs/>
                <w:color w:val="auto"/>
              </w:rPr>
              <w:t>名称</w:t>
            </w:r>
          </w:p>
        </w:tc>
        <w:tc>
          <w:tcPr>
            <w:tcW w:w="1720" w:type="pct"/>
            <w:tcBorders>
              <w:tl2br w:val="nil"/>
              <w:tr2bl w:val="nil"/>
            </w:tcBorders>
            <w:noWrap w:val="0"/>
            <w:vAlign w:val="center"/>
          </w:tcPr>
          <w:p>
            <w:pPr>
              <w:pStyle w:val="35"/>
              <w:bidi w:val="0"/>
              <w:rPr>
                <w:b/>
                <w:bCs/>
                <w:color w:val="auto"/>
              </w:rPr>
            </w:pPr>
            <w:r>
              <w:rPr>
                <w:b/>
                <w:bCs/>
                <w:color w:val="auto"/>
              </w:rPr>
              <w:t>型号（规格）</w:t>
            </w:r>
          </w:p>
        </w:tc>
        <w:tc>
          <w:tcPr>
            <w:tcW w:w="767" w:type="pct"/>
            <w:tcBorders>
              <w:tl2br w:val="nil"/>
              <w:tr2bl w:val="nil"/>
            </w:tcBorders>
            <w:noWrap w:val="0"/>
            <w:vAlign w:val="center"/>
          </w:tcPr>
          <w:p>
            <w:pPr>
              <w:pStyle w:val="35"/>
              <w:bidi w:val="0"/>
              <w:rPr>
                <w:b/>
                <w:bCs/>
                <w:color w:val="auto"/>
              </w:rPr>
            </w:pPr>
            <w:r>
              <w:rPr>
                <w:rFonts w:hint="eastAsia"/>
                <w:b/>
                <w:bCs/>
                <w:color w:val="auto"/>
              </w:rPr>
              <w:t>材质</w:t>
            </w:r>
          </w:p>
        </w:tc>
        <w:tc>
          <w:tcPr>
            <w:tcW w:w="458" w:type="pct"/>
            <w:tcBorders>
              <w:tl2br w:val="nil"/>
              <w:tr2bl w:val="nil"/>
            </w:tcBorders>
            <w:noWrap w:val="0"/>
            <w:vAlign w:val="center"/>
          </w:tcPr>
          <w:p>
            <w:pPr>
              <w:pStyle w:val="35"/>
              <w:bidi w:val="0"/>
              <w:rPr>
                <w:b/>
                <w:bCs/>
                <w:color w:val="auto"/>
              </w:rPr>
            </w:pPr>
            <w:r>
              <w:rPr>
                <w:rFonts w:hint="eastAsia"/>
                <w:b/>
                <w:bCs/>
                <w:color w:val="auto"/>
              </w:rPr>
              <w:t>台</w:t>
            </w:r>
          </w:p>
        </w:tc>
        <w:tc>
          <w:tcPr>
            <w:tcW w:w="821" w:type="pct"/>
            <w:tcBorders>
              <w:tl2br w:val="nil"/>
              <w:tr2bl w:val="nil"/>
            </w:tcBorders>
            <w:noWrap w:val="0"/>
            <w:vAlign w:val="top"/>
          </w:tcPr>
          <w:p>
            <w:pPr>
              <w:pStyle w:val="35"/>
              <w:bidi w:val="0"/>
              <w:rPr>
                <w:b/>
                <w:bCs/>
                <w:color w:val="auto"/>
              </w:rPr>
            </w:pPr>
            <w:r>
              <w:rPr>
                <w:rFonts w:hint="eastAsia"/>
                <w:b/>
                <w:bCs/>
                <w:color w:val="auto"/>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55" w:hRule="atLeast"/>
          <w:jc w:val="center"/>
        </w:trPr>
        <w:tc>
          <w:tcPr>
            <w:tcW w:w="360" w:type="pct"/>
            <w:tcBorders>
              <w:tl2br w:val="nil"/>
              <w:tr2bl w:val="nil"/>
            </w:tcBorders>
            <w:noWrap w:val="0"/>
            <w:vAlign w:val="center"/>
          </w:tcPr>
          <w:p>
            <w:pPr>
              <w:pStyle w:val="35"/>
              <w:bidi w:val="0"/>
              <w:rPr>
                <w:color w:val="auto"/>
              </w:rPr>
            </w:pPr>
            <w:r>
              <w:rPr>
                <w:rFonts w:hint="eastAsia"/>
                <w:color w:val="auto"/>
              </w:rPr>
              <w:t>一</w:t>
            </w:r>
          </w:p>
        </w:tc>
        <w:tc>
          <w:tcPr>
            <w:tcW w:w="3818" w:type="pct"/>
            <w:gridSpan w:val="4"/>
            <w:tcBorders>
              <w:tl2br w:val="nil"/>
              <w:tr2bl w:val="nil"/>
            </w:tcBorders>
            <w:noWrap w:val="0"/>
            <w:vAlign w:val="center"/>
          </w:tcPr>
          <w:p>
            <w:pPr>
              <w:pStyle w:val="35"/>
              <w:bidi w:val="0"/>
              <w:rPr>
                <w:color w:val="auto"/>
              </w:rPr>
            </w:pPr>
            <w:r>
              <w:rPr>
                <w:rFonts w:hint="eastAsia"/>
                <w:color w:val="auto"/>
                <w:lang w:val="en-US" w:eastAsia="zh-CN"/>
              </w:rPr>
              <w:t>二氯丙烷、苯乙烯、环己烷、环己酮</w:t>
            </w:r>
            <w:r>
              <w:rPr>
                <w:rFonts w:hint="eastAsia"/>
                <w:color w:val="auto"/>
              </w:rPr>
              <w:t>（溶剂回收）精馏装置</w:t>
            </w:r>
          </w:p>
        </w:tc>
        <w:tc>
          <w:tcPr>
            <w:tcW w:w="821" w:type="pct"/>
            <w:tcBorders>
              <w:tl2br w:val="nil"/>
              <w:tr2bl w:val="nil"/>
            </w:tcBorders>
            <w:noWrap w:val="0"/>
            <w:vAlign w:val="top"/>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55" w:hRule="atLeast"/>
          <w:jc w:val="center"/>
        </w:trPr>
        <w:tc>
          <w:tcPr>
            <w:tcW w:w="360" w:type="pct"/>
            <w:tcBorders>
              <w:tl2br w:val="nil"/>
              <w:tr2bl w:val="nil"/>
            </w:tcBorders>
            <w:noWrap w:val="0"/>
            <w:vAlign w:val="center"/>
          </w:tcPr>
          <w:p>
            <w:pPr>
              <w:pStyle w:val="35"/>
              <w:bidi w:val="0"/>
              <w:rPr>
                <w:color w:val="auto"/>
              </w:rPr>
            </w:pPr>
            <w:r>
              <w:rPr>
                <w:color w:val="auto"/>
              </w:rPr>
              <w:t>1</w:t>
            </w:r>
          </w:p>
        </w:tc>
        <w:tc>
          <w:tcPr>
            <w:tcW w:w="871" w:type="pct"/>
            <w:tcBorders>
              <w:tl2br w:val="nil"/>
              <w:tr2bl w:val="nil"/>
            </w:tcBorders>
            <w:noWrap w:val="0"/>
            <w:vAlign w:val="center"/>
          </w:tcPr>
          <w:p>
            <w:pPr>
              <w:pStyle w:val="35"/>
              <w:bidi w:val="0"/>
              <w:rPr>
                <w:color w:val="auto"/>
              </w:rPr>
            </w:pPr>
            <w:r>
              <w:rPr>
                <w:color w:val="auto"/>
              </w:rPr>
              <w:t>精馏塔</w:t>
            </w:r>
          </w:p>
        </w:tc>
        <w:tc>
          <w:tcPr>
            <w:tcW w:w="1720" w:type="pct"/>
            <w:tcBorders>
              <w:tl2br w:val="nil"/>
              <w:tr2bl w:val="nil"/>
            </w:tcBorders>
            <w:noWrap w:val="0"/>
            <w:vAlign w:val="center"/>
          </w:tcPr>
          <w:p>
            <w:pPr>
              <w:pStyle w:val="35"/>
              <w:bidi w:val="0"/>
              <w:rPr>
                <w:color w:val="auto"/>
              </w:rPr>
            </w:pPr>
            <w:r>
              <w:rPr>
                <w:rFonts w:hint="eastAsia"/>
                <w:color w:val="auto"/>
              </w:rPr>
              <w:t>Φ700;  12节;   H=25250</w:t>
            </w:r>
          </w:p>
        </w:tc>
        <w:tc>
          <w:tcPr>
            <w:tcW w:w="767" w:type="pct"/>
            <w:tcBorders>
              <w:tl2br w:val="nil"/>
              <w:tr2bl w:val="nil"/>
            </w:tcBorders>
            <w:noWrap w:val="0"/>
            <w:vAlign w:val="center"/>
          </w:tcPr>
          <w:p>
            <w:pPr>
              <w:pStyle w:val="35"/>
              <w:bidi w:val="0"/>
              <w:rPr>
                <w:color w:val="auto"/>
              </w:rPr>
            </w:pPr>
            <w:r>
              <w:rPr>
                <w:rFonts w:hint="eastAsia"/>
                <w:color w:val="auto"/>
              </w:rPr>
              <w:t>碳钢/搪玻璃</w:t>
            </w: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rFonts w:hint="eastAsia"/>
                <w:color w:val="auto"/>
                <w:lang w:eastAsia="zh-CN"/>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1" w:hRule="atLeast"/>
          <w:jc w:val="center"/>
        </w:trPr>
        <w:tc>
          <w:tcPr>
            <w:tcW w:w="360" w:type="pct"/>
            <w:tcBorders>
              <w:tl2br w:val="nil"/>
              <w:tr2bl w:val="nil"/>
            </w:tcBorders>
            <w:noWrap w:val="0"/>
            <w:vAlign w:val="center"/>
          </w:tcPr>
          <w:p>
            <w:pPr>
              <w:pStyle w:val="35"/>
              <w:bidi w:val="0"/>
              <w:rPr>
                <w:color w:val="auto"/>
              </w:rPr>
            </w:pPr>
            <w:r>
              <w:rPr>
                <w:rFonts w:hint="eastAsia"/>
                <w:color w:val="auto"/>
              </w:rPr>
              <w:t>2</w:t>
            </w:r>
          </w:p>
        </w:tc>
        <w:tc>
          <w:tcPr>
            <w:tcW w:w="871" w:type="pct"/>
            <w:tcBorders>
              <w:tl2br w:val="nil"/>
              <w:tr2bl w:val="nil"/>
            </w:tcBorders>
            <w:noWrap w:val="0"/>
            <w:vAlign w:val="center"/>
          </w:tcPr>
          <w:p>
            <w:pPr>
              <w:pStyle w:val="35"/>
              <w:bidi w:val="0"/>
              <w:rPr>
                <w:color w:val="auto"/>
              </w:rPr>
            </w:pPr>
            <w:r>
              <w:rPr>
                <w:rFonts w:hint="eastAsia"/>
                <w:color w:val="auto"/>
              </w:rPr>
              <w:t>粗馏塔</w:t>
            </w:r>
          </w:p>
        </w:tc>
        <w:tc>
          <w:tcPr>
            <w:tcW w:w="1720" w:type="pct"/>
            <w:tcBorders>
              <w:tl2br w:val="nil"/>
              <w:tr2bl w:val="nil"/>
            </w:tcBorders>
            <w:noWrap w:val="0"/>
            <w:vAlign w:val="center"/>
          </w:tcPr>
          <w:p>
            <w:pPr>
              <w:pStyle w:val="35"/>
              <w:bidi w:val="0"/>
              <w:rPr>
                <w:color w:val="auto"/>
              </w:rPr>
            </w:pPr>
            <w:r>
              <w:rPr>
                <w:rFonts w:hint="eastAsia"/>
                <w:color w:val="auto"/>
              </w:rPr>
              <w:t>Φ900;  12节;   H=28500</w:t>
            </w:r>
          </w:p>
        </w:tc>
        <w:tc>
          <w:tcPr>
            <w:tcW w:w="767" w:type="pct"/>
            <w:tcBorders>
              <w:tl2br w:val="nil"/>
              <w:tr2bl w:val="nil"/>
            </w:tcBorders>
            <w:noWrap w:val="0"/>
            <w:vAlign w:val="center"/>
          </w:tcPr>
          <w:p>
            <w:pPr>
              <w:pStyle w:val="35"/>
              <w:bidi w:val="0"/>
              <w:rPr>
                <w:color w:val="auto"/>
              </w:rPr>
            </w:pPr>
            <w:r>
              <w:rPr>
                <w:rFonts w:hint="eastAsia"/>
                <w:color w:val="auto"/>
              </w:rPr>
              <w:t>碳钢/搪玻璃</w:t>
            </w: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1" w:hRule="atLeast"/>
          <w:jc w:val="center"/>
        </w:trPr>
        <w:tc>
          <w:tcPr>
            <w:tcW w:w="360" w:type="pct"/>
            <w:tcBorders>
              <w:tl2br w:val="nil"/>
              <w:tr2bl w:val="nil"/>
            </w:tcBorders>
            <w:noWrap w:val="0"/>
            <w:vAlign w:val="center"/>
          </w:tcPr>
          <w:p>
            <w:pPr>
              <w:pStyle w:val="35"/>
              <w:bidi w:val="0"/>
              <w:rPr>
                <w:color w:val="auto"/>
              </w:rPr>
            </w:pPr>
            <w:r>
              <w:rPr>
                <w:rFonts w:hint="eastAsia"/>
                <w:color w:val="auto"/>
              </w:rPr>
              <w:t>3</w:t>
            </w:r>
          </w:p>
        </w:tc>
        <w:tc>
          <w:tcPr>
            <w:tcW w:w="871" w:type="pct"/>
            <w:tcBorders>
              <w:tl2br w:val="nil"/>
              <w:tr2bl w:val="nil"/>
            </w:tcBorders>
            <w:noWrap w:val="0"/>
            <w:vAlign w:val="center"/>
          </w:tcPr>
          <w:p>
            <w:pPr>
              <w:pStyle w:val="35"/>
              <w:bidi w:val="0"/>
              <w:rPr>
                <w:color w:val="auto"/>
              </w:rPr>
            </w:pPr>
            <w:r>
              <w:rPr>
                <w:rFonts w:hint="eastAsia"/>
                <w:color w:val="auto"/>
              </w:rPr>
              <w:t>玻璃钢冷却塔</w:t>
            </w:r>
          </w:p>
        </w:tc>
        <w:tc>
          <w:tcPr>
            <w:tcW w:w="1720" w:type="pct"/>
            <w:tcBorders>
              <w:tl2br w:val="nil"/>
              <w:tr2bl w:val="nil"/>
            </w:tcBorders>
            <w:noWrap w:val="0"/>
            <w:vAlign w:val="center"/>
          </w:tcPr>
          <w:p>
            <w:pPr>
              <w:pStyle w:val="35"/>
              <w:bidi w:val="0"/>
              <w:rPr>
                <w:color w:val="auto"/>
              </w:rPr>
            </w:pPr>
            <w:r>
              <w:rPr>
                <w:rFonts w:hint="eastAsia"/>
                <w:color w:val="auto"/>
              </w:rPr>
              <w:t>DBNL3-100</w:t>
            </w:r>
          </w:p>
        </w:tc>
        <w:tc>
          <w:tcPr>
            <w:tcW w:w="767" w:type="pct"/>
            <w:tcBorders>
              <w:tl2br w:val="nil"/>
              <w:tr2bl w:val="nil"/>
            </w:tcBorders>
            <w:noWrap w:val="0"/>
            <w:vAlign w:val="center"/>
          </w:tcPr>
          <w:p>
            <w:pPr>
              <w:pStyle w:val="35"/>
              <w:bidi w:val="0"/>
              <w:rPr>
                <w:color w:val="auto"/>
              </w:rPr>
            </w:pPr>
            <w:r>
              <w:rPr>
                <w:rFonts w:hint="eastAsia"/>
                <w:color w:val="auto"/>
              </w:rPr>
              <w:t>玻璃钢、碳钢</w:t>
            </w: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1" w:hRule="atLeast"/>
          <w:jc w:val="center"/>
        </w:trPr>
        <w:tc>
          <w:tcPr>
            <w:tcW w:w="360" w:type="pct"/>
            <w:tcBorders>
              <w:tl2br w:val="nil"/>
              <w:tr2bl w:val="nil"/>
            </w:tcBorders>
            <w:noWrap w:val="0"/>
            <w:vAlign w:val="center"/>
          </w:tcPr>
          <w:p>
            <w:pPr>
              <w:pStyle w:val="35"/>
              <w:bidi w:val="0"/>
              <w:rPr>
                <w:color w:val="auto"/>
              </w:rPr>
            </w:pPr>
            <w:r>
              <w:rPr>
                <w:rFonts w:hint="eastAsia"/>
                <w:color w:val="auto"/>
              </w:rPr>
              <w:t>4</w:t>
            </w:r>
          </w:p>
        </w:tc>
        <w:tc>
          <w:tcPr>
            <w:tcW w:w="871" w:type="pct"/>
            <w:tcBorders>
              <w:tl2br w:val="nil"/>
              <w:tr2bl w:val="nil"/>
            </w:tcBorders>
            <w:noWrap w:val="0"/>
            <w:vAlign w:val="center"/>
          </w:tcPr>
          <w:p>
            <w:pPr>
              <w:pStyle w:val="35"/>
              <w:bidi w:val="0"/>
              <w:rPr>
                <w:color w:val="auto"/>
              </w:rPr>
            </w:pPr>
            <w:r>
              <w:rPr>
                <w:rFonts w:hint="eastAsia"/>
                <w:color w:val="auto"/>
              </w:rPr>
              <w:t>石墨再沸器</w:t>
            </w:r>
          </w:p>
        </w:tc>
        <w:tc>
          <w:tcPr>
            <w:tcW w:w="1720" w:type="pct"/>
            <w:tcBorders>
              <w:tl2br w:val="nil"/>
              <w:tr2bl w:val="nil"/>
            </w:tcBorders>
            <w:noWrap w:val="0"/>
            <w:vAlign w:val="center"/>
          </w:tcPr>
          <w:p>
            <w:pPr>
              <w:pStyle w:val="35"/>
              <w:bidi w:val="0"/>
              <w:rPr>
                <w:color w:val="auto"/>
              </w:rPr>
            </w:pPr>
            <w:r>
              <w:rPr>
                <w:rFonts w:hint="eastAsia"/>
                <w:color w:val="auto"/>
              </w:rPr>
              <w:t>YKB40-15；15</w:t>
            </w:r>
            <w:r>
              <w:rPr>
                <w:rFonts w:hint="eastAsia"/>
                <w:color w:val="auto"/>
                <w:lang w:val="en-US" w:eastAsia="zh-CN"/>
              </w:rPr>
              <w:t>m</w:t>
            </w:r>
            <w:r>
              <w:rPr>
                <w:rFonts w:hint="eastAsia"/>
                <w:color w:val="auto"/>
                <w:vertAlign w:val="superscript"/>
                <w:lang w:val="en-US" w:eastAsia="zh-CN"/>
              </w:rPr>
              <w:t>2</w:t>
            </w:r>
            <w:r>
              <w:rPr>
                <w:rFonts w:hint="eastAsia"/>
                <w:color w:val="auto"/>
              </w:rPr>
              <w:t>；Φ430×2400</w:t>
            </w:r>
          </w:p>
        </w:tc>
        <w:tc>
          <w:tcPr>
            <w:tcW w:w="767" w:type="pct"/>
            <w:tcBorders>
              <w:tl2br w:val="nil"/>
              <w:tr2bl w:val="nil"/>
            </w:tcBorders>
            <w:noWrap w:val="0"/>
            <w:vAlign w:val="center"/>
          </w:tcPr>
          <w:p>
            <w:pPr>
              <w:pStyle w:val="35"/>
              <w:bidi w:val="0"/>
              <w:rPr>
                <w:color w:val="auto"/>
              </w:rPr>
            </w:pPr>
            <w:r>
              <w:rPr>
                <w:rFonts w:hint="eastAsia"/>
                <w:color w:val="auto"/>
              </w:rPr>
              <w:t>碳钢/石墨</w:t>
            </w: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1" w:hRule="atLeast"/>
          <w:jc w:val="center"/>
        </w:trPr>
        <w:tc>
          <w:tcPr>
            <w:tcW w:w="360" w:type="pct"/>
            <w:tcBorders>
              <w:tl2br w:val="nil"/>
              <w:tr2bl w:val="nil"/>
            </w:tcBorders>
            <w:noWrap w:val="0"/>
            <w:vAlign w:val="center"/>
          </w:tcPr>
          <w:p>
            <w:pPr>
              <w:pStyle w:val="35"/>
              <w:bidi w:val="0"/>
              <w:rPr>
                <w:color w:val="auto"/>
              </w:rPr>
            </w:pPr>
            <w:r>
              <w:rPr>
                <w:rFonts w:hint="eastAsia"/>
                <w:color w:val="auto"/>
              </w:rPr>
              <w:t>5</w:t>
            </w:r>
          </w:p>
        </w:tc>
        <w:tc>
          <w:tcPr>
            <w:tcW w:w="871" w:type="pct"/>
            <w:tcBorders>
              <w:tl2br w:val="nil"/>
              <w:tr2bl w:val="nil"/>
            </w:tcBorders>
            <w:noWrap w:val="0"/>
            <w:vAlign w:val="center"/>
          </w:tcPr>
          <w:p>
            <w:pPr>
              <w:pStyle w:val="35"/>
              <w:bidi w:val="0"/>
              <w:rPr>
                <w:color w:val="auto"/>
              </w:rPr>
            </w:pPr>
            <w:r>
              <w:rPr>
                <w:rFonts w:hint="eastAsia"/>
                <w:color w:val="auto"/>
              </w:rPr>
              <w:t>石墨</w:t>
            </w:r>
            <w:r>
              <w:rPr>
                <w:color w:val="auto"/>
              </w:rPr>
              <w:t>再沸器</w:t>
            </w:r>
          </w:p>
        </w:tc>
        <w:tc>
          <w:tcPr>
            <w:tcW w:w="1720" w:type="pct"/>
            <w:tcBorders>
              <w:tl2br w:val="nil"/>
              <w:tr2bl w:val="nil"/>
            </w:tcBorders>
            <w:noWrap w:val="0"/>
            <w:vAlign w:val="center"/>
          </w:tcPr>
          <w:p>
            <w:pPr>
              <w:pStyle w:val="35"/>
              <w:bidi w:val="0"/>
              <w:rPr>
                <w:color w:val="auto"/>
              </w:rPr>
            </w:pPr>
            <w:r>
              <w:rPr>
                <w:rFonts w:hint="eastAsia"/>
                <w:color w:val="auto"/>
              </w:rPr>
              <w:t>YKB50-30；30</w:t>
            </w:r>
            <w:r>
              <w:rPr>
                <w:rFonts w:hint="eastAsia"/>
                <w:color w:val="auto"/>
                <w:lang w:val="en-US" w:eastAsia="zh-CN"/>
              </w:rPr>
              <w:t>m</w:t>
            </w:r>
            <w:r>
              <w:rPr>
                <w:rFonts w:hint="eastAsia"/>
                <w:color w:val="auto"/>
                <w:vertAlign w:val="superscript"/>
                <w:lang w:val="en-US" w:eastAsia="zh-CN"/>
              </w:rPr>
              <w:t>2</w:t>
            </w:r>
            <w:r>
              <w:rPr>
                <w:rFonts w:hint="eastAsia"/>
                <w:color w:val="auto"/>
              </w:rPr>
              <w:t>；Φ530×3280</w:t>
            </w:r>
          </w:p>
        </w:tc>
        <w:tc>
          <w:tcPr>
            <w:tcW w:w="767" w:type="pct"/>
            <w:tcBorders>
              <w:tl2br w:val="nil"/>
              <w:tr2bl w:val="nil"/>
            </w:tcBorders>
            <w:noWrap w:val="0"/>
            <w:vAlign w:val="center"/>
          </w:tcPr>
          <w:p>
            <w:pPr>
              <w:pStyle w:val="35"/>
              <w:bidi w:val="0"/>
              <w:rPr>
                <w:color w:val="auto"/>
              </w:rPr>
            </w:pPr>
            <w:r>
              <w:rPr>
                <w:rFonts w:hint="eastAsia"/>
                <w:color w:val="auto"/>
              </w:rPr>
              <w:t>碳钢/石墨</w:t>
            </w: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37" w:hRule="exact"/>
          <w:jc w:val="center"/>
        </w:trPr>
        <w:tc>
          <w:tcPr>
            <w:tcW w:w="360" w:type="pct"/>
            <w:tcBorders>
              <w:tl2br w:val="nil"/>
              <w:tr2bl w:val="nil"/>
            </w:tcBorders>
            <w:noWrap w:val="0"/>
            <w:vAlign w:val="center"/>
          </w:tcPr>
          <w:p>
            <w:pPr>
              <w:pStyle w:val="35"/>
              <w:bidi w:val="0"/>
              <w:rPr>
                <w:color w:val="auto"/>
              </w:rPr>
            </w:pPr>
            <w:r>
              <w:rPr>
                <w:rFonts w:hint="eastAsia"/>
                <w:color w:val="auto"/>
              </w:rPr>
              <w:t>6</w:t>
            </w:r>
          </w:p>
        </w:tc>
        <w:tc>
          <w:tcPr>
            <w:tcW w:w="871" w:type="pct"/>
            <w:tcBorders>
              <w:tl2br w:val="nil"/>
              <w:tr2bl w:val="nil"/>
            </w:tcBorders>
            <w:noWrap w:val="0"/>
            <w:vAlign w:val="center"/>
          </w:tcPr>
          <w:p>
            <w:pPr>
              <w:pStyle w:val="35"/>
              <w:bidi w:val="0"/>
              <w:rPr>
                <w:color w:val="auto"/>
              </w:rPr>
            </w:pPr>
            <w:r>
              <w:rPr>
                <w:rFonts w:hint="eastAsia"/>
                <w:color w:val="auto"/>
              </w:rPr>
              <w:t>石墨冷凝器</w:t>
            </w:r>
          </w:p>
        </w:tc>
        <w:tc>
          <w:tcPr>
            <w:tcW w:w="1720" w:type="pct"/>
            <w:tcBorders>
              <w:tl2br w:val="nil"/>
              <w:tr2bl w:val="nil"/>
            </w:tcBorders>
            <w:noWrap w:val="0"/>
            <w:vAlign w:val="center"/>
          </w:tcPr>
          <w:p>
            <w:pPr>
              <w:pStyle w:val="35"/>
              <w:bidi w:val="0"/>
              <w:rPr>
                <w:color w:val="auto"/>
              </w:rPr>
            </w:pPr>
            <w:r>
              <w:rPr>
                <w:rFonts w:hint="eastAsia"/>
                <w:color w:val="auto"/>
              </w:rPr>
              <w:t>YKB60-55; 55</w:t>
            </w:r>
            <w:r>
              <w:rPr>
                <w:rFonts w:hint="eastAsia"/>
                <w:color w:val="auto"/>
                <w:lang w:val="en-US" w:eastAsia="zh-CN"/>
              </w:rPr>
              <w:t>m</w:t>
            </w:r>
            <w:r>
              <w:rPr>
                <w:rFonts w:hint="eastAsia"/>
                <w:color w:val="auto"/>
                <w:vertAlign w:val="superscript"/>
                <w:lang w:val="en-US" w:eastAsia="zh-CN"/>
              </w:rPr>
              <w:t>2</w:t>
            </w:r>
            <w:r>
              <w:rPr>
                <w:rFonts w:hint="eastAsia"/>
                <w:color w:val="auto"/>
              </w:rPr>
              <w:t>; Φ630×3760</w:t>
            </w:r>
          </w:p>
        </w:tc>
        <w:tc>
          <w:tcPr>
            <w:tcW w:w="767" w:type="pct"/>
            <w:tcBorders>
              <w:tl2br w:val="nil"/>
              <w:tr2bl w:val="nil"/>
            </w:tcBorders>
            <w:noWrap w:val="0"/>
            <w:vAlign w:val="center"/>
          </w:tcPr>
          <w:p>
            <w:pPr>
              <w:pStyle w:val="35"/>
              <w:bidi w:val="0"/>
              <w:rPr>
                <w:color w:val="auto"/>
              </w:rPr>
            </w:pPr>
            <w:r>
              <w:rPr>
                <w:rFonts w:hint="eastAsia"/>
                <w:color w:val="auto"/>
              </w:rPr>
              <w:t>碳钢/石墨</w:t>
            </w: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29" w:hRule="exact"/>
          <w:jc w:val="center"/>
        </w:trPr>
        <w:tc>
          <w:tcPr>
            <w:tcW w:w="360" w:type="pct"/>
            <w:tcBorders>
              <w:tl2br w:val="nil"/>
              <w:tr2bl w:val="nil"/>
            </w:tcBorders>
            <w:noWrap w:val="0"/>
            <w:vAlign w:val="center"/>
          </w:tcPr>
          <w:p>
            <w:pPr>
              <w:pStyle w:val="35"/>
              <w:bidi w:val="0"/>
              <w:rPr>
                <w:color w:val="auto"/>
              </w:rPr>
            </w:pPr>
            <w:r>
              <w:rPr>
                <w:rFonts w:hint="eastAsia"/>
                <w:color w:val="auto"/>
              </w:rPr>
              <w:t>7</w:t>
            </w:r>
          </w:p>
        </w:tc>
        <w:tc>
          <w:tcPr>
            <w:tcW w:w="871" w:type="pct"/>
            <w:tcBorders>
              <w:tl2br w:val="nil"/>
              <w:tr2bl w:val="nil"/>
            </w:tcBorders>
            <w:noWrap w:val="0"/>
            <w:vAlign w:val="center"/>
          </w:tcPr>
          <w:p>
            <w:pPr>
              <w:pStyle w:val="35"/>
              <w:bidi w:val="0"/>
              <w:rPr>
                <w:color w:val="auto"/>
              </w:rPr>
            </w:pPr>
            <w:r>
              <w:rPr>
                <w:rFonts w:hint="eastAsia"/>
                <w:color w:val="auto"/>
              </w:rPr>
              <w:t>石墨冷凝器</w:t>
            </w:r>
          </w:p>
        </w:tc>
        <w:tc>
          <w:tcPr>
            <w:tcW w:w="1720" w:type="pct"/>
            <w:tcBorders>
              <w:tl2br w:val="nil"/>
              <w:tr2bl w:val="nil"/>
            </w:tcBorders>
            <w:noWrap w:val="0"/>
            <w:vAlign w:val="center"/>
          </w:tcPr>
          <w:p>
            <w:pPr>
              <w:pStyle w:val="35"/>
              <w:bidi w:val="0"/>
              <w:rPr>
                <w:color w:val="auto"/>
              </w:rPr>
            </w:pPr>
            <w:r>
              <w:rPr>
                <w:rFonts w:hint="eastAsia"/>
                <w:color w:val="auto"/>
              </w:rPr>
              <w:t>YKB80-90; 90</w:t>
            </w:r>
            <w:r>
              <w:rPr>
                <w:rFonts w:hint="eastAsia"/>
                <w:color w:val="auto"/>
                <w:lang w:val="en-US" w:eastAsia="zh-CN"/>
              </w:rPr>
              <w:t>m</w:t>
            </w:r>
            <w:r>
              <w:rPr>
                <w:rFonts w:hint="eastAsia"/>
                <w:color w:val="auto"/>
                <w:vertAlign w:val="superscript"/>
                <w:lang w:val="en-US" w:eastAsia="zh-CN"/>
              </w:rPr>
              <w:t>2</w:t>
            </w:r>
            <w:r>
              <w:rPr>
                <w:rFonts w:hint="eastAsia"/>
                <w:color w:val="auto"/>
              </w:rPr>
              <w:t>; Φ830×3560</w:t>
            </w:r>
          </w:p>
        </w:tc>
        <w:tc>
          <w:tcPr>
            <w:tcW w:w="767" w:type="pct"/>
            <w:tcBorders>
              <w:tl2br w:val="nil"/>
              <w:tr2bl w:val="nil"/>
            </w:tcBorders>
            <w:noWrap w:val="0"/>
            <w:vAlign w:val="center"/>
          </w:tcPr>
          <w:p>
            <w:pPr>
              <w:pStyle w:val="35"/>
              <w:bidi w:val="0"/>
              <w:rPr>
                <w:color w:val="auto"/>
              </w:rPr>
            </w:pPr>
            <w:r>
              <w:rPr>
                <w:rFonts w:hint="eastAsia"/>
                <w:color w:val="auto"/>
              </w:rPr>
              <w:t>碳钢/石墨</w:t>
            </w: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61" w:hRule="exact"/>
          <w:jc w:val="center"/>
        </w:trPr>
        <w:tc>
          <w:tcPr>
            <w:tcW w:w="360" w:type="pct"/>
            <w:tcBorders>
              <w:tl2br w:val="nil"/>
              <w:tr2bl w:val="nil"/>
            </w:tcBorders>
            <w:noWrap w:val="0"/>
            <w:vAlign w:val="center"/>
          </w:tcPr>
          <w:p>
            <w:pPr>
              <w:pStyle w:val="35"/>
              <w:bidi w:val="0"/>
              <w:rPr>
                <w:color w:val="auto"/>
              </w:rPr>
            </w:pPr>
            <w:r>
              <w:rPr>
                <w:rFonts w:hint="eastAsia"/>
                <w:color w:val="auto"/>
              </w:rPr>
              <w:t>8</w:t>
            </w:r>
          </w:p>
        </w:tc>
        <w:tc>
          <w:tcPr>
            <w:tcW w:w="871" w:type="pct"/>
            <w:tcBorders>
              <w:tl2br w:val="nil"/>
              <w:tr2bl w:val="nil"/>
            </w:tcBorders>
            <w:noWrap w:val="0"/>
            <w:vAlign w:val="center"/>
          </w:tcPr>
          <w:p>
            <w:pPr>
              <w:pStyle w:val="35"/>
              <w:bidi w:val="0"/>
              <w:rPr>
                <w:color w:val="auto"/>
              </w:rPr>
            </w:pPr>
            <w:r>
              <w:rPr>
                <w:rFonts w:hint="eastAsia"/>
                <w:color w:val="auto"/>
              </w:rPr>
              <w:t>搪玻璃反应釜</w:t>
            </w:r>
          </w:p>
        </w:tc>
        <w:tc>
          <w:tcPr>
            <w:tcW w:w="1720" w:type="pct"/>
            <w:tcBorders>
              <w:tl2br w:val="nil"/>
              <w:tr2bl w:val="nil"/>
            </w:tcBorders>
            <w:noWrap w:val="0"/>
            <w:vAlign w:val="center"/>
          </w:tcPr>
          <w:p>
            <w:pPr>
              <w:pStyle w:val="35"/>
              <w:bidi w:val="0"/>
              <w:rPr>
                <w:color w:val="auto"/>
              </w:rPr>
            </w:pPr>
            <w:r>
              <w:rPr>
                <w:rFonts w:hint="eastAsia"/>
                <w:color w:val="auto"/>
              </w:rPr>
              <w:t>6.3</w:t>
            </w:r>
            <w:r>
              <w:rPr>
                <w:rFonts w:hint="eastAsia"/>
                <w:color w:val="auto"/>
                <w:lang w:val="en-US" w:eastAsia="zh-CN"/>
              </w:rPr>
              <w:t>m</w:t>
            </w:r>
            <w:r>
              <w:rPr>
                <w:rFonts w:hint="eastAsia"/>
                <w:color w:val="auto"/>
                <w:vertAlign w:val="superscript"/>
                <w:lang w:val="en-US" w:eastAsia="zh-CN"/>
              </w:rPr>
              <w:t>3</w:t>
            </w:r>
            <w:r>
              <w:rPr>
                <w:rFonts w:hint="eastAsia"/>
                <w:color w:val="auto"/>
              </w:rPr>
              <w:t>；Φ1750×3528；4526kg</w:t>
            </w:r>
          </w:p>
        </w:tc>
        <w:tc>
          <w:tcPr>
            <w:tcW w:w="767" w:type="pct"/>
            <w:tcBorders>
              <w:tl2br w:val="nil"/>
              <w:tr2bl w:val="nil"/>
            </w:tcBorders>
            <w:noWrap w:val="0"/>
            <w:vAlign w:val="center"/>
          </w:tcPr>
          <w:p>
            <w:pPr>
              <w:pStyle w:val="35"/>
              <w:bidi w:val="0"/>
              <w:rPr>
                <w:color w:val="auto"/>
              </w:rPr>
            </w:pPr>
            <w:r>
              <w:rPr>
                <w:rFonts w:hint="eastAsia"/>
                <w:color w:val="auto"/>
              </w:rPr>
              <w:t>搪瓷</w:t>
            </w: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66" w:hRule="exact"/>
          <w:jc w:val="center"/>
        </w:trPr>
        <w:tc>
          <w:tcPr>
            <w:tcW w:w="360" w:type="pct"/>
            <w:tcBorders>
              <w:tl2br w:val="nil"/>
              <w:tr2bl w:val="nil"/>
            </w:tcBorders>
            <w:noWrap w:val="0"/>
            <w:vAlign w:val="center"/>
          </w:tcPr>
          <w:p>
            <w:pPr>
              <w:pStyle w:val="35"/>
              <w:bidi w:val="0"/>
              <w:rPr>
                <w:color w:val="auto"/>
              </w:rPr>
            </w:pPr>
            <w:r>
              <w:rPr>
                <w:rFonts w:hint="eastAsia"/>
                <w:color w:val="auto"/>
              </w:rPr>
              <w:t>9</w:t>
            </w:r>
          </w:p>
        </w:tc>
        <w:tc>
          <w:tcPr>
            <w:tcW w:w="871" w:type="pct"/>
            <w:tcBorders>
              <w:tl2br w:val="nil"/>
              <w:tr2bl w:val="nil"/>
            </w:tcBorders>
            <w:noWrap w:val="0"/>
            <w:vAlign w:val="center"/>
          </w:tcPr>
          <w:p>
            <w:pPr>
              <w:pStyle w:val="35"/>
              <w:bidi w:val="0"/>
              <w:rPr>
                <w:color w:val="auto"/>
              </w:rPr>
            </w:pPr>
            <w:r>
              <w:rPr>
                <w:rFonts w:hint="eastAsia"/>
                <w:color w:val="auto"/>
              </w:rPr>
              <w:t>玻璃钢储罐</w:t>
            </w:r>
          </w:p>
        </w:tc>
        <w:tc>
          <w:tcPr>
            <w:tcW w:w="1720" w:type="pct"/>
            <w:tcBorders>
              <w:tl2br w:val="nil"/>
              <w:tr2bl w:val="nil"/>
            </w:tcBorders>
            <w:noWrap w:val="0"/>
            <w:vAlign w:val="center"/>
          </w:tcPr>
          <w:p>
            <w:pPr>
              <w:pStyle w:val="35"/>
              <w:bidi w:val="0"/>
              <w:rPr>
                <w:color w:val="auto"/>
              </w:rPr>
            </w:pPr>
            <w:r>
              <w:rPr>
                <w:rFonts w:hint="eastAsia"/>
                <w:color w:val="auto"/>
              </w:rPr>
              <w:t>Φ3000×10500  60.1m³</w:t>
            </w:r>
          </w:p>
        </w:tc>
        <w:tc>
          <w:tcPr>
            <w:tcW w:w="767" w:type="pct"/>
            <w:tcBorders>
              <w:tl2br w:val="nil"/>
              <w:tr2bl w:val="nil"/>
            </w:tcBorders>
            <w:noWrap w:val="0"/>
            <w:vAlign w:val="center"/>
          </w:tcPr>
          <w:p>
            <w:pPr>
              <w:pStyle w:val="35"/>
              <w:bidi w:val="0"/>
              <w:rPr>
                <w:color w:val="auto"/>
              </w:rPr>
            </w:pPr>
            <w:r>
              <w:rPr>
                <w:rFonts w:hint="eastAsia"/>
                <w:color w:val="auto"/>
              </w:rPr>
              <w:t>玻璃钢</w:t>
            </w:r>
          </w:p>
        </w:tc>
        <w:tc>
          <w:tcPr>
            <w:tcW w:w="458" w:type="pct"/>
            <w:tcBorders>
              <w:tl2br w:val="nil"/>
              <w:tr2bl w:val="nil"/>
            </w:tcBorders>
            <w:noWrap w:val="0"/>
            <w:vAlign w:val="center"/>
          </w:tcPr>
          <w:p>
            <w:pPr>
              <w:pStyle w:val="35"/>
              <w:bidi w:val="0"/>
              <w:rPr>
                <w:color w:val="auto"/>
              </w:rPr>
            </w:pPr>
            <w:r>
              <w:rPr>
                <w:rFonts w:hint="eastAsia"/>
                <w:color w:val="auto"/>
              </w:rPr>
              <w:t>4</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61" w:hRule="atLeast"/>
          <w:jc w:val="center"/>
        </w:trPr>
        <w:tc>
          <w:tcPr>
            <w:tcW w:w="360" w:type="pct"/>
            <w:tcBorders>
              <w:tl2br w:val="nil"/>
              <w:tr2bl w:val="nil"/>
            </w:tcBorders>
            <w:noWrap w:val="0"/>
            <w:vAlign w:val="center"/>
          </w:tcPr>
          <w:p>
            <w:pPr>
              <w:pStyle w:val="35"/>
              <w:bidi w:val="0"/>
              <w:rPr>
                <w:color w:val="auto"/>
              </w:rPr>
            </w:pPr>
            <w:r>
              <w:rPr>
                <w:rFonts w:hint="eastAsia"/>
                <w:color w:val="auto"/>
              </w:rPr>
              <w:t>10</w:t>
            </w:r>
          </w:p>
        </w:tc>
        <w:tc>
          <w:tcPr>
            <w:tcW w:w="871" w:type="pct"/>
            <w:tcBorders>
              <w:tl2br w:val="nil"/>
              <w:tr2bl w:val="nil"/>
            </w:tcBorders>
            <w:noWrap w:val="0"/>
            <w:vAlign w:val="center"/>
          </w:tcPr>
          <w:p>
            <w:pPr>
              <w:pStyle w:val="35"/>
              <w:bidi w:val="0"/>
              <w:rPr>
                <w:color w:val="auto"/>
              </w:rPr>
            </w:pPr>
            <w:r>
              <w:rPr>
                <w:rFonts w:hint="eastAsia"/>
                <w:color w:val="auto"/>
              </w:rPr>
              <w:t>碱罐</w:t>
            </w:r>
          </w:p>
        </w:tc>
        <w:tc>
          <w:tcPr>
            <w:tcW w:w="1720" w:type="pct"/>
            <w:tcBorders>
              <w:tl2br w:val="nil"/>
              <w:tr2bl w:val="nil"/>
            </w:tcBorders>
            <w:noWrap w:val="0"/>
            <w:vAlign w:val="center"/>
          </w:tcPr>
          <w:p>
            <w:pPr>
              <w:pStyle w:val="35"/>
              <w:bidi w:val="0"/>
              <w:rPr>
                <w:color w:val="auto"/>
              </w:rPr>
            </w:pP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03" w:hRule="atLeast"/>
          <w:jc w:val="center"/>
        </w:trPr>
        <w:tc>
          <w:tcPr>
            <w:tcW w:w="360" w:type="pct"/>
            <w:tcBorders>
              <w:tl2br w:val="nil"/>
              <w:tr2bl w:val="nil"/>
            </w:tcBorders>
            <w:noWrap w:val="0"/>
            <w:vAlign w:val="center"/>
          </w:tcPr>
          <w:p>
            <w:pPr>
              <w:pStyle w:val="35"/>
              <w:bidi w:val="0"/>
              <w:rPr>
                <w:color w:val="auto"/>
              </w:rPr>
            </w:pPr>
            <w:r>
              <w:rPr>
                <w:rFonts w:hint="eastAsia"/>
                <w:color w:val="auto"/>
              </w:rPr>
              <w:t>11</w:t>
            </w:r>
          </w:p>
        </w:tc>
        <w:tc>
          <w:tcPr>
            <w:tcW w:w="871" w:type="pct"/>
            <w:tcBorders>
              <w:tl2br w:val="nil"/>
              <w:tr2bl w:val="nil"/>
            </w:tcBorders>
            <w:noWrap w:val="0"/>
            <w:vAlign w:val="center"/>
          </w:tcPr>
          <w:p>
            <w:pPr>
              <w:pStyle w:val="35"/>
              <w:bidi w:val="0"/>
              <w:rPr>
                <w:color w:val="auto"/>
              </w:rPr>
            </w:pPr>
            <w:r>
              <w:rPr>
                <w:rFonts w:hint="eastAsia"/>
                <w:color w:val="auto"/>
              </w:rPr>
              <w:t>高位槽</w:t>
            </w:r>
          </w:p>
        </w:tc>
        <w:tc>
          <w:tcPr>
            <w:tcW w:w="1720" w:type="pct"/>
            <w:tcBorders>
              <w:tl2br w:val="nil"/>
              <w:tr2bl w:val="nil"/>
            </w:tcBorders>
            <w:noWrap w:val="0"/>
            <w:vAlign w:val="center"/>
          </w:tcPr>
          <w:p>
            <w:pPr>
              <w:pStyle w:val="35"/>
              <w:bidi w:val="0"/>
              <w:rPr>
                <w:color w:val="auto"/>
              </w:rPr>
            </w:pP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03" w:hRule="atLeast"/>
          <w:jc w:val="center"/>
        </w:trPr>
        <w:tc>
          <w:tcPr>
            <w:tcW w:w="360" w:type="pct"/>
            <w:tcBorders>
              <w:tl2br w:val="nil"/>
              <w:tr2bl w:val="nil"/>
            </w:tcBorders>
            <w:noWrap w:val="0"/>
            <w:vAlign w:val="center"/>
          </w:tcPr>
          <w:p>
            <w:pPr>
              <w:pStyle w:val="35"/>
              <w:bidi w:val="0"/>
              <w:rPr>
                <w:color w:val="auto"/>
              </w:rPr>
            </w:pPr>
            <w:r>
              <w:rPr>
                <w:rFonts w:hint="eastAsia"/>
                <w:color w:val="auto"/>
              </w:rPr>
              <w:t>12</w:t>
            </w:r>
          </w:p>
        </w:tc>
        <w:tc>
          <w:tcPr>
            <w:tcW w:w="871" w:type="pct"/>
            <w:tcBorders>
              <w:tl2br w:val="nil"/>
              <w:tr2bl w:val="nil"/>
            </w:tcBorders>
            <w:noWrap w:val="0"/>
            <w:vAlign w:val="center"/>
          </w:tcPr>
          <w:p>
            <w:pPr>
              <w:pStyle w:val="35"/>
              <w:bidi w:val="0"/>
              <w:rPr>
                <w:color w:val="auto"/>
              </w:rPr>
            </w:pPr>
            <w:r>
              <w:rPr>
                <w:rFonts w:hint="eastAsia"/>
                <w:color w:val="auto"/>
              </w:rPr>
              <w:t>加料斗</w:t>
            </w:r>
          </w:p>
        </w:tc>
        <w:tc>
          <w:tcPr>
            <w:tcW w:w="1720" w:type="pct"/>
            <w:tcBorders>
              <w:tl2br w:val="nil"/>
              <w:tr2bl w:val="nil"/>
            </w:tcBorders>
            <w:noWrap w:val="0"/>
            <w:vAlign w:val="center"/>
          </w:tcPr>
          <w:p>
            <w:pPr>
              <w:pStyle w:val="35"/>
              <w:bidi w:val="0"/>
              <w:rPr>
                <w:color w:val="auto"/>
              </w:rPr>
            </w:pP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65" w:hRule="atLeast"/>
          <w:jc w:val="center"/>
        </w:trPr>
        <w:tc>
          <w:tcPr>
            <w:tcW w:w="360" w:type="pct"/>
            <w:tcBorders>
              <w:tl2br w:val="nil"/>
              <w:tr2bl w:val="nil"/>
            </w:tcBorders>
            <w:noWrap w:val="0"/>
            <w:vAlign w:val="center"/>
          </w:tcPr>
          <w:p>
            <w:pPr>
              <w:pStyle w:val="35"/>
              <w:bidi w:val="0"/>
              <w:rPr>
                <w:color w:val="auto"/>
              </w:rPr>
            </w:pPr>
            <w:r>
              <w:rPr>
                <w:rFonts w:hint="eastAsia"/>
                <w:color w:val="auto"/>
              </w:rPr>
              <w:t>13</w:t>
            </w:r>
          </w:p>
        </w:tc>
        <w:tc>
          <w:tcPr>
            <w:tcW w:w="871" w:type="pct"/>
            <w:tcBorders>
              <w:tl2br w:val="nil"/>
              <w:tr2bl w:val="nil"/>
            </w:tcBorders>
            <w:noWrap w:val="0"/>
            <w:vAlign w:val="center"/>
          </w:tcPr>
          <w:p>
            <w:pPr>
              <w:pStyle w:val="35"/>
              <w:bidi w:val="0"/>
              <w:rPr>
                <w:color w:val="auto"/>
              </w:rPr>
            </w:pPr>
            <w:r>
              <w:rPr>
                <w:rFonts w:hint="eastAsia"/>
                <w:color w:val="auto"/>
              </w:rPr>
              <w:t>盐酸储罐</w:t>
            </w:r>
          </w:p>
        </w:tc>
        <w:tc>
          <w:tcPr>
            <w:tcW w:w="1720" w:type="pct"/>
            <w:tcBorders>
              <w:tl2br w:val="nil"/>
              <w:tr2bl w:val="nil"/>
            </w:tcBorders>
            <w:noWrap w:val="0"/>
            <w:vAlign w:val="center"/>
          </w:tcPr>
          <w:p>
            <w:pPr>
              <w:pStyle w:val="35"/>
              <w:bidi w:val="0"/>
              <w:rPr>
                <w:color w:val="auto"/>
              </w:rPr>
            </w:pPr>
            <w:r>
              <w:rPr>
                <w:rFonts w:hint="eastAsia"/>
                <w:color w:val="auto"/>
              </w:rPr>
              <w:t>Φ1600×2660</w:t>
            </w:r>
          </w:p>
        </w:tc>
        <w:tc>
          <w:tcPr>
            <w:tcW w:w="767" w:type="pct"/>
            <w:tcBorders>
              <w:tl2br w:val="nil"/>
              <w:tr2bl w:val="nil"/>
            </w:tcBorders>
            <w:noWrap w:val="0"/>
            <w:vAlign w:val="center"/>
          </w:tcPr>
          <w:p>
            <w:pPr>
              <w:pStyle w:val="35"/>
              <w:bidi w:val="0"/>
              <w:rPr>
                <w:color w:val="auto"/>
              </w:rPr>
            </w:pPr>
            <w:r>
              <w:rPr>
                <w:rFonts w:hint="eastAsia"/>
                <w:color w:val="auto"/>
              </w:rPr>
              <w:t>玻璃钢</w:t>
            </w:r>
          </w:p>
        </w:tc>
        <w:tc>
          <w:tcPr>
            <w:tcW w:w="458" w:type="pct"/>
            <w:tcBorders>
              <w:tl2br w:val="nil"/>
              <w:tr2bl w:val="nil"/>
            </w:tcBorders>
            <w:noWrap w:val="0"/>
            <w:vAlign w:val="center"/>
          </w:tcPr>
          <w:p>
            <w:pPr>
              <w:pStyle w:val="35"/>
              <w:bidi w:val="0"/>
              <w:rPr>
                <w:color w:val="auto"/>
              </w:rPr>
            </w:pPr>
            <w:r>
              <w:rPr>
                <w:color w:val="auto"/>
              </w:rPr>
              <w:t>2</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44" w:hRule="atLeast"/>
          <w:jc w:val="center"/>
        </w:trPr>
        <w:tc>
          <w:tcPr>
            <w:tcW w:w="360" w:type="pct"/>
            <w:tcBorders>
              <w:tl2br w:val="nil"/>
              <w:tr2bl w:val="nil"/>
            </w:tcBorders>
            <w:noWrap w:val="0"/>
            <w:vAlign w:val="center"/>
          </w:tcPr>
          <w:p>
            <w:pPr>
              <w:pStyle w:val="35"/>
              <w:bidi w:val="0"/>
              <w:rPr>
                <w:color w:val="auto"/>
              </w:rPr>
            </w:pPr>
            <w:r>
              <w:rPr>
                <w:rFonts w:hint="eastAsia"/>
                <w:color w:val="auto"/>
              </w:rPr>
              <w:t>14</w:t>
            </w:r>
          </w:p>
        </w:tc>
        <w:tc>
          <w:tcPr>
            <w:tcW w:w="871" w:type="pct"/>
            <w:tcBorders>
              <w:tl2br w:val="nil"/>
              <w:tr2bl w:val="nil"/>
            </w:tcBorders>
            <w:noWrap w:val="0"/>
            <w:vAlign w:val="center"/>
          </w:tcPr>
          <w:p>
            <w:pPr>
              <w:pStyle w:val="35"/>
              <w:bidi w:val="0"/>
              <w:rPr>
                <w:color w:val="auto"/>
              </w:rPr>
            </w:pPr>
            <w:r>
              <w:rPr>
                <w:rFonts w:hint="eastAsia"/>
                <w:color w:val="auto"/>
              </w:rPr>
              <w:t>分水缸</w:t>
            </w:r>
          </w:p>
        </w:tc>
        <w:tc>
          <w:tcPr>
            <w:tcW w:w="1720" w:type="pct"/>
            <w:tcBorders>
              <w:tl2br w:val="nil"/>
              <w:tr2bl w:val="nil"/>
            </w:tcBorders>
            <w:noWrap w:val="0"/>
            <w:vAlign w:val="center"/>
          </w:tcPr>
          <w:p>
            <w:pPr>
              <w:pStyle w:val="35"/>
              <w:bidi w:val="0"/>
              <w:rPr>
                <w:color w:val="auto"/>
              </w:rPr>
            </w:pPr>
            <w:r>
              <w:rPr>
                <w:rFonts w:hint="eastAsia"/>
                <w:color w:val="auto"/>
              </w:rPr>
              <w:t>Φ1000×2150</w:t>
            </w:r>
          </w:p>
        </w:tc>
        <w:tc>
          <w:tcPr>
            <w:tcW w:w="767" w:type="pct"/>
            <w:tcBorders>
              <w:tl2br w:val="nil"/>
              <w:tr2bl w:val="nil"/>
            </w:tcBorders>
            <w:noWrap w:val="0"/>
            <w:vAlign w:val="center"/>
          </w:tcPr>
          <w:p>
            <w:pPr>
              <w:pStyle w:val="35"/>
              <w:bidi w:val="0"/>
              <w:rPr>
                <w:color w:val="auto"/>
              </w:rPr>
            </w:pPr>
            <w:r>
              <w:rPr>
                <w:rFonts w:hint="eastAsia"/>
                <w:color w:val="auto"/>
              </w:rPr>
              <w:t>碳钢/搪玻璃</w:t>
            </w:r>
          </w:p>
        </w:tc>
        <w:tc>
          <w:tcPr>
            <w:tcW w:w="458" w:type="pct"/>
            <w:tcBorders>
              <w:tl2br w:val="nil"/>
              <w:tr2bl w:val="nil"/>
            </w:tcBorders>
            <w:noWrap w:val="0"/>
            <w:vAlign w:val="center"/>
          </w:tcPr>
          <w:p>
            <w:pPr>
              <w:pStyle w:val="35"/>
              <w:bidi w:val="0"/>
              <w:rPr>
                <w:color w:val="auto"/>
              </w:rPr>
            </w:pPr>
            <w:r>
              <w:rPr>
                <w:rFonts w:hint="eastAsia"/>
                <w:color w:val="auto"/>
              </w:rPr>
              <w:t>2</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9" w:hRule="atLeast"/>
          <w:jc w:val="center"/>
        </w:trPr>
        <w:tc>
          <w:tcPr>
            <w:tcW w:w="360" w:type="pct"/>
            <w:tcBorders>
              <w:tl2br w:val="nil"/>
              <w:tr2bl w:val="nil"/>
            </w:tcBorders>
            <w:noWrap w:val="0"/>
            <w:vAlign w:val="center"/>
          </w:tcPr>
          <w:p>
            <w:pPr>
              <w:pStyle w:val="35"/>
              <w:bidi w:val="0"/>
              <w:rPr>
                <w:color w:val="auto"/>
              </w:rPr>
            </w:pPr>
            <w:r>
              <w:rPr>
                <w:color w:val="auto"/>
              </w:rPr>
              <w:t>1</w:t>
            </w:r>
            <w:r>
              <w:rPr>
                <w:rFonts w:hint="eastAsia"/>
                <w:color w:val="auto"/>
              </w:rPr>
              <w:t>5</w:t>
            </w:r>
          </w:p>
        </w:tc>
        <w:tc>
          <w:tcPr>
            <w:tcW w:w="871" w:type="pct"/>
            <w:tcBorders>
              <w:tl2br w:val="nil"/>
              <w:tr2bl w:val="nil"/>
            </w:tcBorders>
            <w:noWrap w:val="0"/>
            <w:vAlign w:val="center"/>
          </w:tcPr>
          <w:p>
            <w:pPr>
              <w:pStyle w:val="35"/>
              <w:bidi w:val="0"/>
              <w:rPr>
                <w:color w:val="auto"/>
              </w:rPr>
            </w:pPr>
            <w:r>
              <w:rPr>
                <w:rFonts w:hint="eastAsia"/>
                <w:color w:val="auto"/>
              </w:rPr>
              <w:t>接收罐</w:t>
            </w:r>
          </w:p>
        </w:tc>
        <w:tc>
          <w:tcPr>
            <w:tcW w:w="1720" w:type="pct"/>
            <w:tcBorders>
              <w:tl2br w:val="nil"/>
              <w:tr2bl w:val="nil"/>
            </w:tcBorders>
            <w:noWrap w:val="0"/>
            <w:vAlign w:val="center"/>
          </w:tcPr>
          <w:p>
            <w:pPr>
              <w:pStyle w:val="35"/>
              <w:bidi w:val="0"/>
              <w:rPr>
                <w:color w:val="auto"/>
              </w:rPr>
            </w:pP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color w:val="auto"/>
              </w:rPr>
              <w:t>2</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74" w:hRule="atLeast"/>
          <w:jc w:val="center"/>
        </w:trPr>
        <w:tc>
          <w:tcPr>
            <w:tcW w:w="360" w:type="pct"/>
            <w:tcBorders>
              <w:tl2br w:val="nil"/>
              <w:tr2bl w:val="nil"/>
            </w:tcBorders>
            <w:noWrap w:val="0"/>
            <w:vAlign w:val="center"/>
          </w:tcPr>
          <w:p>
            <w:pPr>
              <w:pStyle w:val="35"/>
              <w:bidi w:val="0"/>
              <w:rPr>
                <w:color w:val="auto"/>
              </w:rPr>
            </w:pPr>
            <w:r>
              <w:rPr>
                <w:rFonts w:hint="eastAsia"/>
                <w:color w:val="auto"/>
              </w:rPr>
              <w:t>16</w:t>
            </w:r>
          </w:p>
        </w:tc>
        <w:tc>
          <w:tcPr>
            <w:tcW w:w="871" w:type="pct"/>
            <w:tcBorders>
              <w:tl2br w:val="nil"/>
              <w:tr2bl w:val="nil"/>
            </w:tcBorders>
            <w:noWrap w:val="0"/>
            <w:vAlign w:val="center"/>
          </w:tcPr>
          <w:p>
            <w:pPr>
              <w:pStyle w:val="35"/>
              <w:bidi w:val="0"/>
              <w:rPr>
                <w:color w:val="auto"/>
              </w:rPr>
            </w:pPr>
            <w:r>
              <w:rPr>
                <w:rFonts w:hint="eastAsia"/>
                <w:color w:val="auto"/>
              </w:rPr>
              <w:t>原料输送泵</w:t>
            </w:r>
          </w:p>
        </w:tc>
        <w:tc>
          <w:tcPr>
            <w:tcW w:w="1720" w:type="pct"/>
            <w:tcBorders>
              <w:tl2br w:val="nil"/>
              <w:tr2bl w:val="nil"/>
            </w:tcBorders>
            <w:noWrap w:val="0"/>
            <w:vAlign w:val="center"/>
          </w:tcPr>
          <w:p>
            <w:pPr>
              <w:pStyle w:val="35"/>
              <w:bidi w:val="0"/>
              <w:rPr>
                <w:color w:val="auto"/>
              </w:rPr>
            </w:pPr>
            <w:r>
              <w:rPr>
                <w:rFonts w:hint="eastAsia"/>
                <w:color w:val="auto"/>
              </w:rPr>
              <w:t>40FZB-30L    3KW</w:t>
            </w: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2</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74" w:hRule="atLeast"/>
          <w:jc w:val="center"/>
        </w:trPr>
        <w:tc>
          <w:tcPr>
            <w:tcW w:w="360" w:type="pct"/>
            <w:tcBorders>
              <w:tl2br w:val="nil"/>
              <w:tr2bl w:val="nil"/>
            </w:tcBorders>
            <w:noWrap w:val="0"/>
            <w:vAlign w:val="center"/>
          </w:tcPr>
          <w:p>
            <w:pPr>
              <w:pStyle w:val="35"/>
              <w:bidi w:val="0"/>
              <w:rPr>
                <w:color w:val="auto"/>
              </w:rPr>
            </w:pPr>
            <w:r>
              <w:rPr>
                <w:rFonts w:hint="eastAsia"/>
                <w:color w:val="auto"/>
              </w:rPr>
              <w:t>17</w:t>
            </w:r>
          </w:p>
        </w:tc>
        <w:tc>
          <w:tcPr>
            <w:tcW w:w="871" w:type="pct"/>
            <w:tcBorders>
              <w:tl2br w:val="nil"/>
              <w:tr2bl w:val="nil"/>
            </w:tcBorders>
            <w:noWrap w:val="0"/>
            <w:vAlign w:val="center"/>
          </w:tcPr>
          <w:p>
            <w:pPr>
              <w:pStyle w:val="35"/>
              <w:bidi w:val="0"/>
              <w:rPr>
                <w:color w:val="auto"/>
              </w:rPr>
            </w:pPr>
            <w:r>
              <w:rPr>
                <w:rFonts w:hint="eastAsia"/>
                <w:color w:val="auto"/>
              </w:rPr>
              <w:t>产品装车泵</w:t>
            </w:r>
          </w:p>
        </w:tc>
        <w:tc>
          <w:tcPr>
            <w:tcW w:w="1720" w:type="pct"/>
            <w:tcBorders>
              <w:tl2br w:val="nil"/>
              <w:tr2bl w:val="nil"/>
            </w:tcBorders>
            <w:noWrap w:val="0"/>
            <w:vAlign w:val="center"/>
          </w:tcPr>
          <w:p>
            <w:pPr>
              <w:pStyle w:val="35"/>
              <w:bidi w:val="0"/>
              <w:rPr>
                <w:color w:val="auto"/>
              </w:rPr>
            </w:pPr>
            <w:r>
              <w:rPr>
                <w:rFonts w:hint="eastAsia"/>
                <w:color w:val="auto"/>
              </w:rPr>
              <w:t>40FZB-25L    2.2KW</w:t>
            </w: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74" w:hRule="atLeast"/>
          <w:jc w:val="center"/>
        </w:trPr>
        <w:tc>
          <w:tcPr>
            <w:tcW w:w="360" w:type="pct"/>
            <w:tcBorders>
              <w:tl2br w:val="nil"/>
              <w:tr2bl w:val="nil"/>
            </w:tcBorders>
            <w:noWrap w:val="0"/>
            <w:vAlign w:val="center"/>
          </w:tcPr>
          <w:p>
            <w:pPr>
              <w:pStyle w:val="35"/>
              <w:bidi w:val="0"/>
              <w:rPr>
                <w:color w:val="auto"/>
              </w:rPr>
            </w:pPr>
            <w:r>
              <w:rPr>
                <w:rFonts w:hint="eastAsia"/>
                <w:color w:val="auto"/>
              </w:rPr>
              <w:t>18</w:t>
            </w:r>
          </w:p>
        </w:tc>
        <w:tc>
          <w:tcPr>
            <w:tcW w:w="871" w:type="pct"/>
            <w:tcBorders>
              <w:tl2br w:val="nil"/>
              <w:tr2bl w:val="nil"/>
            </w:tcBorders>
            <w:noWrap w:val="0"/>
            <w:vAlign w:val="center"/>
          </w:tcPr>
          <w:p>
            <w:pPr>
              <w:pStyle w:val="35"/>
              <w:bidi w:val="0"/>
              <w:rPr>
                <w:color w:val="auto"/>
              </w:rPr>
            </w:pPr>
            <w:r>
              <w:rPr>
                <w:rFonts w:hint="eastAsia"/>
                <w:color w:val="auto"/>
              </w:rPr>
              <w:t>污水泵</w:t>
            </w:r>
          </w:p>
        </w:tc>
        <w:tc>
          <w:tcPr>
            <w:tcW w:w="1720" w:type="pct"/>
            <w:tcBorders>
              <w:tl2br w:val="nil"/>
              <w:tr2bl w:val="nil"/>
            </w:tcBorders>
            <w:noWrap w:val="0"/>
            <w:vAlign w:val="center"/>
          </w:tcPr>
          <w:p>
            <w:pPr>
              <w:pStyle w:val="35"/>
              <w:bidi w:val="0"/>
              <w:rPr>
                <w:color w:val="auto"/>
              </w:rPr>
            </w:pPr>
            <w:r>
              <w:rPr>
                <w:rFonts w:hint="eastAsia"/>
                <w:color w:val="auto"/>
              </w:rPr>
              <w:t>100FZB-30L   15KW</w:t>
            </w: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center"/>
          </w:tcPr>
          <w:p>
            <w:pPr>
              <w:pStyle w:val="35"/>
              <w:bidi w:val="0"/>
              <w:rPr>
                <w:color w:val="auto"/>
              </w:rPr>
            </w:pPr>
            <w:r>
              <w:rPr>
                <w:rFonts w:hint="eastAsia"/>
                <w:color w:val="auto"/>
              </w:rPr>
              <w:t>19</w:t>
            </w:r>
          </w:p>
        </w:tc>
        <w:tc>
          <w:tcPr>
            <w:tcW w:w="871" w:type="pct"/>
            <w:tcBorders>
              <w:tl2br w:val="nil"/>
              <w:tr2bl w:val="nil"/>
            </w:tcBorders>
            <w:noWrap w:val="0"/>
            <w:vAlign w:val="center"/>
          </w:tcPr>
          <w:p>
            <w:pPr>
              <w:pStyle w:val="35"/>
              <w:bidi w:val="0"/>
              <w:rPr>
                <w:color w:val="auto"/>
              </w:rPr>
            </w:pPr>
            <w:r>
              <w:rPr>
                <w:rFonts w:hint="eastAsia"/>
                <w:color w:val="auto"/>
              </w:rPr>
              <w:t>循环水泵</w:t>
            </w:r>
          </w:p>
        </w:tc>
        <w:tc>
          <w:tcPr>
            <w:tcW w:w="1720" w:type="pct"/>
            <w:tcBorders>
              <w:tl2br w:val="nil"/>
              <w:tr2bl w:val="nil"/>
            </w:tcBorders>
            <w:noWrap w:val="0"/>
            <w:vAlign w:val="center"/>
          </w:tcPr>
          <w:p>
            <w:pPr>
              <w:pStyle w:val="35"/>
              <w:bidi w:val="0"/>
              <w:rPr>
                <w:color w:val="auto"/>
              </w:rPr>
            </w:pPr>
            <w:r>
              <w:rPr>
                <w:rFonts w:hint="eastAsia"/>
                <w:color w:val="auto"/>
              </w:rPr>
              <w:t>4TC-30;扬29m;  89</w:t>
            </w:r>
            <w:r>
              <w:rPr>
                <w:rFonts w:hint="eastAsia"/>
                <w:color w:val="auto"/>
                <w:lang w:val="en-US" w:eastAsia="zh-CN"/>
              </w:rPr>
              <w:t>m</w:t>
            </w:r>
            <w:r>
              <w:rPr>
                <w:rFonts w:hint="eastAsia"/>
                <w:color w:val="auto"/>
                <w:vertAlign w:val="superscript"/>
                <w:lang w:val="en-US" w:eastAsia="zh-CN"/>
              </w:rPr>
              <w:t>3</w:t>
            </w:r>
            <w:r>
              <w:rPr>
                <w:rFonts w:hint="eastAsia"/>
                <w:color w:val="auto"/>
              </w:rPr>
              <w:t>/时</w:t>
            </w:r>
          </w:p>
        </w:tc>
        <w:tc>
          <w:tcPr>
            <w:tcW w:w="767" w:type="pct"/>
            <w:tcBorders>
              <w:tl2br w:val="nil"/>
              <w:tr2bl w:val="nil"/>
            </w:tcBorders>
            <w:noWrap w:val="0"/>
            <w:vAlign w:val="center"/>
          </w:tcPr>
          <w:p>
            <w:pPr>
              <w:pStyle w:val="35"/>
              <w:bidi w:val="0"/>
              <w:rPr>
                <w:color w:val="auto"/>
              </w:rPr>
            </w:pPr>
            <w:r>
              <w:rPr>
                <w:rFonts w:hint="eastAsia"/>
                <w:color w:val="auto"/>
              </w:rPr>
              <w:t>200</w:t>
            </w:r>
          </w:p>
        </w:tc>
        <w:tc>
          <w:tcPr>
            <w:tcW w:w="458" w:type="pct"/>
            <w:tcBorders>
              <w:tl2br w:val="nil"/>
              <w:tr2bl w:val="nil"/>
            </w:tcBorders>
            <w:noWrap w:val="0"/>
            <w:vAlign w:val="center"/>
          </w:tcPr>
          <w:p>
            <w:pPr>
              <w:pStyle w:val="35"/>
              <w:bidi w:val="0"/>
              <w:rPr>
                <w:color w:val="auto"/>
              </w:rPr>
            </w:pPr>
            <w:r>
              <w:rPr>
                <w:rFonts w:hint="eastAsia"/>
                <w:color w:val="auto"/>
              </w:rPr>
              <w:t>2</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center"/>
          </w:tcPr>
          <w:p>
            <w:pPr>
              <w:pStyle w:val="35"/>
              <w:bidi w:val="0"/>
              <w:rPr>
                <w:color w:val="auto"/>
              </w:rPr>
            </w:pPr>
            <w:r>
              <w:rPr>
                <w:rFonts w:hint="eastAsia"/>
                <w:color w:val="auto"/>
              </w:rPr>
              <w:t>20</w:t>
            </w:r>
          </w:p>
        </w:tc>
        <w:tc>
          <w:tcPr>
            <w:tcW w:w="871" w:type="pct"/>
            <w:tcBorders>
              <w:tl2br w:val="nil"/>
              <w:tr2bl w:val="nil"/>
            </w:tcBorders>
            <w:noWrap w:val="0"/>
            <w:vAlign w:val="center"/>
          </w:tcPr>
          <w:p>
            <w:pPr>
              <w:pStyle w:val="35"/>
              <w:bidi w:val="0"/>
              <w:rPr>
                <w:color w:val="auto"/>
              </w:rPr>
            </w:pPr>
            <w:r>
              <w:rPr>
                <w:rFonts w:hint="eastAsia"/>
                <w:color w:val="auto"/>
              </w:rPr>
              <w:t>碱泵</w:t>
            </w:r>
          </w:p>
        </w:tc>
        <w:tc>
          <w:tcPr>
            <w:tcW w:w="1720" w:type="pct"/>
            <w:tcBorders>
              <w:tl2br w:val="nil"/>
              <w:tr2bl w:val="nil"/>
            </w:tcBorders>
            <w:noWrap w:val="0"/>
            <w:vAlign w:val="center"/>
          </w:tcPr>
          <w:p>
            <w:pPr>
              <w:pStyle w:val="35"/>
              <w:bidi w:val="0"/>
              <w:rPr>
                <w:color w:val="auto"/>
              </w:rPr>
            </w:pPr>
            <w:r>
              <w:rPr>
                <w:rFonts w:hint="eastAsia"/>
                <w:color w:val="auto"/>
              </w:rPr>
              <w:t>25AFB-16     0.75KW</w:t>
            </w: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center"/>
          </w:tcPr>
          <w:p>
            <w:pPr>
              <w:pStyle w:val="35"/>
              <w:bidi w:val="0"/>
              <w:rPr>
                <w:color w:val="auto"/>
              </w:rPr>
            </w:pPr>
            <w:r>
              <w:rPr>
                <w:rFonts w:hint="eastAsia"/>
                <w:color w:val="auto"/>
              </w:rPr>
              <w:t>21</w:t>
            </w:r>
          </w:p>
        </w:tc>
        <w:tc>
          <w:tcPr>
            <w:tcW w:w="871" w:type="pct"/>
            <w:tcBorders>
              <w:tl2br w:val="nil"/>
              <w:tr2bl w:val="nil"/>
            </w:tcBorders>
            <w:noWrap w:val="0"/>
            <w:vAlign w:val="center"/>
          </w:tcPr>
          <w:p>
            <w:pPr>
              <w:pStyle w:val="35"/>
              <w:bidi w:val="0"/>
              <w:rPr>
                <w:color w:val="auto"/>
              </w:rPr>
            </w:pPr>
            <w:r>
              <w:rPr>
                <w:rFonts w:hint="eastAsia"/>
                <w:color w:val="auto"/>
              </w:rPr>
              <w:t>物料输送泵</w:t>
            </w:r>
          </w:p>
        </w:tc>
        <w:tc>
          <w:tcPr>
            <w:tcW w:w="1720" w:type="pct"/>
            <w:tcBorders>
              <w:tl2br w:val="nil"/>
              <w:tr2bl w:val="nil"/>
            </w:tcBorders>
            <w:noWrap w:val="0"/>
            <w:vAlign w:val="center"/>
          </w:tcPr>
          <w:p>
            <w:pPr>
              <w:pStyle w:val="35"/>
              <w:bidi w:val="0"/>
              <w:rPr>
                <w:color w:val="auto"/>
              </w:rPr>
            </w:pPr>
            <w:r>
              <w:rPr>
                <w:rFonts w:hint="eastAsia"/>
                <w:color w:val="auto"/>
              </w:rPr>
              <w:t>25FSB-18L    2.2KW</w:t>
            </w: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4</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center"/>
          </w:tcPr>
          <w:p>
            <w:pPr>
              <w:pStyle w:val="35"/>
              <w:bidi w:val="0"/>
              <w:rPr>
                <w:color w:val="auto"/>
              </w:rPr>
            </w:pPr>
            <w:r>
              <w:rPr>
                <w:rFonts w:hint="eastAsia"/>
                <w:color w:val="auto"/>
              </w:rPr>
              <w:t>22</w:t>
            </w:r>
          </w:p>
        </w:tc>
        <w:tc>
          <w:tcPr>
            <w:tcW w:w="871" w:type="pct"/>
            <w:tcBorders>
              <w:tl2br w:val="nil"/>
              <w:tr2bl w:val="nil"/>
            </w:tcBorders>
            <w:noWrap w:val="0"/>
            <w:vAlign w:val="center"/>
          </w:tcPr>
          <w:p>
            <w:pPr>
              <w:pStyle w:val="35"/>
              <w:bidi w:val="0"/>
              <w:rPr>
                <w:color w:val="auto"/>
              </w:rPr>
            </w:pPr>
            <w:r>
              <w:rPr>
                <w:rFonts w:hint="eastAsia"/>
                <w:color w:val="auto"/>
              </w:rPr>
              <w:t>水环真空泵</w:t>
            </w:r>
          </w:p>
        </w:tc>
        <w:tc>
          <w:tcPr>
            <w:tcW w:w="1720" w:type="pct"/>
            <w:tcBorders>
              <w:tl2br w:val="nil"/>
              <w:tr2bl w:val="nil"/>
            </w:tcBorders>
            <w:noWrap w:val="0"/>
            <w:vAlign w:val="center"/>
          </w:tcPr>
          <w:p>
            <w:pPr>
              <w:pStyle w:val="35"/>
              <w:bidi w:val="0"/>
              <w:rPr>
                <w:color w:val="auto"/>
              </w:rPr>
            </w:pPr>
            <w:r>
              <w:rPr>
                <w:rFonts w:hint="eastAsia"/>
                <w:color w:val="auto"/>
              </w:rPr>
              <w:t>2BV2061  1.5KW  -0.098Pa</w:t>
            </w: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4</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center"/>
          </w:tcPr>
          <w:p>
            <w:pPr>
              <w:pStyle w:val="35"/>
              <w:bidi w:val="0"/>
              <w:rPr>
                <w:color w:val="auto"/>
              </w:rPr>
            </w:pPr>
            <w:r>
              <w:rPr>
                <w:rFonts w:hint="eastAsia"/>
                <w:color w:val="auto"/>
              </w:rPr>
              <w:t>23</w:t>
            </w:r>
          </w:p>
        </w:tc>
        <w:tc>
          <w:tcPr>
            <w:tcW w:w="871" w:type="pct"/>
            <w:tcBorders>
              <w:tl2br w:val="nil"/>
              <w:tr2bl w:val="nil"/>
            </w:tcBorders>
            <w:noWrap w:val="0"/>
            <w:vAlign w:val="center"/>
          </w:tcPr>
          <w:p>
            <w:pPr>
              <w:pStyle w:val="35"/>
              <w:bidi w:val="0"/>
              <w:rPr>
                <w:color w:val="auto"/>
              </w:rPr>
            </w:pPr>
            <w:r>
              <w:rPr>
                <w:rFonts w:hint="eastAsia"/>
                <w:color w:val="auto"/>
              </w:rPr>
              <w:t>重组分泵</w:t>
            </w:r>
          </w:p>
        </w:tc>
        <w:tc>
          <w:tcPr>
            <w:tcW w:w="1720" w:type="pct"/>
            <w:tcBorders>
              <w:tl2br w:val="nil"/>
              <w:tr2bl w:val="nil"/>
            </w:tcBorders>
            <w:noWrap w:val="0"/>
            <w:vAlign w:val="center"/>
          </w:tcPr>
          <w:p>
            <w:pPr>
              <w:pStyle w:val="35"/>
              <w:bidi w:val="0"/>
              <w:rPr>
                <w:color w:val="auto"/>
              </w:rPr>
            </w:pPr>
            <w:r>
              <w:rPr>
                <w:rFonts w:hint="eastAsia"/>
                <w:color w:val="auto"/>
              </w:rPr>
              <w:t>32-11  0.75KW</w:t>
            </w: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top"/>
          </w:tcPr>
          <w:p>
            <w:pPr>
              <w:pStyle w:val="35"/>
              <w:bidi w:val="0"/>
              <w:rPr>
                <w:color w:val="auto"/>
              </w:rPr>
            </w:pPr>
            <w:r>
              <w:rPr>
                <w:rFonts w:hint="eastAsia"/>
                <w:color w:val="auto"/>
              </w:rPr>
              <w:t>24</w:t>
            </w:r>
          </w:p>
        </w:tc>
        <w:tc>
          <w:tcPr>
            <w:tcW w:w="871" w:type="pct"/>
            <w:tcBorders>
              <w:tl2br w:val="nil"/>
              <w:tr2bl w:val="nil"/>
            </w:tcBorders>
            <w:noWrap w:val="0"/>
            <w:vAlign w:val="center"/>
          </w:tcPr>
          <w:p>
            <w:pPr>
              <w:pStyle w:val="35"/>
              <w:bidi w:val="0"/>
              <w:rPr>
                <w:color w:val="auto"/>
              </w:rPr>
            </w:pPr>
            <w:r>
              <w:rPr>
                <w:rFonts w:hint="eastAsia"/>
                <w:color w:val="auto"/>
              </w:rPr>
              <w:t>精馏塔</w:t>
            </w:r>
          </w:p>
        </w:tc>
        <w:tc>
          <w:tcPr>
            <w:tcW w:w="1720" w:type="pct"/>
            <w:tcBorders>
              <w:tl2br w:val="nil"/>
              <w:tr2bl w:val="nil"/>
            </w:tcBorders>
            <w:noWrap w:val="0"/>
            <w:vAlign w:val="center"/>
          </w:tcPr>
          <w:p>
            <w:pPr>
              <w:pStyle w:val="35"/>
              <w:bidi w:val="0"/>
              <w:rPr>
                <w:color w:val="auto"/>
              </w:rPr>
            </w:pPr>
            <w:r>
              <w:rPr>
                <w:color w:val="auto"/>
              </w:rPr>
              <w:t>Φ900； 12节；H=28500；</w:t>
            </w:r>
          </w:p>
        </w:tc>
        <w:tc>
          <w:tcPr>
            <w:tcW w:w="767" w:type="pct"/>
            <w:tcBorders>
              <w:tl2br w:val="nil"/>
              <w:tr2bl w:val="nil"/>
            </w:tcBorders>
            <w:noWrap w:val="0"/>
            <w:vAlign w:val="center"/>
          </w:tcPr>
          <w:p>
            <w:pPr>
              <w:pStyle w:val="35"/>
              <w:bidi w:val="0"/>
              <w:rPr>
                <w:color w:val="auto"/>
              </w:rPr>
            </w:pPr>
            <w:r>
              <w:rPr>
                <w:color w:val="auto"/>
              </w:rPr>
              <w:t>碳钢/搪玻</w:t>
            </w: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rFonts w:hint="eastAsia"/>
                <w:color w:val="auto"/>
                <w:lang w:eastAsia="zh-CN"/>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top"/>
          </w:tcPr>
          <w:p>
            <w:pPr>
              <w:pStyle w:val="35"/>
              <w:bidi w:val="0"/>
              <w:rPr>
                <w:color w:val="auto"/>
              </w:rPr>
            </w:pPr>
            <w:r>
              <w:rPr>
                <w:rFonts w:hint="eastAsia"/>
                <w:color w:val="auto"/>
              </w:rPr>
              <w:t>25</w:t>
            </w:r>
          </w:p>
        </w:tc>
        <w:tc>
          <w:tcPr>
            <w:tcW w:w="871" w:type="pct"/>
            <w:tcBorders>
              <w:tl2br w:val="nil"/>
              <w:tr2bl w:val="nil"/>
            </w:tcBorders>
            <w:noWrap w:val="0"/>
            <w:vAlign w:val="center"/>
          </w:tcPr>
          <w:p>
            <w:pPr>
              <w:pStyle w:val="35"/>
              <w:bidi w:val="0"/>
              <w:rPr>
                <w:color w:val="auto"/>
              </w:rPr>
            </w:pPr>
            <w:r>
              <w:rPr>
                <w:color w:val="auto"/>
              </w:rPr>
              <w:t>石墨冷凝器</w:t>
            </w:r>
          </w:p>
        </w:tc>
        <w:tc>
          <w:tcPr>
            <w:tcW w:w="1720" w:type="pct"/>
            <w:tcBorders>
              <w:tl2br w:val="nil"/>
              <w:tr2bl w:val="nil"/>
            </w:tcBorders>
            <w:noWrap w:val="0"/>
            <w:vAlign w:val="center"/>
          </w:tcPr>
          <w:p>
            <w:pPr>
              <w:pStyle w:val="35"/>
              <w:bidi w:val="0"/>
              <w:rPr>
                <w:color w:val="auto"/>
              </w:rPr>
            </w:pPr>
            <w:r>
              <w:rPr>
                <w:color w:val="auto"/>
              </w:rPr>
              <w:t>90</w:t>
            </w:r>
            <w:r>
              <w:rPr>
                <w:rFonts w:hint="eastAsia"/>
                <w:color w:val="auto"/>
                <w:lang w:val="en-US" w:eastAsia="zh-CN"/>
              </w:rPr>
              <w:t>m</w:t>
            </w:r>
            <w:r>
              <w:rPr>
                <w:rFonts w:hint="eastAsia"/>
                <w:color w:val="auto"/>
                <w:vertAlign w:val="superscript"/>
                <w:lang w:val="en-US" w:eastAsia="zh-CN"/>
              </w:rPr>
              <w:t>2</w:t>
            </w:r>
            <w:r>
              <w:rPr>
                <w:color w:val="auto"/>
              </w:rPr>
              <w:t>； Φ830×3560；</w:t>
            </w:r>
          </w:p>
        </w:tc>
        <w:tc>
          <w:tcPr>
            <w:tcW w:w="767" w:type="pct"/>
            <w:tcBorders>
              <w:tl2br w:val="nil"/>
              <w:tr2bl w:val="nil"/>
            </w:tcBorders>
            <w:noWrap w:val="0"/>
            <w:vAlign w:val="center"/>
          </w:tcPr>
          <w:p>
            <w:pPr>
              <w:pStyle w:val="35"/>
              <w:bidi w:val="0"/>
              <w:rPr>
                <w:color w:val="auto"/>
              </w:rPr>
            </w:pPr>
            <w:r>
              <w:rPr>
                <w:color w:val="auto"/>
              </w:rPr>
              <w:t>碳钢/石墨</w:t>
            </w: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top"/>
          </w:tcPr>
          <w:p>
            <w:pPr>
              <w:pStyle w:val="35"/>
              <w:bidi w:val="0"/>
              <w:rPr>
                <w:color w:val="auto"/>
              </w:rPr>
            </w:pPr>
            <w:r>
              <w:rPr>
                <w:rFonts w:hint="eastAsia"/>
                <w:color w:val="auto"/>
              </w:rPr>
              <w:t>26</w:t>
            </w:r>
          </w:p>
        </w:tc>
        <w:tc>
          <w:tcPr>
            <w:tcW w:w="871" w:type="pct"/>
            <w:tcBorders>
              <w:tl2br w:val="nil"/>
              <w:tr2bl w:val="nil"/>
            </w:tcBorders>
            <w:noWrap w:val="0"/>
            <w:vAlign w:val="center"/>
          </w:tcPr>
          <w:p>
            <w:pPr>
              <w:pStyle w:val="35"/>
              <w:bidi w:val="0"/>
              <w:rPr>
                <w:color w:val="auto"/>
              </w:rPr>
            </w:pPr>
            <w:r>
              <w:rPr>
                <w:color w:val="auto"/>
              </w:rPr>
              <w:t>玻璃钢储罐</w:t>
            </w:r>
          </w:p>
        </w:tc>
        <w:tc>
          <w:tcPr>
            <w:tcW w:w="1720" w:type="pct"/>
            <w:tcBorders>
              <w:tl2br w:val="nil"/>
              <w:tr2bl w:val="nil"/>
            </w:tcBorders>
            <w:noWrap w:val="0"/>
            <w:vAlign w:val="center"/>
          </w:tcPr>
          <w:p>
            <w:pPr>
              <w:pStyle w:val="35"/>
              <w:bidi w:val="0"/>
              <w:rPr>
                <w:color w:val="auto"/>
              </w:rPr>
            </w:pPr>
            <w:r>
              <w:rPr>
                <w:color w:val="auto"/>
              </w:rPr>
              <w:t>Φ3000×10500；60.1m³</w:t>
            </w:r>
          </w:p>
        </w:tc>
        <w:tc>
          <w:tcPr>
            <w:tcW w:w="767" w:type="pct"/>
            <w:tcBorders>
              <w:tl2br w:val="nil"/>
              <w:tr2bl w:val="nil"/>
            </w:tcBorders>
            <w:noWrap w:val="0"/>
            <w:vAlign w:val="center"/>
          </w:tcPr>
          <w:p>
            <w:pPr>
              <w:pStyle w:val="35"/>
              <w:bidi w:val="0"/>
              <w:rPr>
                <w:color w:val="auto"/>
              </w:rPr>
            </w:pPr>
            <w:r>
              <w:rPr>
                <w:color w:val="auto"/>
              </w:rPr>
              <w:t>玻璃</w:t>
            </w:r>
          </w:p>
        </w:tc>
        <w:tc>
          <w:tcPr>
            <w:tcW w:w="458" w:type="pct"/>
            <w:tcBorders>
              <w:tl2br w:val="nil"/>
              <w:tr2bl w:val="nil"/>
            </w:tcBorders>
            <w:noWrap w:val="0"/>
            <w:vAlign w:val="center"/>
          </w:tcPr>
          <w:p>
            <w:pPr>
              <w:pStyle w:val="35"/>
              <w:bidi w:val="0"/>
              <w:rPr>
                <w:color w:val="auto"/>
              </w:rPr>
            </w:pPr>
            <w:r>
              <w:rPr>
                <w:rFonts w:hint="eastAsia"/>
                <w:color w:val="auto"/>
              </w:rPr>
              <w:t>2</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top"/>
          </w:tcPr>
          <w:p>
            <w:pPr>
              <w:pStyle w:val="35"/>
              <w:bidi w:val="0"/>
              <w:rPr>
                <w:color w:val="auto"/>
              </w:rPr>
            </w:pPr>
            <w:r>
              <w:rPr>
                <w:rFonts w:hint="eastAsia"/>
                <w:color w:val="auto"/>
              </w:rPr>
              <w:t>27</w:t>
            </w:r>
          </w:p>
        </w:tc>
        <w:tc>
          <w:tcPr>
            <w:tcW w:w="871" w:type="pct"/>
            <w:tcBorders>
              <w:tl2br w:val="nil"/>
              <w:tr2bl w:val="nil"/>
            </w:tcBorders>
            <w:noWrap w:val="0"/>
            <w:vAlign w:val="center"/>
          </w:tcPr>
          <w:p>
            <w:pPr>
              <w:pStyle w:val="35"/>
              <w:bidi w:val="0"/>
              <w:rPr>
                <w:color w:val="auto"/>
              </w:rPr>
            </w:pPr>
            <w:r>
              <w:rPr>
                <w:color w:val="auto"/>
              </w:rPr>
              <w:t>分水缸</w:t>
            </w:r>
          </w:p>
        </w:tc>
        <w:tc>
          <w:tcPr>
            <w:tcW w:w="1720" w:type="pct"/>
            <w:tcBorders>
              <w:tl2br w:val="nil"/>
              <w:tr2bl w:val="nil"/>
            </w:tcBorders>
            <w:noWrap w:val="0"/>
            <w:vAlign w:val="center"/>
          </w:tcPr>
          <w:p>
            <w:pPr>
              <w:pStyle w:val="35"/>
              <w:bidi w:val="0"/>
              <w:rPr>
                <w:color w:val="auto"/>
              </w:rPr>
            </w:pPr>
            <w:r>
              <w:rPr>
                <w:color w:val="auto"/>
              </w:rPr>
              <w:t xml:space="preserve">Φ1000×2150； </w:t>
            </w:r>
          </w:p>
        </w:tc>
        <w:tc>
          <w:tcPr>
            <w:tcW w:w="767" w:type="pct"/>
            <w:tcBorders>
              <w:tl2br w:val="nil"/>
              <w:tr2bl w:val="nil"/>
            </w:tcBorders>
            <w:noWrap w:val="0"/>
            <w:vAlign w:val="center"/>
          </w:tcPr>
          <w:p>
            <w:pPr>
              <w:pStyle w:val="35"/>
              <w:bidi w:val="0"/>
              <w:rPr>
                <w:color w:val="auto"/>
              </w:rPr>
            </w:pPr>
            <w:r>
              <w:rPr>
                <w:color w:val="auto"/>
              </w:rPr>
              <w:t>钢/搪玻</w:t>
            </w:r>
          </w:p>
        </w:tc>
        <w:tc>
          <w:tcPr>
            <w:tcW w:w="458" w:type="pct"/>
            <w:tcBorders>
              <w:tl2br w:val="nil"/>
              <w:tr2bl w:val="nil"/>
            </w:tcBorders>
            <w:noWrap w:val="0"/>
            <w:vAlign w:val="center"/>
          </w:tcPr>
          <w:p>
            <w:pPr>
              <w:pStyle w:val="35"/>
              <w:bidi w:val="0"/>
              <w:rPr>
                <w:color w:val="auto"/>
              </w:rPr>
            </w:pPr>
            <w:r>
              <w:rPr>
                <w:rFonts w:hint="eastAsia"/>
                <w:color w:val="auto"/>
              </w:rPr>
              <w:t>2</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top"/>
          </w:tcPr>
          <w:p>
            <w:pPr>
              <w:pStyle w:val="35"/>
              <w:bidi w:val="0"/>
              <w:rPr>
                <w:color w:val="auto"/>
              </w:rPr>
            </w:pPr>
            <w:r>
              <w:rPr>
                <w:rFonts w:hint="eastAsia"/>
                <w:color w:val="auto"/>
              </w:rPr>
              <w:t>28</w:t>
            </w:r>
          </w:p>
        </w:tc>
        <w:tc>
          <w:tcPr>
            <w:tcW w:w="871" w:type="pct"/>
            <w:tcBorders>
              <w:tl2br w:val="nil"/>
              <w:tr2bl w:val="nil"/>
            </w:tcBorders>
            <w:noWrap w:val="0"/>
            <w:vAlign w:val="center"/>
          </w:tcPr>
          <w:p>
            <w:pPr>
              <w:pStyle w:val="35"/>
              <w:bidi w:val="0"/>
              <w:rPr>
                <w:color w:val="auto"/>
              </w:rPr>
            </w:pPr>
            <w:r>
              <w:rPr>
                <w:color w:val="auto"/>
              </w:rPr>
              <w:t>接收罐</w:t>
            </w:r>
          </w:p>
        </w:tc>
        <w:tc>
          <w:tcPr>
            <w:tcW w:w="1720" w:type="pct"/>
            <w:tcBorders>
              <w:tl2br w:val="nil"/>
              <w:tr2bl w:val="nil"/>
            </w:tcBorders>
            <w:noWrap w:val="0"/>
            <w:vAlign w:val="center"/>
          </w:tcPr>
          <w:p>
            <w:pPr>
              <w:pStyle w:val="35"/>
              <w:bidi w:val="0"/>
              <w:rPr>
                <w:color w:val="auto"/>
              </w:rPr>
            </w:pPr>
          </w:p>
        </w:tc>
        <w:tc>
          <w:tcPr>
            <w:tcW w:w="767" w:type="pct"/>
            <w:tcBorders>
              <w:tl2br w:val="nil"/>
              <w:tr2bl w:val="nil"/>
            </w:tcBorders>
            <w:noWrap w:val="0"/>
            <w:vAlign w:val="center"/>
          </w:tcPr>
          <w:p>
            <w:pPr>
              <w:pStyle w:val="35"/>
              <w:bidi w:val="0"/>
              <w:rPr>
                <w:color w:val="auto"/>
              </w:rPr>
            </w:pPr>
            <w:r>
              <w:rPr>
                <w:color w:val="auto"/>
              </w:rPr>
              <w:t>碳钢/搪玻璃</w:t>
            </w:r>
          </w:p>
        </w:tc>
        <w:tc>
          <w:tcPr>
            <w:tcW w:w="458" w:type="pct"/>
            <w:tcBorders>
              <w:tl2br w:val="nil"/>
              <w:tr2bl w:val="nil"/>
            </w:tcBorders>
            <w:noWrap w:val="0"/>
            <w:vAlign w:val="center"/>
          </w:tcPr>
          <w:p>
            <w:pPr>
              <w:pStyle w:val="35"/>
              <w:bidi w:val="0"/>
              <w:rPr>
                <w:color w:val="auto"/>
              </w:rPr>
            </w:pPr>
            <w:r>
              <w:rPr>
                <w:rFonts w:hint="eastAsia"/>
                <w:color w:val="auto"/>
              </w:rPr>
              <w:t>2</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top"/>
          </w:tcPr>
          <w:p>
            <w:pPr>
              <w:pStyle w:val="35"/>
              <w:bidi w:val="0"/>
              <w:rPr>
                <w:color w:val="auto"/>
              </w:rPr>
            </w:pPr>
            <w:r>
              <w:rPr>
                <w:rFonts w:hint="eastAsia"/>
                <w:color w:val="auto"/>
              </w:rPr>
              <w:t>29</w:t>
            </w:r>
          </w:p>
        </w:tc>
        <w:tc>
          <w:tcPr>
            <w:tcW w:w="871" w:type="pct"/>
            <w:tcBorders>
              <w:tl2br w:val="nil"/>
              <w:tr2bl w:val="nil"/>
            </w:tcBorders>
            <w:noWrap w:val="0"/>
            <w:vAlign w:val="center"/>
          </w:tcPr>
          <w:p>
            <w:pPr>
              <w:pStyle w:val="35"/>
              <w:bidi w:val="0"/>
              <w:rPr>
                <w:color w:val="auto"/>
              </w:rPr>
            </w:pPr>
            <w:r>
              <w:rPr>
                <w:color w:val="auto"/>
              </w:rPr>
              <w:t>原料输送泵</w:t>
            </w:r>
          </w:p>
        </w:tc>
        <w:tc>
          <w:tcPr>
            <w:tcW w:w="1720" w:type="pct"/>
            <w:tcBorders>
              <w:tl2br w:val="nil"/>
              <w:tr2bl w:val="nil"/>
            </w:tcBorders>
            <w:noWrap w:val="0"/>
            <w:vAlign w:val="center"/>
          </w:tcPr>
          <w:p>
            <w:pPr>
              <w:pStyle w:val="35"/>
              <w:bidi w:val="0"/>
              <w:rPr>
                <w:color w:val="auto"/>
              </w:rPr>
            </w:pPr>
            <w:r>
              <w:rPr>
                <w:color w:val="auto"/>
              </w:rPr>
              <w:t>40FZB-30L；组合件</w:t>
            </w: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2</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top"/>
          </w:tcPr>
          <w:p>
            <w:pPr>
              <w:pStyle w:val="35"/>
              <w:bidi w:val="0"/>
              <w:rPr>
                <w:color w:val="auto"/>
              </w:rPr>
            </w:pPr>
            <w:r>
              <w:rPr>
                <w:rFonts w:hint="eastAsia"/>
                <w:color w:val="auto"/>
              </w:rPr>
              <w:t>30</w:t>
            </w:r>
          </w:p>
        </w:tc>
        <w:tc>
          <w:tcPr>
            <w:tcW w:w="871" w:type="pct"/>
            <w:tcBorders>
              <w:tl2br w:val="nil"/>
              <w:tr2bl w:val="nil"/>
            </w:tcBorders>
            <w:noWrap w:val="0"/>
            <w:vAlign w:val="center"/>
          </w:tcPr>
          <w:p>
            <w:pPr>
              <w:pStyle w:val="35"/>
              <w:bidi w:val="0"/>
              <w:rPr>
                <w:color w:val="auto"/>
              </w:rPr>
            </w:pPr>
            <w:r>
              <w:rPr>
                <w:color w:val="auto"/>
              </w:rPr>
              <w:t>物料输送泵</w:t>
            </w:r>
          </w:p>
        </w:tc>
        <w:tc>
          <w:tcPr>
            <w:tcW w:w="1720" w:type="pct"/>
            <w:tcBorders>
              <w:tl2br w:val="nil"/>
              <w:tr2bl w:val="nil"/>
            </w:tcBorders>
            <w:noWrap w:val="0"/>
            <w:vAlign w:val="center"/>
          </w:tcPr>
          <w:p>
            <w:pPr>
              <w:pStyle w:val="35"/>
              <w:bidi w:val="0"/>
              <w:rPr>
                <w:color w:val="auto"/>
              </w:rPr>
            </w:pPr>
            <w:r>
              <w:rPr>
                <w:color w:val="auto"/>
              </w:rPr>
              <w:t>25FSB-18L；组合件</w:t>
            </w: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2</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center"/>
          </w:tcPr>
          <w:p>
            <w:pPr>
              <w:pStyle w:val="35"/>
              <w:bidi w:val="0"/>
              <w:rPr>
                <w:color w:val="auto"/>
              </w:rPr>
            </w:pPr>
          </w:p>
        </w:tc>
        <w:tc>
          <w:tcPr>
            <w:tcW w:w="3818" w:type="pct"/>
            <w:gridSpan w:val="4"/>
            <w:tcBorders>
              <w:tl2br w:val="nil"/>
              <w:tr2bl w:val="nil"/>
            </w:tcBorders>
            <w:noWrap w:val="0"/>
            <w:vAlign w:val="center"/>
          </w:tcPr>
          <w:p>
            <w:pPr>
              <w:pStyle w:val="35"/>
              <w:bidi w:val="0"/>
              <w:rPr>
                <w:color w:val="auto"/>
              </w:rPr>
            </w:pPr>
            <w:r>
              <w:rPr>
                <w:rFonts w:hint="eastAsia"/>
                <w:color w:val="auto"/>
              </w:rPr>
              <w:t>燃料油设备</w:t>
            </w:r>
          </w:p>
        </w:tc>
        <w:tc>
          <w:tcPr>
            <w:tcW w:w="821" w:type="pct"/>
            <w:tcBorders>
              <w:tl2br w:val="nil"/>
              <w:tr2bl w:val="nil"/>
            </w:tcBorders>
            <w:noWrap w:val="0"/>
            <w:vAlign w:val="top"/>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22" w:hRule="atLeast"/>
          <w:jc w:val="center"/>
        </w:trPr>
        <w:tc>
          <w:tcPr>
            <w:tcW w:w="360" w:type="pct"/>
            <w:tcBorders>
              <w:tl2br w:val="nil"/>
              <w:tr2bl w:val="nil"/>
            </w:tcBorders>
            <w:noWrap w:val="0"/>
            <w:vAlign w:val="center"/>
          </w:tcPr>
          <w:p>
            <w:pPr>
              <w:pStyle w:val="35"/>
              <w:bidi w:val="0"/>
              <w:rPr>
                <w:color w:val="auto"/>
              </w:rPr>
            </w:pPr>
            <w:r>
              <w:rPr>
                <w:rFonts w:hint="eastAsia"/>
                <w:color w:val="auto"/>
              </w:rPr>
              <w:t>1</w:t>
            </w:r>
          </w:p>
        </w:tc>
        <w:tc>
          <w:tcPr>
            <w:tcW w:w="871" w:type="pct"/>
            <w:tcBorders>
              <w:tl2br w:val="nil"/>
              <w:tr2bl w:val="nil"/>
            </w:tcBorders>
            <w:noWrap w:val="0"/>
            <w:vAlign w:val="center"/>
          </w:tcPr>
          <w:p>
            <w:pPr>
              <w:pStyle w:val="35"/>
              <w:bidi w:val="0"/>
              <w:rPr>
                <w:color w:val="auto"/>
              </w:rPr>
            </w:pPr>
            <w:r>
              <w:rPr>
                <w:rFonts w:hint="eastAsia"/>
                <w:color w:val="auto"/>
              </w:rPr>
              <w:t>燃料油</w:t>
            </w:r>
            <w:r>
              <w:rPr>
                <w:color w:val="auto"/>
              </w:rPr>
              <w:t>搅拌反应釜</w:t>
            </w:r>
          </w:p>
        </w:tc>
        <w:tc>
          <w:tcPr>
            <w:tcW w:w="1720" w:type="pct"/>
            <w:tcBorders>
              <w:tl2br w:val="nil"/>
              <w:tr2bl w:val="nil"/>
            </w:tcBorders>
            <w:noWrap w:val="0"/>
            <w:vAlign w:val="center"/>
          </w:tcPr>
          <w:p>
            <w:pPr>
              <w:pStyle w:val="35"/>
              <w:bidi w:val="0"/>
              <w:rPr>
                <w:color w:val="auto"/>
              </w:rPr>
            </w:pPr>
            <w:r>
              <w:rPr>
                <w:color w:val="auto"/>
              </w:rPr>
              <w:t>V=</w:t>
            </w:r>
            <w:r>
              <w:rPr>
                <w:rFonts w:hint="eastAsia"/>
                <w:color w:val="auto"/>
              </w:rPr>
              <w:t>5</w:t>
            </w:r>
            <w:r>
              <w:rPr>
                <w:color w:val="auto"/>
              </w:rPr>
              <w:t>m</w:t>
            </w:r>
            <w:r>
              <w:rPr>
                <w:color w:val="auto"/>
                <w:vertAlign w:val="superscript"/>
              </w:rPr>
              <w:t>3</w:t>
            </w:r>
            <w:r>
              <w:rPr>
                <w:color w:val="auto"/>
              </w:rPr>
              <w:t>，带夹套</w:t>
            </w:r>
          </w:p>
        </w:tc>
        <w:tc>
          <w:tcPr>
            <w:tcW w:w="767" w:type="pct"/>
            <w:tcBorders>
              <w:tl2br w:val="nil"/>
              <w:tr2bl w:val="nil"/>
            </w:tcBorders>
            <w:noWrap w:val="0"/>
            <w:vAlign w:val="center"/>
          </w:tcPr>
          <w:p>
            <w:pPr>
              <w:pStyle w:val="35"/>
              <w:bidi w:val="0"/>
              <w:rPr>
                <w:color w:val="auto"/>
              </w:rPr>
            </w:pPr>
            <w:r>
              <w:rPr>
                <w:rFonts w:hint="eastAsia"/>
                <w:color w:val="auto"/>
              </w:rPr>
              <w:t>Q235B</w:t>
            </w:r>
          </w:p>
        </w:tc>
        <w:tc>
          <w:tcPr>
            <w:tcW w:w="458" w:type="pct"/>
            <w:tcBorders>
              <w:tl2br w:val="nil"/>
              <w:tr2bl w:val="nil"/>
            </w:tcBorders>
            <w:noWrap w:val="0"/>
            <w:vAlign w:val="center"/>
          </w:tcPr>
          <w:p>
            <w:pPr>
              <w:pStyle w:val="35"/>
              <w:bidi w:val="0"/>
              <w:rPr>
                <w:color w:val="auto"/>
              </w:rPr>
            </w:pPr>
            <w:r>
              <w:rPr>
                <w:color w:val="auto"/>
              </w:rPr>
              <w:t>2台</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360" w:type="pct"/>
            <w:tcBorders>
              <w:tl2br w:val="nil"/>
              <w:tr2bl w:val="nil"/>
            </w:tcBorders>
            <w:noWrap w:val="0"/>
            <w:vAlign w:val="center"/>
          </w:tcPr>
          <w:p>
            <w:pPr>
              <w:pStyle w:val="35"/>
              <w:bidi w:val="0"/>
              <w:rPr>
                <w:color w:val="auto"/>
              </w:rPr>
            </w:pPr>
            <w:r>
              <w:rPr>
                <w:rFonts w:hint="eastAsia"/>
                <w:color w:val="auto"/>
              </w:rPr>
              <w:t>2</w:t>
            </w:r>
          </w:p>
        </w:tc>
        <w:tc>
          <w:tcPr>
            <w:tcW w:w="871" w:type="pct"/>
            <w:tcBorders>
              <w:tl2br w:val="nil"/>
              <w:tr2bl w:val="nil"/>
            </w:tcBorders>
            <w:noWrap w:val="0"/>
            <w:vAlign w:val="center"/>
          </w:tcPr>
          <w:p>
            <w:pPr>
              <w:pStyle w:val="35"/>
              <w:bidi w:val="0"/>
              <w:rPr>
                <w:color w:val="auto"/>
              </w:rPr>
            </w:pPr>
            <w:r>
              <w:rPr>
                <w:color w:val="auto"/>
              </w:rPr>
              <w:t>预加热器</w:t>
            </w:r>
          </w:p>
        </w:tc>
        <w:tc>
          <w:tcPr>
            <w:tcW w:w="1720" w:type="pct"/>
            <w:tcBorders>
              <w:tl2br w:val="nil"/>
              <w:tr2bl w:val="nil"/>
            </w:tcBorders>
            <w:noWrap w:val="0"/>
            <w:vAlign w:val="center"/>
          </w:tcPr>
          <w:p>
            <w:pPr>
              <w:pStyle w:val="35"/>
              <w:bidi w:val="0"/>
              <w:rPr>
                <w:color w:val="auto"/>
              </w:rPr>
            </w:pPr>
            <w:r>
              <w:rPr>
                <w:color w:val="auto"/>
              </w:rPr>
              <w:t>/</w:t>
            </w:r>
          </w:p>
        </w:tc>
        <w:tc>
          <w:tcPr>
            <w:tcW w:w="767" w:type="pct"/>
            <w:tcBorders>
              <w:tl2br w:val="nil"/>
              <w:tr2bl w:val="nil"/>
            </w:tcBorders>
            <w:noWrap w:val="0"/>
            <w:vAlign w:val="center"/>
          </w:tcPr>
          <w:p>
            <w:pPr>
              <w:pStyle w:val="35"/>
              <w:bidi w:val="0"/>
              <w:rPr>
                <w:color w:val="auto"/>
              </w:rPr>
            </w:pPr>
            <w:r>
              <w:rPr>
                <w:rFonts w:hint="eastAsia"/>
                <w:color w:val="auto"/>
              </w:rPr>
              <w:t>Q235B</w:t>
            </w:r>
          </w:p>
        </w:tc>
        <w:tc>
          <w:tcPr>
            <w:tcW w:w="458" w:type="pct"/>
            <w:tcBorders>
              <w:tl2br w:val="nil"/>
              <w:tr2bl w:val="nil"/>
            </w:tcBorders>
            <w:noWrap w:val="0"/>
            <w:vAlign w:val="center"/>
          </w:tcPr>
          <w:p>
            <w:pPr>
              <w:pStyle w:val="35"/>
              <w:bidi w:val="0"/>
              <w:rPr>
                <w:color w:val="auto"/>
              </w:rPr>
            </w:pPr>
            <w:r>
              <w:rPr>
                <w:color w:val="auto"/>
              </w:rPr>
              <w:t>2台</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center"/>
          </w:tcPr>
          <w:p>
            <w:pPr>
              <w:pStyle w:val="35"/>
              <w:bidi w:val="0"/>
              <w:rPr>
                <w:color w:val="auto"/>
              </w:rPr>
            </w:pPr>
            <w:r>
              <w:rPr>
                <w:rFonts w:hint="eastAsia"/>
                <w:color w:val="auto"/>
              </w:rPr>
              <w:t>3</w:t>
            </w:r>
          </w:p>
        </w:tc>
        <w:tc>
          <w:tcPr>
            <w:tcW w:w="871" w:type="pct"/>
            <w:tcBorders>
              <w:tl2br w:val="nil"/>
              <w:tr2bl w:val="nil"/>
            </w:tcBorders>
            <w:noWrap w:val="0"/>
            <w:vAlign w:val="center"/>
          </w:tcPr>
          <w:p>
            <w:pPr>
              <w:pStyle w:val="35"/>
              <w:bidi w:val="0"/>
              <w:rPr>
                <w:color w:val="auto"/>
              </w:rPr>
            </w:pPr>
            <w:r>
              <w:rPr>
                <w:rFonts w:hint="eastAsia"/>
                <w:color w:val="auto"/>
              </w:rPr>
              <w:t>燃料油输送泵</w:t>
            </w:r>
          </w:p>
        </w:tc>
        <w:tc>
          <w:tcPr>
            <w:tcW w:w="1720" w:type="pct"/>
            <w:tcBorders>
              <w:tl2br w:val="nil"/>
              <w:tr2bl w:val="nil"/>
            </w:tcBorders>
            <w:noWrap w:val="0"/>
            <w:vAlign w:val="center"/>
          </w:tcPr>
          <w:p>
            <w:pPr>
              <w:pStyle w:val="35"/>
              <w:bidi w:val="0"/>
              <w:rPr>
                <w:color w:val="auto"/>
              </w:rPr>
            </w:pPr>
            <w:r>
              <w:rPr>
                <w:rFonts w:hint="eastAsia"/>
                <w:color w:val="auto"/>
              </w:rPr>
              <w:t>/</w:t>
            </w: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2台</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二</w:t>
            </w:r>
          </w:p>
        </w:tc>
        <w:tc>
          <w:tcPr>
            <w:tcW w:w="3818" w:type="pct"/>
            <w:gridSpan w:val="4"/>
            <w:tcBorders>
              <w:tl2br w:val="nil"/>
              <w:tr2bl w:val="nil"/>
            </w:tcBorders>
            <w:noWrap w:val="0"/>
            <w:vAlign w:val="center"/>
          </w:tcPr>
          <w:p>
            <w:pPr>
              <w:pStyle w:val="35"/>
              <w:bidi w:val="0"/>
              <w:rPr>
                <w:color w:val="auto"/>
              </w:rPr>
            </w:pPr>
            <w:r>
              <w:rPr>
                <w:rFonts w:hint="eastAsia"/>
                <w:color w:val="auto"/>
              </w:rPr>
              <w:t>环氧树脂固化剂生产设备</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1</w:t>
            </w:r>
          </w:p>
        </w:tc>
        <w:tc>
          <w:tcPr>
            <w:tcW w:w="871" w:type="pct"/>
            <w:tcBorders>
              <w:tl2br w:val="nil"/>
              <w:tr2bl w:val="nil"/>
            </w:tcBorders>
            <w:noWrap w:val="0"/>
            <w:vAlign w:val="center"/>
          </w:tcPr>
          <w:p>
            <w:pPr>
              <w:pStyle w:val="35"/>
              <w:bidi w:val="0"/>
              <w:rPr>
                <w:color w:val="auto"/>
              </w:rPr>
            </w:pPr>
            <w:r>
              <w:rPr>
                <w:color w:val="auto"/>
              </w:rPr>
              <w:t>反应釜</w:t>
            </w:r>
          </w:p>
        </w:tc>
        <w:tc>
          <w:tcPr>
            <w:tcW w:w="1720" w:type="pct"/>
            <w:tcBorders>
              <w:tl2br w:val="nil"/>
              <w:tr2bl w:val="nil"/>
            </w:tcBorders>
            <w:noWrap w:val="0"/>
            <w:vAlign w:val="center"/>
          </w:tcPr>
          <w:p>
            <w:pPr>
              <w:pStyle w:val="35"/>
              <w:bidi w:val="0"/>
              <w:rPr>
                <w:color w:val="auto"/>
              </w:rPr>
            </w:pPr>
            <w:r>
              <w:rPr>
                <w:color w:val="auto"/>
              </w:rPr>
              <w:t>V=</w:t>
            </w:r>
            <w:r>
              <w:rPr>
                <w:rFonts w:hint="eastAsia"/>
                <w:color w:val="auto"/>
              </w:rPr>
              <w:t>5</w:t>
            </w:r>
            <w:r>
              <w:rPr>
                <w:color w:val="auto"/>
              </w:rPr>
              <w:t>m</w:t>
            </w:r>
            <w:r>
              <w:rPr>
                <w:color w:val="auto"/>
                <w:vertAlign w:val="superscript"/>
              </w:rPr>
              <w:t>3</w:t>
            </w:r>
          </w:p>
        </w:tc>
        <w:tc>
          <w:tcPr>
            <w:tcW w:w="767" w:type="pct"/>
            <w:tcBorders>
              <w:tl2br w:val="nil"/>
              <w:tr2bl w:val="nil"/>
            </w:tcBorders>
            <w:noWrap w:val="0"/>
            <w:vAlign w:val="center"/>
          </w:tcPr>
          <w:p>
            <w:pPr>
              <w:pStyle w:val="35"/>
              <w:bidi w:val="0"/>
              <w:rPr>
                <w:color w:val="auto"/>
              </w:rPr>
            </w:pPr>
            <w:r>
              <w:rPr>
                <w:rFonts w:hint="eastAsia"/>
                <w:color w:val="auto"/>
              </w:rPr>
              <w:t>304</w:t>
            </w:r>
          </w:p>
        </w:tc>
        <w:tc>
          <w:tcPr>
            <w:tcW w:w="458" w:type="pct"/>
            <w:tcBorders>
              <w:tl2br w:val="nil"/>
              <w:tr2bl w:val="nil"/>
            </w:tcBorders>
            <w:noWrap w:val="0"/>
            <w:vAlign w:val="center"/>
          </w:tcPr>
          <w:p>
            <w:pPr>
              <w:pStyle w:val="35"/>
              <w:bidi w:val="0"/>
              <w:rPr>
                <w:color w:val="auto"/>
              </w:rPr>
            </w:pPr>
            <w:r>
              <w:rPr>
                <w:rFonts w:hint="eastAsia"/>
                <w:color w:val="auto"/>
              </w:rPr>
              <w:t>5</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2</w:t>
            </w:r>
          </w:p>
        </w:tc>
        <w:tc>
          <w:tcPr>
            <w:tcW w:w="871" w:type="pct"/>
            <w:tcBorders>
              <w:tl2br w:val="nil"/>
              <w:tr2bl w:val="nil"/>
            </w:tcBorders>
            <w:noWrap w:val="0"/>
            <w:vAlign w:val="center"/>
          </w:tcPr>
          <w:p>
            <w:pPr>
              <w:pStyle w:val="35"/>
              <w:bidi w:val="0"/>
              <w:rPr>
                <w:color w:val="auto"/>
              </w:rPr>
            </w:pPr>
            <w:r>
              <w:rPr>
                <w:rFonts w:hint="eastAsia"/>
                <w:color w:val="auto"/>
              </w:rPr>
              <w:t>滴加罐</w:t>
            </w:r>
          </w:p>
        </w:tc>
        <w:tc>
          <w:tcPr>
            <w:tcW w:w="1720" w:type="pct"/>
            <w:tcBorders>
              <w:tl2br w:val="nil"/>
              <w:tr2bl w:val="nil"/>
            </w:tcBorders>
            <w:noWrap w:val="0"/>
            <w:vAlign w:val="center"/>
          </w:tcPr>
          <w:p>
            <w:pPr>
              <w:pStyle w:val="35"/>
              <w:bidi w:val="0"/>
              <w:rPr>
                <w:color w:val="auto"/>
              </w:rPr>
            </w:pPr>
            <w:r>
              <w:rPr>
                <w:color w:val="auto"/>
              </w:rPr>
              <w:t>V=3m</w:t>
            </w:r>
            <w:r>
              <w:rPr>
                <w:color w:val="auto"/>
                <w:vertAlign w:val="superscript"/>
              </w:rPr>
              <w:t>3</w:t>
            </w:r>
          </w:p>
        </w:tc>
        <w:tc>
          <w:tcPr>
            <w:tcW w:w="767" w:type="pct"/>
            <w:tcBorders>
              <w:tl2br w:val="nil"/>
              <w:tr2bl w:val="nil"/>
            </w:tcBorders>
            <w:noWrap w:val="0"/>
            <w:vAlign w:val="center"/>
          </w:tcPr>
          <w:p>
            <w:pPr>
              <w:pStyle w:val="35"/>
              <w:bidi w:val="0"/>
              <w:rPr>
                <w:color w:val="auto"/>
              </w:rPr>
            </w:pPr>
            <w:r>
              <w:rPr>
                <w:rFonts w:hint="eastAsia"/>
                <w:color w:val="auto"/>
              </w:rPr>
              <w:t>304</w:t>
            </w:r>
          </w:p>
        </w:tc>
        <w:tc>
          <w:tcPr>
            <w:tcW w:w="458" w:type="pct"/>
            <w:tcBorders>
              <w:tl2br w:val="nil"/>
              <w:tr2bl w:val="nil"/>
            </w:tcBorders>
            <w:noWrap w:val="0"/>
            <w:vAlign w:val="center"/>
          </w:tcPr>
          <w:p>
            <w:pPr>
              <w:pStyle w:val="35"/>
              <w:bidi w:val="0"/>
              <w:rPr>
                <w:color w:val="auto"/>
              </w:rPr>
            </w:pPr>
            <w:r>
              <w:rPr>
                <w:rFonts w:hint="eastAsia"/>
                <w:color w:val="auto"/>
              </w:rPr>
              <w:t>5</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3</w:t>
            </w:r>
          </w:p>
        </w:tc>
        <w:tc>
          <w:tcPr>
            <w:tcW w:w="871" w:type="pct"/>
            <w:tcBorders>
              <w:tl2br w:val="nil"/>
              <w:tr2bl w:val="nil"/>
            </w:tcBorders>
            <w:noWrap w:val="0"/>
            <w:vAlign w:val="center"/>
          </w:tcPr>
          <w:p>
            <w:pPr>
              <w:pStyle w:val="35"/>
              <w:bidi w:val="0"/>
              <w:rPr>
                <w:color w:val="auto"/>
              </w:rPr>
            </w:pPr>
            <w:r>
              <w:rPr>
                <w:color w:val="auto"/>
              </w:rPr>
              <w:t>冷凝器</w:t>
            </w:r>
          </w:p>
        </w:tc>
        <w:tc>
          <w:tcPr>
            <w:tcW w:w="1720" w:type="pct"/>
            <w:tcBorders>
              <w:tl2br w:val="nil"/>
              <w:tr2bl w:val="nil"/>
            </w:tcBorders>
            <w:noWrap w:val="0"/>
            <w:vAlign w:val="center"/>
          </w:tcPr>
          <w:p>
            <w:pPr>
              <w:pStyle w:val="35"/>
              <w:bidi w:val="0"/>
              <w:rPr>
                <w:color w:val="auto"/>
              </w:rPr>
            </w:pPr>
            <w:r>
              <w:rPr>
                <w:color w:val="auto"/>
              </w:rPr>
              <w:t>V</w:t>
            </w:r>
            <w:r>
              <w:rPr>
                <w:rFonts w:hint="eastAsia"/>
                <w:color w:val="auto"/>
              </w:rPr>
              <w:t>=</w:t>
            </w:r>
            <w:r>
              <w:rPr>
                <w:rFonts w:hint="eastAsia"/>
                <w:color w:val="auto"/>
                <w:lang w:val="en-US" w:eastAsia="zh-CN"/>
              </w:rPr>
              <w:t>14</w:t>
            </w:r>
            <w:r>
              <w:rPr>
                <w:color w:val="auto"/>
              </w:rPr>
              <w:t>m</w:t>
            </w:r>
            <w:r>
              <w:rPr>
                <w:color w:val="auto"/>
                <w:vertAlign w:val="superscript"/>
              </w:rPr>
              <w:t>3</w:t>
            </w:r>
          </w:p>
        </w:tc>
        <w:tc>
          <w:tcPr>
            <w:tcW w:w="767" w:type="pct"/>
            <w:tcBorders>
              <w:tl2br w:val="nil"/>
              <w:tr2bl w:val="nil"/>
            </w:tcBorders>
            <w:noWrap w:val="0"/>
            <w:vAlign w:val="center"/>
          </w:tcPr>
          <w:p>
            <w:pPr>
              <w:pStyle w:val="35"/>
              <w:bidi w:val="0"/>
              <w:rPr>
                <w:color w:val="auto"/>
              </w:rPr>
            </w:pPr>
            <w:r>
              <w:rPr>
                <w:rFonts w:hint="eastAsia"/>
                <w:color w:val="auto"/>
              </w:rPr>
              <w:t>304</w:t>
            </w:r>
          </w:p>
        </w:tc>
        <w:tc>
          <w:tcPr>
            <w:tcW w:w="458" w:type="pct"/>
            <w:tcBorders>
              <w:tl2br w:val="nil"/>
              <w:tr2bl w:val="nil"/>
            </w:tcBorders>
            <w:noWrap w:val="0"/>
            <w:vAlign w:val="center"/>
          </w:tcPr>
          <w:p>
            <w:pPr>
              <w:pStyle w:val="35"/>
              <w:bidi w:val="0"/>
              <w:rPr>
                <w:color w:val="auto"/>
              </w:rPr>
            </w:pPr>
            <w:r>
              <w:rPr>
                <w:rFonts w:hint="eastAsia"/>
                <w:color w:val="auto"/>
              </w:rPr>
              <w:t>5</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4</w:t>
            </w:r>
          </w:p>
        </w:tc>
        <w:tc>
          <w:tcPr>
            <w:tcW w:w="871" w:type="pct"/>
            <w:tcBorders>
              <w:tl2br w:val="nil"/>
              <w:tr2bl w:val="nil"/>
            </w:tcBorders>
            <w:noWrap w:val="0"/>
            <w:vAlign w:val="center"/>
          </w:tcPr>
          <w:p>
            <w:pPr>
              <w:pStyle w:val="35"/>
              <w:bidi w:val="0"/>
              <w:rPr>
                <w:color w:val="auto"/>
              </w:rPr>
            </w:pPr>
            <w:r>
              <w:rPr>
                <w:rFonts w:hint="eastAsia"/>
                <w:color w:val="auto"/>
              </w:rPr>
              <w:t>分水罐</w:t>
            </w:r>
          </w:p>
        </w:tc>
        <w:tc>
          <w:tcPr>
            <w:tcW w:w="1720" w:type="pct"/>
            <w:tcBorders>
              <w:tl2br w:val="nil"/>
              <w:tr2bl w:val="nil"/>
            </w:tcBorders>
            <w:noWrap w:val="0"/>
            <w:vAlign w:val="center"/>
          </w:tcPr>
          <w:p>
            <w:pPr>
              <w:pStyle w:val="35"/>
              <w:bidi w:val="0"/>
              <w:rPr>
                <w:color w:val="auto"/>
              </w:rPr>
            </w:pPr>
            <w:r>
              <w:rPr>
                <w:rFonts w:hint="eastAsia"/>
                <w:color w:val="auto"/>
              </w:rPr>
              <w:t>V</w:t>
            </w:r>
            <w:r>
              <w:rPr>
                <w:color w:val="auto"/>
              </w:rPr>
              <w:t>=</w:t>
            </w:r>
            <w:r>
              <w:rPr>
                <w:rFonts w:hint="eastAsia"/>
                <w:color w:val="auto"/>
              </w:rPr>
              <w:t>0.</w:t>
            </w:r>
            <w:r>
              <w:rPr>
                <w:color w:val="auto"/>
              </w:rPr>
              <w:t>5m</w:t>
            </w:r>
            <w:r>
              <w:rPr>
                <w:color w:val="auto"/>
                <w:vertAlign w:val="superscript"/>
              </w:rPr>
              <w:t>3</w:t>
            </w:r>
          </w:p>
        </w:tc>
        <w:tc>
          <w:tcPr>
            <w:tcW w:w="767" w:type="pct"/>
            <w:tcBorders>
              <w:tl2br w:val="nil"/>
              <w:tr2bl w:val="nil"/>
            </w:tcBorders>
            <w:noWrap w:val="0"/>
            <w:vAlign w:val="center"/>
          </w:tcPr>
          <w:p>
            <w:pPr>
              <w:pStyle w:val="35"/>
              <w:bidi w:val="0"/>
              <w:rPr>
                <w:color w:val="auto"/>
              </w:rPr>
            </w:pPr>
            <w:r>
              <w:rPr>
                <w:rFonts w:hint="eastAsia"/>
                <w:color w:val="auto"/>
              </w:rPr>
              <w:t>304</w:t>
            </w:r>
          </w:p>
        </w:tc>
        <w:tc>
          <w:tcPr>
            <w:tcW w:w="458" w:type="pct"/>
            <w:tcBorders>
              <w:tl2br w:val="nil"/>
              <w:tr2bl w:val="nil"/>
            </w:tcBorders>
            <w:noWrap w:val="0"/>
            <w:vAlign w:val="center"/>
          </w:tcPr>
          <w:p>
            <w:pPr>
              <w:pStyle w:val="35"/>
              <w:bidi w:val="0"/>
              <w:rPr>
                <w:color w:val="auto"/>
              </w:rPr>
            </w:pPr>
            <w:r>
              <w:rPr>
                <w:rFonts w:hint="eastAsia"/>
                <w:color w:val="auto"/>
              </w:rPr>
              <w:t>5</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5</w:t>
            </w:r>
          </w:p>
        </w:tc>
        <w:tc>
          <w:tcPr>
            <w:tcW w:w="871" w:type="pct"/>
            <w:tcBorders>
              <w:tl2br w:val="nil"/>
              <w:tr2bl w:val="nil"/>
            </w:tcBorders>
            <w:noWrap w:val="0"/>
            <w:vAlign w:val="center"/>
          </w:tcPr>
          <w:p>
            <w:pPr>
              <w:pStyle w:val="35"/>
              <w:bidi w:val="0"/>
              <w:rPr>
                <w:color w:val="auto"/>
              </w:rPr>
            </w:pPr>
            <w:r>
              <w:rPr>
                <w:rFonts w:hint="eastAsia"/>
                <w:color w:val="auto"/>
              </w:rPr>
              <w:t>回收罐</w:t>
            </w:r>
          </w:p>
        </w:tc>
        <w:tc>
          <w:tcPr>
            <w:tcW w:w="1720" w:type="pct"/>
            <w:tcBorders>
              <w:tl2br w:val="nil"/>
              <w:tr2bl w:val="nil"/>
            </w:tcBorders>
            <w:noWrap w:val="0"/>
            <w:vAlign w:val="center"/>
          </w:tcPr>
          <w:p>
            <w:pPr>
              <w:pStyle w:val="35"/>
              <w:bidi w:val="0"/>
              <w:rPr>
                <w:color w:val="auto"/>
              </w:rPr>
            </w:pPr>
            <w:r>
              <w:rPr>
                <w:rFonts w:hint="eastAsia"/>
                <w:color w:val="auto"/>
              </w:rPr>
              <w:t>V</w:t>
            </w:r>
            <w:r>
              <w:rPr>
                <w:color w:val="auto"/>
              </w:rPr>
              <w:t>=</w:t>
            </w:r>
            <w:r>
              <w:rPr>
                <w:rFonts w:hint="eastAsia"/>
                <w:color w:val="auto"/>
              </w:rPr>
              <w:t>0.</w:t>
            </w:r>
            <w:r>
              <w:rPr>
                <w:color w:val="auto"/>
              </w:rPr>
              <w:t>5m</w:t>
            </w:r>
            <w:r>
              <w:rPr>
                <w:color w:val="auto"/>
                <w:vertAlign w:val="superscript"/>
              </w:rPr>
              <w:t>3</w:t>
            </w:r>
          </w:p>
        </w:tc>
        <w:tc>
          <w:tcPr>
            <w:tcW w:w="767" w:type="pct"/>
            <w:tcBorders>
              <w:tl2br w:val="nil"/>
              <w:tr2bl w:val="nil"/>
            </w:tcBorders>
            <w:noWrap w:val="0"/>
            <w:vAlign w:val="center"/>
          </w:tcPr>
          <w:p>
            <w:pPr>
              <w:pStyle w:val="35"/>
              <w:bidi w:val="0"/>
              <w:rPr>
                <w:color w:val="auto"/>
              </w:rPr>
            </w:pPr>
            <w:r>
              <w:rPr>
                <w:rFonts w:hint="eastAsia"/>
                <w:color w:val="auto"/>
              </w:rPr>
              <w:t>304</w:t>
            </w:r>
          </w:p>
        </w:tc>
        <w:tc>
          <w:tcPr>
            <w:tcW w:w="458" w:type="pct"/>
            <w:tcBorders>
              <w:tl2br w:val="nil"/>
              <w:tr2bl w:val="nil"/>
            </w:tcBorders>
            <w:noWrap w:val="0"/>
            <w:vAlign w:val="center"/>
          </w:tcPr>
          <w:p>
            <w:pPr>
              <w:pStyle w:val="35"/>
              <w:bidi w:val="0"/>
              <w:rPr>
                <w:color w:val="auto"/>
              </w:rPr>
            </w:pPr>
            <w:r>
              <w:rPr>
                <w:rFonts w:hint="eastAsia"/>
                <w:color w:val="auto"/>
              </w:rPr>
              <w:t>5</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6</w:t>
            </w:r>
          </w:p>
        </w:tc>
        <w:tc>
          <w:tcPr>
            <w:tcW w:w="871" w:type="pct"/>
            <w:tcBorders>
              <w:tl2br w:val="nil"/>
              <w:tr2bl w:val="nil"/>
            </w:tcBorders>
            <w:noWrap w:val="0"/>
            <w:vAlign w:val="center"/>
          </w:tcPr>
          <w:p>
            <w:pPr>
              <w:pStyle w:val="35"/>
              <w:bidi w:val="0"/>
              <w:rPr>
                <w:color w:val="auto"/>
              </w:rPr>
            </w:pPr>
            <w:r>
              <w:rPr>
                <w:rFonts w:hint="eastAsia"/>
                <w:color w:val="auto"/>
              </w:rPr>
              <w:t>远红外反应釜</w:t>
            </w:r>
          </w:p>
        </w:tc>
        <w:tc>
          <w:tcPr>
            <w:tcW w:w="1720" w:type="pct"/>
            <w:tcBorders>
              <w:tl2br w:val="nil"/>
              <w:tr2bl w:val="nil"/>
            </w:tcBorders>
            <w:noWrap w:val="0"/>
            <w:vAlign w:val="center"/>
          </w:tcPr>
          <w:p>
            <w:pPr>
              <w:pStyle w:val="35"/>
              <w:bidi w:val="0"/>
              <w:rPr>
                <w:color w:val="auto"/>
              </w:rPr>
            </w:pPr>
            <w:r>
              <w:rPr>
                <w:color w:val="auto"/>
              </w:rPr>
              <w:t>V=</w:t>
            </w:r>
            <w:r>
              <w:rPr>
                <w:rFonts w:hint="eastAsia"/>
                <w:color w:val="auto"/>
              </w:rPr>
              <w:t>1</w:t>
            </w:r>
            <w:r>
              <w:rPr>
                <w:color w:val="auto"/>
              </w:rPr>
              <w:t>m</w:t>
            </w:r>
            <w:r>
              <w:rPr>
                <w:color w:val="auto"/>
                <w:vertAlign w:val="superscript"/>
              </w:rPr>
              <w:t>3</w:t>
            </w:r>
          </w:p>
        </w:tc>
        <w:tc>
          <w:tcPr>
            <w:tcW w:w="767" w:type="pct"/>
            <w:tcBorders>
              <w:tl2br w:val="nil"/>
              <w:tr2bl w:val="nil"/>
            </w:tcBorders>
            <w:noWrap w:val="0"/>
            <w:vAlign w:val="center"/>
          </w:tcPr>
          <w:p>
            <w:pPr>
              <w:pStyle w:val="35"/>
              <w:bidi w:val="0"/>
              <w:rPr>
                <w:color w:val="auto"/>
              </w:rPr>
            </w:pPr>
            <w:r>
              <w:rPr>
                <w:rFonts w:hint="eastAsia"/>
                <w:color w:val="auto"/>
              </w:rPr>
              <w:t>304</w:t>
            </w:r>
          </w:p>
        </w:tc>
        <w:tc>
          <w:tcPr>
            <w:tcW w:w="458" w:type="pct"/>
            <w:tcBorders>
              <w:tl2br w:val="nil"/>
              <w:tr2bl w:val="nil"/>
            </w:tcBorders>
            <w:noWrap w:val="0"/>
            <w:vAlign w:val="center"/>
          </w:tcPr>
          <w:p>
            <w:pPr>
              <w:pStyle w:val="35"/>
              <w:bidi w:val="0"/>
              <w:rPr>
                <w:color w:val="auto"/>
              </w:rPr>
            </w:pPr>
            <w:r>
              <w:rPr>
                <w:color w:val="auto"/>
              </w:rPr>
              <w:t>1</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7</w:t>
            </w:r>
          </w:p>
        </w:tc>
        <w:tc>
          <w:tcPr>
            <w:tcW w:w="871" w:type="pct"/>
            <w:tcBorders>
              <w:tl2br w:val="nil"/>
              <w:tr2bl w:val="nil"/>
            </w:tcBorders>
            <w:noWrap w:val="0"/>
            <w:vAlign w:val="center"/>
          </w:tcPr>
          <w:p>
            <w:pPr>
              <w:pStyle w:val="35"/>
              <w:bidi w:val="0"/>
              <w:rPr>
                <w:color w:val="auto"/>
              </w:rPr>
            </w:pPr>
            <w:r>
              <w:rPr>
                <w:rFonts w:hint="eastAsia"/>
                <w:color w:val="auto"/>
              </w:rPr>
              <w:t>滴加罐</w:t>
            </w:r>
          </w:p>
        </w:tc>
        <w:tc>
          <w:tcPr>
            <w:tcW w:w="1720" w:type="pct"/>
            <w:tcBorders>
              <w:tl2br w:val="nil"/>
              <w:tr2bl w:val="nil"/>
            </w:tcBorders>
            <w:noWrap w:val="0"/>
            <w:vAlign w:val="center"/>
          </w:tcPr>
          <w:p>
            <w:pPr>
              <w:pStyle w:val="35"/>
              <w:bidi w:val="0"/>
              <w:rPr>
                <w:color w:val="auto"/>
              </w:rPr>
            </w:pPr>
            <w:r>
              <w:rPr>
                <w:color w:val="auto"/>
              </w:rPr>
              <w:t>V=</w:t>
            </w:r>
            <w:r>
              <w:rPr>
                <w:rFonts w:hint="eastAsia"/>
                <w:color w:val="auto"/>
              </w:rPr>
              <w:t>1</w:t>
            </w:r>
            <w:r>
              <w:rPr>
                <w:color w:val="auto"/>
              </w:rPr>
              <w:t>m</w:t>
            </w:r>
            <w:r>
              <w:rPr>
                <w:color w:val="auto"/>
                <w:vertAlign w:val="superscript"/>
              </w:rPr>
              <w:t>3</w:t>
            </w:r>
          </w:p>
        </w:tc>
        <w:tc>
          <w:tcPr>
            <w:tcW w:w="767" w:type="pct"/>
            <w:tcBorders>
              <w:tl2br w:val="nil"/>
              <w:tr2bl w:val="nil"/>
            </w:tcBorders>
            <w:noWrap w:val="0"/>
            <w:vAlign w:val="center"/>
          </w:tcPr>
          <w:p>
            <w:pPr>
              <w:pStyle w:val="35"/>
              <w:bidi w:val="0"/>
              <w:rPr>
                <w:color w:val="auto"/>
              </w:rPr>
            </w:pPr>
            <w:r>
              <w:rPr>
                <w:rFonts w:hint="eastAsia"/>
                <w:color w:val="auto"/>
              </w:rPr>
              <w:t>304</w:t>
            </w:r>
          </w:p>
        </w:tc>
        <w:tc>
          <w:tcPr>
            <w:tcW w:w="458" w:type="pct"/>
            <w:tcBorders>
              <w:tl2br w:val="nil"/>
              <w:tr2bl w:val="nil"/>
            </w:tcBorders>
            <w:noWrap w:val="0"/>
            <w:vAlign w:val="center"/>
          </w:tcPr>
          <w:p>
            <w:pPr>
              <w:pStyle w:val="35"/>
              <w:bidi w:val="0"/>
              <w:rPr>
                <w:color w:val="auto"/>
              </w:rPr>
            </w:pPr>
            <w:r>
              <w:rPr>
                <w:color w:val="auto"/>
              </w:rPr>
              <w:t>1</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8</w:t>
            </w:r>
          </w:p>
        </w:tc>
        <w:tc>
          <w:tcPr>
            <w:tcW w:w="871" w:type="pct"/>
            <w:tcBorders>
              <w:tl2br w:val="nil"/>
              <w:tr2bl w:val="nil"/>
            </w:tcBorders>
            <w:noWrap w:val="0"/>
            <w:vAlign w:val="center"/>
          </w:tcPr>
          <w:p>
            <w:pPr>
              <w:pStyle w:val="35"/>
              <w:bidi w:val="0"/>
              <w:rPr>
                <w:color w:val="auto"/>
              </w:rPr>
            </w:pPr>
            <w:r>
              <w:rPr>
                <w:rFonts w:hint="eastAsia"/>
                <w:color w:val="auto"/>
              </w:rPr>
              <w:t>冷凝器</w:t>
            </w:r>
          </w:p>
        </w:tc>
        <w:tc>
          <w:tcPr>
            <w:tcW w:w="1720" w:type="pct"/>
            <w:tcBorders>
              <w:tl2br w:val="nil"/>
              <w:tr2bl w:val="nil"/>
            </w:tcBorders>
            <w:noWrap w:val="0"/>
            <w:vAlign w:val="center"/>
          </w:tcPr>
          <w:p>
            <w:pPr>
              <w:pStyle w:val="35"/>
              <w:bidi w:val="0"/>
              <w:rPr>
                <w:color w:val="auto"/>
              </w:rPr>
            </w:pPr>
            <w:r>
              <w:rPr>
                <w:color w:val="auto"/>
              </w:rPr>
              <w:t>V=</w:t>
            </w:r>
            <w:r>
              <w:rPr>
                <w:rFonts w:hint="eastAsia"/>
                <w:color w:val="auto"/>
              </w:rPr>
              <w:t>10</w:t>
            </w:r>
            <w:r>
              <w:rPr>
                <w:color w:val="auto"/>
              </w:rPr>
              <w:t>m</w:t>
            </w:r>
            <w:r>
              <w:rPr>
                <w:color w:val="auto"/>
                <w:vertAlign w:val="superscript"/>
              </w:rPr>
              <w:t>3</w:t>
            </w:r>
          </w:p>
        </w:tc>
        <w:tc>
          <w:tcPr>
            <w:tcW w:w="767" w:type="pct"/>
            <w:tcBorders>
              <w:tl2br w:val="nil"/>
              <w:tr2bl w:val="nil"/>
            </w:tcBorders>
            <w:noWrap w:val="0"/>
            <w:vAlign w:val="center"/>
          </w:tcPr>
          <w:p>
            <w:pPr>
              <w:pStyle w:val="35"/>
              <w:bidi w:val="0"/>
              <w:rPr>
                <w:color w:val="auto"/>
              </w:rPr>
            </w:pPr>
            <w:r>
              <w:rPr>
                <w:rFonts w:hint="eastAsia"/>
                <w:color w:val="auto"/>
              </w:rPr>
              <w:t>304</w:t>
            </w:r>
          </w:p>
        </w:tc>
        <w:tc>
          <w:tcPr>
            <w:tcW w:w="458" w:type="pct"/>
            <w:tcBorders>
              <w:tl2br w:val="nil"/>
              <w:tr2bl w:val="nil"/>
            </w:tcBorders>
            <w:noWrap w:val="0"/>
            <w:vAlign w:val="center"/>
          </w:tcPr>
          <w:p>
            <w:pPr>
              <w:pStyle w:val="35"/>
              <w:bidi w:val="0"/>
              <w:rPr>
                <w:color w:val="auto"/>
              </w:rPr>
            </w:pPr>
            <w:r>
              <w:rPr>
                <w:color w:val="auto"/>
              </w:rPr>
              <w:t>1</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三</w:t>
            </w:r>
          </w:p>
        </w:tc>
        <w:tc>
          <w:tcPr>
            <w:tcW w:w="3818" w:type="pct"/>
            <w:gridSpan w:val="4"/>
            <w:tcBorders>
              <w:tl2br w:val="nil"/>
              <w:tr2bl w:val="nil"/>
            </w:tcBorders>
            <w:noWrap w:val="0"/>
            <w:vAlign w:val="center"/>
          </w:tcPr>
          <w:p>
            <w:pPr>
              <w:pStyle w:val="35"/>
              <w:bidi w:val="0"/>
              <w:rPr>
                <w:color w:val="auto"/>
              </w:rPr>
            </w:pPr>
            <w:r>
              <w:rPr>
                <w:rFonts w:hint="eastAsia"/>
                <w:color w:val="auto"/>
              </w:rPr>
              <w:t>涂料助剂生产设备</w:t>
            </w:r>
          </w:p>
        </w:tc>
        <w:tc>
          <w:tcPr>
            <w:tcW w:w="821" w:type="pct"/>
            <w:tcBorders>
              <w:tl2br w:val="nil"/>
              <w:tr2bl w:val="nil"/>
            </w:tcBorders>
            <w:noWrap w:val="0"/>
            <w:vAlign w:val="top"/>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1</w:t>
            </w:r>
          </w:p>
        </w:tc>
        <w:tc>
          <w:tcPr>
            <w:tcW w:w="871" w:type="pct"/>
            <w:tcBorders>
              <w:tl2br w:val="nil"/>
              <w:tr2bl w:val="nil"/>
            </w:tcBorders>
            <w:noWrap w:val="0"/>
            <w:vAlign w:val="center"/>
          </w:tcPr>
          <w:p>
            <w:pPr>
              <w:pStyle w:val="35"/>
              <w:bidi w:val="0"/>
              <w:rPr>
                <w:color w:val="auto"/>
              </w:rPr>
            </w:pPr>
            <w:r>
              <w:rPr>
                <w:color w:val="auto"/>
              </w:rPr>
              <w:t>反应釜</w:t>
            </w:r>
          </w:p>
        </w:tc>
        <w:tc>
          <w:tcPr>
            <w:tcW w:w="1720" w:type="pct"/>
            <w:tcBorders>
              <w:tl2br w:val="nil"/>
              <w:tr2bl w:val="nil"/>
            </w:tcBorders>
            <w:noWrap w:val="0"/>
            <w:vAlign w:val="center"/>
          </w:tcPr>
          <w:p>
            <w:pPr>
              <w:pStyle w:val="35"/>
              <w:bidi w:val="0"/>
              <w:rPr>
                <w:color w:val="auto"/>
              </w:rPr>
            </w:pPr>
            <w:r>
              <w:rPr>
                <w:color w:val="auto"/>
              </w:rPr>
              <w:t>V=</w:t>
            </w:r>
            <w:r>
              <w:rPr>
                <w:rFonts w:hint="eastAsia"/>
                <w:color w:val="auto"/>
              </w:rPr>
              <w:t>2</w:t>
            </w:r>
            <w:r>
              <w:rPr>
                <w:color w:val="auto"/>
              </w:rPr>
              <w:t>m</w:t>
            </w:r>
            <w:r>
              <w:rPr>
                <w:color w:val="auto"/>
                <w:vertAlign w:val="superscript"/>
              </w:rPr>
              <w:t>3</w:t>
            </w: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5</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2</w:t>
            </w:r>
          </w:p>
        </w:tc>
        <w:tc>
          <w:tcPr>
            <w:tcW w:w="871" w:type="pct"/>
            <w:tcBorders>
              <w:tl2br w:val="nil"/>
              <w:tr2bl w:val="nil"/>
            </w:tcBorders>
            <w:noWrap w:val="0"/>
            <w:vAlign w:val="center"/>
          </w:tcPr>
          <w:p>
            <w:pPr>
              <w:pStyle w:val="35"/>
              <w:bidi w:val="0"/>
              <w:rPr>
                <w:color w:val="auto"/>
              </w:rPr>
            </w:pPr>
            <w:r>
              <w:rPr>
                <w:rFonts w:hint="eastAsia"/>
                <w:color w:val="auto"/>
              </w:rPr>
              <w:t>滴加罐</w:t>
            </w:r>
          </w:p>
        </w:tc>
        <w:tc>
          <w:tcPr>
            <w:tcW w:w="1720" w:type="pct"/>
            <w:tcBorders>
              <w:tl2br w:val="nil"/>
              <w:tr2bl w:val="nil"/>
            </w:tcBorders>
            <w:noWrap w:val="0"/>
            <w:vAlign w:val="center"/>
          </w:tcPr>
          <w:p>
            <w:pPr>
              <w:pStyle w:val="35"/>
              <w:bidi w:val="0"/>
              <w:rPr>
                <w:color w:val="auto"/>
              </w:rPr>
            </w:pPr>
            <w:r>
              <w:rPr>
                <w:color w:val="auto"/>
              </w:rPr>
              <w:t>V=</w:t>
            </w:r>
            <w:r>
              <w:rPr>
                <w:rFonts w:hint="eastAsia"/>
                <w:color w:val="auto"/>
              </w:rPr>
              <w:t>0.5</w:t>
            </w:r>
            <w:r>
              <w:rPr>
                <w:color w:val="auto"/>
              </w:rPr>
              <w:t>m</w:t>
            </w:r>
            <w:r>
              <w:rPr>
                <w:color w:val="auto"/>
                <w:vertAlign w:val="superscript"/>
              </w:rPr>
              <w:t>3</w:t>
            </w: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5</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3</w:t>
            </w:r>
          </w:p>
        </w:tc>
        <w:tc>
          <w:tcPr>
            <w:tcW w:w="871" w:type="pct"/>
            <w:tcBorders>
              <w:tl2br w:val="nil"/>
              <w:tr2bl w:val="nil"/>
            </w:tcBorders>
            <w:noWrap w:val="0"/>
            <w:vAlign w:val="center"/>
          </w:tcPr>
          <w:p>
            <w:pPr>
              <w:pStyle w:val="35"/>
              <w:bidi w:val="0"/>
              <w:rPr>
                <w:color w:val="auto"/>
              </w:rPr>
            </w:pPr>
            <w:r>
              <w:rPr>
                <w:color w:val="auto"/>
              </w:rPr>
              <w:t>冷凝器</w:t>
            </w:r>
          </w:p>
        </w:tc>
        <w:tc>
          <w:tcPr>
            <w:tcW w:w="1720" w:type="pct"/>
            <w:tcBorders>
              <w:tl2br w:val="nil"/>
              <w:tr2bl w:val="nil"/>
            </w:tcBorders>
            <w:noWrap w:val="0"/>
            <w:vAlign w:val="center"/>
          </w:tcPr>
          <w:p>
            <w:pPr>
              <w:pStyle w:val="35"/>
              <w:bidi w:val="0"/>
              <w:rPr>
                <w:color w:val="auto"/>
              </w:rPr>
            </w:pPr>
            <w:r>
              <w:rPr>
                <w:color w:val="auto"/>
              </w:rPr>
              <w:t>V</w:t>
            </w:r>
            <w:r>
              <w:rPr>
                <w:rFonts w:hint="eastAsia"/>
                <w:color w:val="auto"/>
              </w:rPr>
              <w:t>=1</w:t>
            </w:r>
            <w:r>
              <w:rPr>
                <w:color w:val="auto"/>
              </w:rPr>
              <w:t>m</w:t>
            </w:r>
            <w:r>
              <w:rPr>
                <w:color w:val="auto"/>
                <w:vertAlign w:val="superscript"/>
              </w:rPr>
              <w:t>3</w:t>
            </w:r>
          </w:p>
        </w:tc>
        <w:tc>
          <w:tcPr>
            <w:tcW w:w="767" w:type="pct"/>
            <w:tcBorders>
              <w:tl2br w:val="nil"/>
              <w:tr2bl w:val="nil"/>
            </w:tcBorders>
            <w:noWrap w:val="0"/>
            <w:vAlign w:val="center"/>
          </w:tcPr>
          <w:p>
            <w:pPr>
              <w:pStyle w:val="35"/>
              <w:bidi w:val="0"/>
              <w:rPr>
                <w:color w:val="auto"/>
              </w:rPr>
            </w:pPr>
          </w:p>
        </w:tc>
        <w:tc>
          <w:tcPr>
            <w:tcW w:w="458" w:type="pct"/>
            <w:tcBorders>
              <w:tl2br w:val="nil"/>
              <w:tr2bl w:val="nil"/>
            </w:tcBorders>
            <w:noWrap w:val="0"/>
            <w:vAlign w:val="center"/>
          </w:tcPr>
          <w:p>
            <w:pPr>
              <w:pStyle w:val="35"/>
              <w:bidi w:val="0"/>
              <w:rPr>
                <w:color w:val="auto"/>
              </w:rPr>
            </w:pPr>
            <w:r>
              <w:rPr>
                <w:rFonts w:hint="eastAsia"/>
                <w:color w:val="auto"/>
              </w:rPr>
              <w:t>5</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4</w:t>
            </w:r>
          </w:p>
        </w:tc>
        <w:tc>
          <w:tcPr>
            <w:tcW w:w="871" w:type="pct"/>
            <w:tcBorders>
              <w:tl2br w:val="nil"/>
              <w:tr2bl w:val="nil"/>
            </w:tcBorders>
            <w:noWrap w:val="0"/>
            <w:vAlign w:val="center"/>
          </w:tcPr>
          <w:p>
            <w:pPr>
              <w:pStyle w:val="35"/>
              <w:bidi w:val="0"/>
              <w:rPr>
                <w:color w:val="auto"/>
              </w:rPr>
            </w:pPr>
            <w:r>
              <w:rPr>
                <w:rFonts w:hint="eastAsia"/>
                <w:color w:val="auto"/>
              </w:rPr>
              <w:t>分水罐</w:t>
            </w:r>
          </w:p>
        </w:tc>
        <w:tc>
          <w:tcPr>
            <w:tcW w:w="1720" w:type="pct"/>
            <w:tcBorders>
              <w:tl2br w:val="nil"/>
              <w:tr2bl w:val="nil"/>
            </w:tcBorders>
            <w:noWrap w:val="0"/>
            <w:vAlign w:val="center"/>
          </w:tcPr>
          <w:p>
            <w:pPr>
              <w:pStyle w:val="35"/>
              <w:bidi w:val="0"/>
              <w:rPr>
                <w:color w:val="auto"/>
              </w:rPr>
            </w:pPr>
            <w:r>
              <w:rPr>
                <w:rFonts w:hint="eastAsia"/>
                <w:color w:val="auto"/>
              </w:rPr>
              <w:t>V</w:t>
            </w:r>
            <w:r>
              <w:rPr>
                <w:color w:val="auto"/>
              </w:rPr>
              <w:t>=</w:t>
            </w:r>
            <w:r>
              <w:rPr>
                <w:rFonts w:hint="eastAsia"/>
                <w:color w:val="auto"/>
              </w:rPr>
              <w:t>0.</w:t>
            </w:r>
            <w:r>
              <w:rPr>
                <w:color w:val="auto"/>
              </w:rPr>
              <w:t>5m</w:t>
            </w:r>
            <w:r>
              <w:rPr>
                <w:color w:val="auto"/>
                <w:vertAlign w:val="superscript"/>
              </w:rPr>
              <w:t>3</w:t>
            </w:r>
          </w:p>
        </w:tc>
        <w:tc>
          <w:tcPr>
            <w:tcW w:w="767" w:type="pct"/>
            <w:tcBorders>
              <w:tl2br w:val="nil"/>
              <w:tr2bl w:val="nil"/>
            </w:tcBorders>
            <w:noWrap w:val="0"/>
            <w:vAlign w:val="center"/>
          </w:tcPr>
          <w:p>
            <w:pPr>
              <w:pStyle w:val="35"/>
              <w:bidi w:val="0"/>
              <w:rPr>
                <w:color w:val="auto"/>
              </w:rPr>
            </w:pPr>
            <w:r>
              <w:rPr>
                <w:rFonts w:hint="eastAsia"/>
                <w:color w:val="auto"/>
              </w:rPr>
              <w:t>304</w:t>
            </w:r>
          </w:p>
        </w:tc>
        <w:tc>
          <w:tcPr>
            <w:tcW w:w="458" w:type="pct"/>
            <w:tcBorders>
              <w:tl2br w:val="nil"/>
              <w:tr2bl w:val="nil"/>
            </w:tcBorders>
            <w:noWrap w:val="0"/>
            <w:vAlign w:val="center"/>
          </w:tcPr>
          <w:p>
            <w:pPr>
              <w:pStyle w:val="35"/>
              <w:bidi w:val="0"/>
              <w:rPr>
                <w:color w:val="auto"/>
              </w:rPr>
            </w:pPr>
            <w:r>
              <w:rPr>
                <w:rFonts w:hint="eastAsia"/>
                <w:color w:val="auto"/>
              </w:rPr>
              <w:t>5</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5</w:t>
            </w:r>
          </w:p>
        </w:tc>
        <w:tc>
          <w:tcPr>
            <w:tcW w:w="871" w:type="pct"/>
            <w:tcBorders>
              <w:tl2br w:val="nil"/>
              <w:tr2bl w:val="nil"/>
            </w:tcBorders>
            <w:noWrap w:val="0"/>
            <w:vAlign w:val="center"/>
          </w:tcPr>
          <w:p>
            <w:pPr>
              <w:pStyle w:val="35"/>
              <w:bidi w:val="0"/>
              <w:rPr>
                <w:color w:val="auto"/>
              </w:rPr>
            </w:pPr>
            <w:r>
              <w:rPr>
                <w:rFonts w:hint="eastAsia"/>
                <w:color w:val="auto"/>
              </w:rPr>
              <w:t>回收罐</w:t>
            </w:r>
          </w:p>
        </w:tc>
        <w:tc>
          <w:tcPr>
            <w:tcW w:w="1720" w:type="pct"/>
            <w:tcBorders>
              <w:tl2br w:val="nil"/>
              <w:tr2bl w:val="nil"/>
            </w:tcBorders>
            <w:noWrap w:val="0"/>
            <w:vAlign w:val="center"/>
          </w:tcPr>
          <w:p>
            <w:pPr>
              <w:pStyle w:val="35"/>
              <w:bidi w:val="0"/>
              <w:rPr>
                <w:color w:val="auto"/>
              </w:rPr>
            </w:pPr>
            <w:r>
              <w:rPr>
                <w:rFonts w:hint="eastAsia"/>
                <w:color w:val="auto"/>
              </w:rPr>
              <w:t>V</w:t>
            </w:r>
            <w:r>
              <w:rPr>
                <w:color w:val="auto"/>
              </w:rPr>
              <w:t>=</w:t>
            </w:r>
            <w:r>
              <w:rPr>
                <w:rFonts w:hint="eastAsia"/>
                <w:color w:val="auto"/>
              </w:rPr>
              <w:t>0.</w:t>
            </w:r>
            <w:r>
              <w:rPr>
                <w:color w:val="auto"/>
              </w:rPr>
              <w:t>5m</w:t>
            </w:r>
            <w:r>
              <w:rPr>
                <w:color w:val="auto"/>
                <w:vertAlign w:val="superscript"/>
              </w:rPr>
              <w:t>3</w:t>
            </w:r>
          </w:p>
        </w:tc>
        <w:tc>
          <w:tcPr>
            <w:tcW w:w="767" w:type="pct"/>
            <w:tcBorders>
              <w:tl2br w:val="nil"/>
              <w:tr2bl w:val="nil"/>
            </w:tcBorders>
            <w:noWrap w:val="0"/>
            <w:vAlign w:val="center"/>
          </w:tcPr>
          <w:p>
            <w:pPr>
              <w:pStyle w:val="35"/>
              <w:bidi w:val="0"/>
              <w:rPr>
                <w:color w:val="auto"/>
              </w:rPr>
            </w:pPr>
            <w:r>
              <w:rPr>
                <w:rFonts w:hint="eastAsia"/>
                <w:color w:val="auto"/>
              </w:rPr>
              <w:t>304</w:t>
            </w:r>
          </w:p>
        </w:tc>
        <w:tc>
          <w:tcPr>
            <w:tcW w:w="458" w:type="pct"/>
            <w:tcBorders>
              <w:tl2br w:val="nil"/>
              <w:tr2bl w:val="nil"/>
            </w:tcBorders>
            <w:noWrap w:val="0"/>
            <w:vAlign w:val="center"/>
          </w:tcPr>
          <w:p>
            <w:pPr>
              <w:pStyle w:val="35"/>
              <w:bidi w:val="0"/>
              <w:rPr>
                <w:color w:val="auto"/>
              </w:rPr>
            </w:pPr>
            <w:r>
              <w:rPr>
                <w:rFonts w:hint="eastAsia"/>
                <w:color w:val="auto"/>
              </w:rPr>
              <w:t>5</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r>
              <w:rPr>
                <w:rFonts w:hint="eastAsia"/>
                <w:color w:val="auto"/>
              </w:rPr>
              <w:t>四</w:t>
            </w:r>
          </w:p>
        </w:tc>
        <w:tc>
          <w:tcPr>
            <w:tcW w:w="3818" w:type="pct"/>
            <w:gridSpan w:val="4"/>
            <w:tcBorders>
              <w:tl2br w:val="nil"/>
              <w:tr2bl w:val="nil"/>
            </w:tcBorders>
            <w:noWrap w:val="0"/>
            <w:vAlign w:val="center"/>
          </w:tcPr>
          <w:p>
            <w:pPr>
              <w:pStyle w:val="35"/>
              <w:bidi w:val="0"/>
              <w:rPr>
                <w:color w:val="auto"/>
              </w:rPr>
            </w:pPr>
            <w:r>
              <w:rPr>
                <w:rFonts w:hint="eastAsia"/>
                <w:color w:val="auto"/>
              </w:rPr>
              <w:t>环氧地坪涂料生产设备</w:t>
            </w:r>
          </w:p>
        </w:tc>
        <w:tc>
          <w:tcPr>
            <w:tcW w:w="821" w:type="pct"/>
            <w:tcBorders>
              <w:tl2br w:val="nil"/>
              <w:tr2bl w:val="nil"/>
            </w:tcBorders>
            <w:noWrap w:val="0"/>
            <w:vAlign w:val="top"/>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p>
        </w:tc>
        <w:tc>
          <w:tcPr>
            <w:tcW w:w="871" w:type="pct"/>
            <w:tcBorders>
              <w:tl2br w:val="nil"/>
              <w:tr2bl w:val="nil"/>
            </w:tcBorders>
            <w:noWrap w:val="0"/>
            <w:vAlign w:val="center"/>
          </w:tcPr>
          <w:p>
            <w:pPr>
              <w:pStyle w:val="35"/>
              <w:bidi w:val="0"/>
              <w:rPr>
                <w:color w:val="auto"/>
              </w:rPr>
            </w:pPr>
            <w:r>
              <w:rPr>
                <w:rFonts w:hint="eastAsia"/>
                <w:color w:val="auto"/>
              </w:rPr>
              <w:t>分散机</w:t>
            </w:r>
          </w:p>
        </w:tc>
        <w:tc>
          <w:tcPr>
            <w:tcW w:w="1720" w:type="pct"/>
            <w:tcBorders>
              <w:tl2br w:val="nil"/>
              <w:tr2bl w:val="nil"/>
            </w:tcBorders>
            <w:noWrap w:val="0"/>
            <w:vAlign w:val="center"/>
          </w:tcPr>
          <w:p>
            <w:pPr>
              <w:pStyle w:val="35"/>
              <w:bidi w:val="0"/>
              <w:rPr>
                <w:color w:val="auto"/>
              </w:rPr>
            </w:pPr>
            <w:r>
              <w:rPr>
                <w:rFonts w:hint="eastAsia"/>
                <w:color w:val="auto"/>
              </w:rPr>
              <w:t>22kw</w:t>
            </w:r>
          </w:p>
        </w:tc>
        <w:tc>
          <w:tcPr>
            <w:tcW w:w="767" w:type="pct"/>
            <w:tcBorders>
              <w:tl2br w:val="nil"/>
              <w:tr2bl w:val="nil"/>
            </w:tcBorders>
            <w:noWrap w:val="0"/>
            <w:vAlign w:val="center"/>
          </w:tcPr>
          <w:p>
            <w:pPr>
              <w:pStyle w:val="35"/>
              <w:bidi w:val="0"/>
              <w:rPr>
                <w:color w:val="auto"/>
              </w:rPr>
            </w:pPr>
            <w:r>
              <w:rPr>
                <w:rFonts w:hint="eastAsia"/>
                <w:color w:val="auto"/>
              </w:rPr>
              <w:t>组合件</w:t>
            </w:r>
          </w:p>
        </w:tc>
        <w:tc>
          <w:tcPr>
            <w:tcW w:w="458" w:type="pct"/>
            <w:tcBorders>
              <w:tl2br w:val="nil"/>
              <w:tr2bl w:val="nil"/>
            </w:tcBorders>
            <w:noWrap w:val="0"/>
            <w:vAlign w:val="center"/>
          </w:tcPr>
          <w:p>
            <w:pPr>
              <w:pStyle w:val="35"/>
              <w:bidi w:val="0"/>
              <w:rPr>
                <w:color w:val="auto"/>
              </w:rPr>
            </w:pPr>
            <w:r>
              <w:rPr>
                <w:color w:val="auto"/>
              </w:rPr>
              <w:t>1</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p>
        </w:tc>
        <w:tc>
          <w:tcPr>
            <w:tcW w:w="871" w:type="pct"/>
            <w:tcBorders>
              <w:tl2br w:val="nil"/>
              <w:tr2bl w:val="nil"/>
            </w:tcBorders>
            <w:noWrap w:val="0"/>
            <w:vAlign w:val="center"/>
          </w:tcPr>
          <w:p>
            <w:pPr>
              <w:pStyle w:val="35"/>
              <w:bidi w:val="0"/>
              <w:rPr>
                <w:color w:val="auto"/>
              </w:rPr>
            </w:pPr>
            <w:r>
              <w:rPr>
                <w:rFonts w:hint="eastAsia"/>
                <w:color w:val="auto"/>
              </w:rPr>
              <w:t>卧式砂磨机</w:t>
            </w:r>
          </w:p>
        </w:tc>
        <w:tc>
          <w:tcPr>
            <w:tcW w:w="1720" w:type="pct"/>
            <w:tcBorders>
              <w:tl2br w:val="nil"/>
              <w:tr2bl w:val="nil"/>
            </w:tcBorders>
            <w:noWrap w:val="0"/>
            <w:vAlign w:val="center"/>
          </w:tcPr>
          <w:p>
            <w:pPr>
              <w:pStyle w:val="35"/>
              <w:bidi w:val="0"/>
              <w:rPr>
                <w:color w:val="auto"/>
              </w:rPr>
            </w:pPr>
            <w:r>
              <w:rPr>
                <w:rFonts w:hint="eastAsia"/>
                <w:color w:val="auto"/>
              </w:rPr>
              <w:t>30kw</w:t>
            </w:r>
          </w:p>
        </w:tc>
        <w:tc>
          <w:tcPr>
            <w:tcW w:w="767" w:type="pct"/>
            <w:tcBorders>
              <w:tl2br w:val="nil"/>
              <w:tr2bl w:val="nil"/>
            </w:tcBorders>
            <w:noWrap w:val="0"/>
            <w:vAlign w:val="center"/>
          </w:tcPr>
          <w:p>
            <w:pPr>
              <w:pStyle w:val="35"/>
              <w:bidi w:val="0"/>
              <w:rPr>
                <w:color w:val="auto"/>
              </w:rPr>
            </w:pPr>
            <w:r>
              <w:rPr>
                <w:rFonts w:hint="eastAsia"/>
                <w:color w:val="auto"/>
              </w:rPr>
              <w:t>组合件</w:t>
            </w:r>
          </w:p>
        </w:tc>
        <w:tc>
          <w:tcPr>
            <w:tcW w:w="458" w:type="pct"/>
            <w:tcBorders>
              <w:tl2br w:val="nil"/>
              <w:tr2bl w:val="nil"/>
            </w:tcBorders>
            <w:noWrap w:val="0"/>
            <w:vAlign w:val="center"/>
          </w:tcPr>
          <w:p>
            <w:pPr>
              <w:pStyle w:val="35"/>
              <w:bidi w:val="0"/>
              <w:rPr>
                <w:color w:val="auto"/>
              </w:rPr>
            </w:pPr>
            <w:r>
              <w:rPr>
                <w:color w:val="auto"/>
              </w:rPr>
              <w:t>1</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jc w:val="center"/>
        </w:trPr>
        <w:tc>
          <w:tcPr>
            <w:tcW w:w="360" w:type="pct"/>
            <w:tcBorders>
              <w:tl2br w:val="nil"/>
              <w:tr2bl w:val="nil"/>
            </w:tcBorders>
            <w:noWrap w:val="0"/>
            <w:vAlign w:val="top"/>
          </w:tcPr>
          <w:p>
            <w:pPr>
              <w:pStyle w:val="35"/>
              <w:bidi w:val="0"/>
              <w:rPr>
                <w:color w:val="auto"/>
              </w:rPr>
            </w:pPr>
          </w:p>
        </w:tc>
        <w:tc>
          <w:tcPr>
            <w:tcW w:w="871" w:type="pct"/>
            <w:tcBorders>
              <w:tl2br w:val="nil"/>
              <w:tr2bl w:val="nil"/>
            </w:tcBorders>
            <w:noWrap w:val="0"/>
            <w:vAlign w:val="center"/>
          </w:tcPr>
          <w:p>
            <w:pPr>
              <w:pStyle w:val="35"/>
              <w:bidi w:val="0"/>
              <w:rPr>
                <w:color w:val="auto"/>
              </w:rPr>
            </w:pPr>
            <w:r>
              <w:rPr>
                <w:rFonts w:hint="eastAsia"/>
                <w:color w:val="auto"/>
              </w:rPr>
              <w:t>三辊研磨机</w:t>
            </w:r>
          </w:p>
        </w:tc>
        <w:tc>
          <w:tcPr>
            <w:tcW w:w="1720" w:type="pct"/>
            <w:tcBorders>
              <w:tl2br w:val="nil"/>
              <w:tr2bl w:val="nil"/>
            </w:tcBorders>
            <w:noWrap w:val="0"/>
            <w:vAlign w:val="center"/>
          </w:tcPr>
          <w:p>
            <w:pPr>
              <w:pStyle w:val="35"/>
              <w:bidi w:val="0"/>
              <w:rPr>
                <w:color w:val="auto"/>
              </w:rPr>
            </w:pPr>
            <w:r>
              <w:rPr>
                <w:rFonts w:hint="eastAsia"/>
                <w:color w:val="auto"/>
              </w:rPr>
              <w:t>22kw</w:t>
            </w:r>
          </w:p>
        </w:tc>
        <w:tc>
          <w:tcPr>
            <w:tcW w:w="767" w:type="pct"/>
            <w:tcBorders>
              <w:tl2br w:val="nil"/>
              <w:tr2bl w:val="nil"/>
            </w:tcBorders>
            <w:noWrap w:val="0"/>
            <w:vAlign w:val="center"/>
          </w:tcPr>
          <w:p>
            <w:pPr>
              <w:pStyle w:val="35"/>
              <w:bidi w:val="0"/>
              <w:rPr>
                <w:color w:val="auto"/>
              </w:rPr>
            </w:pPr>
            <w:r>
              <w:rPr>
                <w:rFonts w:hint="eastAsia"/>
                <w:color w:val="auto"/>
              </w:rPr>
              <w:t>组合件</w:t>
            </w:r>
          </w:p>
        </w:tc>
        <w:tc>
          <w:tcPr>
            <w:tcW w:w="458" w:type="pct"/>
            <w:tcBorders>
              <w:tl2br w:val="nil"/>
              <w:tr2bl w:val="nil"/>
            </w:tcBorders>
            <w:noWrap w:val="0"/>
            <w:vAlign w:val="center"/>
          </w:tcPr>
          <w:p>
            <w:pPr>
              <w:pStyle w:val="35"/>
              <w:bidi w:val="0"/>
              <w:rPr>
                <w:color w:val="auto"/>
              </w:rPr>
            </w:pPr>
            <w:r>
              <w:rPr>
                <w:rFonts w:hint="eastAsia"/>
                <w:color w:val="auto"/>
              </w:rPr>
              <w:t>1</w:t>
            </w:r>
          </w:p>
        </w:tc>
        <w:tc>
          <w:tcPr>
            <w:tcW w:w="821" w:type="pct"/>
            <w:tcBorders>
              <w:tl2br w:val="nil"/>
              <w:tr2bl w:val="nil"/>
            </w:tcBorders>
            <w:noWrap w:val="0"/>
            <w:vAlign w:val="center"/>
          </w:tcPr>
          <w:p>
            <w:pPr>
              <w:pStyle w:val="35"/>
              <w:bidi w:val="0"/>
              <w:rPr>
                <w:color w:val="auto"/>
              </w:rPr>
            </w:pPr>
            <w:r>
              <w:rPr>
                <w:rFonts w:hint="eastAsia"/>
                <w:color w:val="auto"/>
                <w:lang w:val="en-US" w:eastAsia="zh-CN"/>
              </w:rPr>
              <w:t>二期</w:t>
            </w:r>
          </w:p>
        </w:tc>
      </w:tr>
    </w:tbl>
    <w:p>
      <w:pPr>
        <w:pStyle w:val="33"/>
        <w:bidi w:val="0"/>
        <w:rPr>
          <w:rFonts w:hint="eastAsia" w:ascii="Times New Roman" w:hAnsi="Times New Roman"/>
          <w:b w:val="0"/>
          <w:bCs/>
          <w:caps w:val="0"/>
          <w:smallCaps w:val="0"/>
          <w:color w:val="auto"/>
          <w:szCs w:val="21"/>
        </w:rPr>
      </w:pPr>
      <w:r>
        <w:rPr>
          <w:rFonts w:hint="eastAsia" w:ascii="Times New Roman" w:hAnsi="Times New Roman"/>
          <w:b w:val="0"/>
          <w:bCs/>
          <w:caps w:val="0"/>
          <w:smallCaps w:val="0"/>
          <w:color w:val="auto"/>
          <w:szCs w:val="21"/>
        </w:rPr>
        <w:t>现有工程主要储存设备见表</w:t>
      </w:r>
      <w:r>
        <w:rPr>
          <w:rFonts w:hint="eastAsia"/>
          <w:b w:val="0"/>
          <w:bCs/>
          <w:caps w:val="0"/>
          <w:smallCaps w:val="0"/>
          <w:color w:val="auto"/>
          <w:szCs w:val="21"/>
          <w:lang w:val="en-US" w:eastAsia="zh-CN"/>
        </w:rPr>
        <w:t>3.1-7</w:t>
      </w:r>
      <w:r>
        <w:rPr>
          <w:rFonts w:hint="eastAsia" w:ascii="Times New Roman" w:hAnsi="Times New Roman"/>
          <w:b w:val="0"/>
          <w:bCs/>
          <w:caps w:val="0"/>
          <w:smallCaps w:val="0"/>
          <w:color w:val="auto"/>
          <w:szCs w:val="21"/>
        </w:rPr>
        <w:t>。</w:t>
      </w:r>
    </w:p>
    <w:p>
      <w:pPr>
        <w:pStyle w:val="36"/>
        <w:bidi w:val="0"/>
        <w:rPr>
          <w:color w:val="auto"/>
        </w:rPr>
      </w:pPr>
      <w:r>
        <w:rPr>
          <w:color w:val="auto"/>
        </w:rPr>
        <w:t>表</w:t>
      </w:r>
      <w:r>
        <w:rPr>
          <w:rFonts w:hint="eastAsia"/>
          <w:color w:val="auto"/>
          <w:lang w:val="en-US" w:eastAsia="zh-CN"/>
        </w:rPr>
        <w:t>3.1-7</w:t>
      </w:r>
      <w:r>
        <w:rPr>
          <w:color w:val="auto"/>
        </w:rPr>
        <w:t xml:space="preserve">  </w:t>
      </w:r>
      <w:r>
        <w:rPr>
          <w:rFonts w:hint="eastAsia"/>
          <w:color w:val="auto"/>
        </w:rPr>
        <w:t>现有</w:t>
      </w:r>
      <w:r>
        <w:rPr>
          <w:color w:val="auto"/>
        </w:rPr>
        <w:t>储罐一览表</w:t>
      </w:r>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2144"/>
        <w:gridCol w:w="1673"/>
        <w:gridCol w:w="1129"/>
        <w:gridCol w:w="1220"/>
        <w:gridCol w:w="1502"/>
        <w:gridCol w:w="10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9" w:hRule="atLeast"/>
          <w:tblHeader/>
        </w:trPr>
        <w:tc>
          <w:tcPr>
            <w:tcW w:w="396" w:type="pct"/>
            <w:tcBorders>
              <w:tl2br w:val="nil"/>
              <w:tr2bl w:val="nil"/>
            </w:tcBorders>
            <w:noWrap w:val="0"/>
            <w:vAlign w:val="center"/>
          </w:tcPr>
          <w:p>
            <w:pPr>
              <w:pStyle w:val="9"/>
              <w:spacing w:line="360" w:lineRule="exact"/>
              <w:rPr>
                <w:rFonts w:ascii="Times New Roman" w:hAnsi="Times New Roman"/>
                <w:bCs/>
                <w:caps w:val="0"/>
                <w:smallCaps w:val="0"/>
                <w:color w:val="auto"/>
                <w:sz w:val="21"/>
                <w:szCs w:val="21"/>
              </w:rPr>
            </w:pPr>
            <w:r>
              <w:rPr>
                <w:rFonts w:ascii="Times New Roman" w:hAnsi="Times New Roman"/>
                <w:bCs/>
                <w:caps w:val="0"/>
                <w:smallCaps w:val="0"/>
                <w:color w:val="auto"/>
                <w:sz w:val="21"/>
                <w:szCs w:val="21"/>
              </w:rPr>
              <w:t>序号</w:t>
            </w:r>
          </w:p>
        </w:tc>
        <w:tc>
          <w:tcPr>
            <w:tcW w:w="1127" w:type="pct"/>
            <w:tcBorders>
              <w:tl2br w:val="nil"/>
              <w:tr2bl w:val="nil"/>
            </w:tcBorders>
            <w:noWrap w:val="0"/>
            <w:vAlign w:val="center"/>
          </w:tcPr>
          <w:p>
            <w:pPr>
              <w:pStyle w:val="9"/>
              <w:spacing w:line="360" w:lineRule="exact"/>
              <w:rPr>
                <w:rFonts w:ascii="Times New Roman" w:hAnsi="Times New Roman"/>
                <w:bCs/>
                <w:caps w:val="0"/>
                <w:smallCaps w:val="0"/>
                <w:color w:val="auto"/>
                <w:sz w:val="21"/>
                <w:szCs w:val="21"/>
              </w:rPr>
            </w:pPr>
            <w:r>
              <w:rPr>
                <w:rFonts w:ascii="Times New Roman" w:hAnsi="Times New Roman"/>
                <w:bCs/>
                <w:caps w:val="0"/>
                <w:smallCaps w:val="0"/>
                <w:color w:val="auto"/>
                <w:sz w:val="21"/>
                <w:szCs w:val="21"/>
              </w:rPr>
              <w:t>名称</w:t>
            </w:r>
          </w:p>
        </w:tc>
        <w:tc>
          <w:tcPr>
            <w:tcW w:w="879" w:type="pct"/>
            <w:tcBorders>
              <w:tl2br w:val="nil"/>
              <w:tr2bl w:val="nil"/>
            </w:tcBorders>
            <w:noWrap w:val="0"/>
            <w:vAlign w:val="center"/>
          </w:tcPr>
          <w:p>
            <w:pPr>
              <w:pStyle w:val="9"/>
              <w:spacing w:line="360" w:lineRule="exact"/>
              <w:rPr>
                <w:rFonts w:ascii="Times New Roman" w:hAnsi="Times New Roman"/>
                <w:bCs/>
                <w:caps w:val="0"/>
                <w:smallCaps w:val="0"/>
                <w:color w:val="auto"/>
                <w:sz w:val="21"/>
                <w:szCs w:val="21"/>
              </w:rPr>
            </w:pPr>
            <w:r>
              <w:rPr>
                <w:rFonts w:ascii="Times New Roman" w:hAnsi="Times New Roman"/>
                <w:bCs/>
                <w:caps w:val="0"/>
                <w:smallCaps w:val="0"/>
                <w:color w:val="auto"/>
                <w:sz w:val="21"/>
                <w:szCs w:val="21"/>
              </w:rPr>
              <w:t>规格</w:t>
            </w:r>
          </w:p>
        </w:tc>
        <w:tc>
          <w:tcPr>
            <w:tcW w:w="593" w:type="pct"/>
            <w:tcBorders>
              <w:tl2br w:val="nil"/>
              <w:tr2bl w:val="nil"/>
            </w:tcBorders>
            <w:noWrap w:val="0"/>
            <w:vAlign w:val="center"/>
          </w:tcPr>
          <w:p>
            <w:pPr>
              <w:pStyle w:val="9"/>
              <w:spacing w:line="360" w:lineRule="exact"/>
              <w:rPr>
                <w:rFonts w:ascii="Times New Roman" w:hAnsi="Times New Roman"/>
                <w:bCs/>
                <w:caps w:val="0"/>
                <w:smallCaps w:val="0"/>
                <w:color w:val="auto"/>
                <w:sz w:val="21"/>
                <w:szCs w:val="21"/>
              </w:rPr>
            </w:pPr>
            <w:r>
              <w:rPr>
                <w:rFonts w:ascii="Times New Roman" w:hAnsi="Times New Roman"/>
                <w:bCs/>
                <w:caps w:val="0"/>
                <w:smallCaps w:val="0"/>
                <w:color w:val="auto"/>
                <w:sz w:val="21"/>
                <w:szCs w:val="21"/>
              </w:rPr>
              <w:t>容积m³</w:t>
            </w:r>
          </w:p>
        </w:tc>
        <w:tc>
          <w:tcPr>
            <w:tcW w:w="641" w:type="pct"/>
            <w:tcBorders>
              <w:tl2br w:val="nil"/>
              <w:tr2bl w:val="nil"/>
            </w:tcBorders>
            <w:noWrap w:val="0"/>
            <w:vAlign w:val="center"/>
          </w:tcPr>
          <w:p>
            <w:pPr>
              <w:pStyle w:val="9"/>
              <w:spacing w:line="360" w:lineRule="exact"/>
              <w:rPr>
                <w:rFonts w:ascii="Times New Roman" w:hAnsi="Times New Roman"/>
                <w:bCs/>
                <w:caps w:val="0"/>
                <w:smallCaps w:val="0"/>
                <w:color w:val="auto"/>
                <w:sz w:val="21"/>
                <w:szCs w:val="21"/>
              </w:rPr>
            </w:pPr>
            <w:r>
              <w:rPr>
                <w:rFonts w:ascii="Times New Roman" w:hAnsi="Times New Roman"/>
                <w:bCs/>
                <w:caps w:val="0"/>
                <w:smallCaps w:val="0"/>
                <w:color w:val="auto"/>
                <w:sz w:val="21"/>
                <w:szCs w:val="21"/>
              </w:rPr>
              <w:t>材质</w:t>
            </w:r>
          </w:p>
        </w:tc>
        <w:tc>
          <w:tcPr>
            <w:tcW w:w="789" w:type="pct"/>
            <w:tcBorders>
              <w:tl2br w:val="nil"/>
              <w:tr2bl w:val="nil"/>
            </w:tcBorders>
            <w:noWrap w:val="0"/>
            <w:vAlign w:val="center"/>
          </w:tcPr>
          <w:p>
            <w:pPr>
              <w:pStyle w:val="9"/>
              <w:spacing w:line="360" w:lineRule="exact"/>
              <w:rPr>
                <w:rFonts w:ascii="Times New Roman" w:hAnsi="Times New Roman"/>
                <w:bCs/>
                <w:caps w:val="0"/>
                <w:smallCaps w:val="0"/>
                <w:color w:val="auto"/>
                <w:sz w:val="21"/>
                <w:szCs w:val="21"/>
              </w:rPr>
            </w:pPr>
            <w:r>
              <w:rPr>
                <w:rFonts w:ascii="Times New Roman" w:hAnsi="Times New Roman"/>
                <w:bCs/>
                <w:caps w:val="0"/>
                <w:smallCaps w:val="0"/>
                <w:color w:val="auto"/>
                <w:sz w:val="21"/>
                <w:szCs w:val="21"/>
              </w:rPr>
              <w:t>火灾类别</w:t>
            </w:r>
          </w:p>
        </w:tc>
        <w:tc>
          <w:tcPr>
            <w:tcW w:w="571" w:type="pct"/>
            <w:tcBorders>
              <w:tl2br w:val="nil"/>
              <w:tr2bl w:val="nil"/>
            </w:tcBorders>
            <w:noWrap w:val="0"/>
            <w:vAlign w:val="center"/>
          </w:tcPr>
          <w:p>
            <w:pPr>
              <w:pStyle w:val="9"/>
              <w:spacing w:line="360" w:lineRule="exact"/>
              <w:rPr>
                <w:rFonts w:ascii="Times New Roman" w:hAnsi="Times New Roman"/>
                <w:bCs/>
                <w:caps w:val="0"/>
                <w:smallCaps w:val="0"/>
                <w:color w:val="auto"/>
                <w:sz w:val="21"/>
                <w:szCs w:val="21"/>
              </w:rPr>
            </w:pPr>
            <w:r>
              <w:rPr>
                <w:rFonts w:hint="eastAsia" w:ascii="Times New Roman" w:hAnsi="Times New Roman"/>
                <w:bCs/>
                <w:caps w:val="0"/>
                <w:smallCaps w:val="0"/>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9" w:hRule="atLeast"/>
        </w:trPr>
        <w:tc>
          <w:tcPr>
            <w:tcW w:w="396"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1</w:t>
            </w:r>
          </w:p>
        </w:tc>
        <w:tc>
          <w:tcPr>
            <w:tcW w:w="1127"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原料油</w:t>
            </w:r>
          </w:p>
        </w:tc>
        <w:tc>
          <w:tcPr>
            <w:tcW w:w="879"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caps w:val="0"/>
                <w:smallCaps w:val="0"/>
                <w:color w:val="auto"/>
                <w:szCs w:val="21"/>
              </w:rPr>
              <w:t>8.25×Φ8.25</w:t>
            </w:r>
          </w:p>
        </w:tc>
        <w:tc>
          <w:tcPr>
            <w:tcW w:w="593"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400</w:t>
            </w:r>
          </w:p>
        </w:tc>
        <w:tc>
          <w:tcPr>
            <w:tcW w:w="641"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bCs/>
                <w:caps w:val="0"/>
                <w:smallCaps w:val="0"/>
                <w:color w:val="auto"/>
                <w:szCs w:val="21"/>
              </w:rPr>
              <w:t>Q235B</w:t>
            </w:r>
          </w:p>
        </w:tc>
        <w:tc>
          <w:tcPr>
            <w:tcW w:w="789"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甲类</w:t>
            </w:r>
          </w:p>
        </w:tc>
        <w:tc>
          <w:tcPr>
            <w:tcW w:w="571" w:type="pct"/>
            <w:vMerge w:val="restar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地面储罐区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9" w:hRule="atLeast"/>
        </w:trPr>
        <w:tc>
          <w:tcPr>
            <w:tcW w:w="396"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2</w:t>
            </w:r>
          </w:p>
        </w:tc>
        <w:tc>
          <w:tcPr>
            <w:tcW w:w="1127"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X油</w:t>
            </w:r>
          </w:p>
        </w:tc>
        <w:tc>
          <w:tcPr>
            <w:tcW w:w="879"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caps w:val="0"/>
                <w:smallCaps w:val="0"/>
                <w:color w:val="auto"/>
                <w:szCs w:val="21"/>
              </w:rPr>
              <w:t>8.25×Φ8.25</w:t>
            </w:r>
          </w:p>
        </w:tc>
        <w:tc>
          <w:tcPr>
            <w:tcW w:w="593"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400</w:t>
            </w:r>
          </w:p>
        </w:tc>
        <w:tc>
          <w:tcPr>
            <w:tcW w:w="641"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bCs/>
                <w:caps w:val="0"/>
                <w:smallCaps w:val="0"/>
                <w:color w:val="auto"/>
                <w:szCs w:val="21"/>
              </w:rPr>
              <w:t>Q235B</w:t>
            </w:r>
          </w:p>
        </w:tc>
        <w:tc>
          <w:tcPr>
            <w:tcW w:w="789"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丙类</w:t>
            </w:r>
          </w:p>
        </w:tc>
        <w:tc>
          <w:tcPr>
            <w:tcW w:w="571" w:type="pct"/>
            <w:vMerge w:val="continue"/>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9" w:hRule="atLeast"/>
        </w:trPr>
        <w:tc>
          <w:tcPr>
            <w:tcW w:w="396"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3</w:t>
            </w:r>
          </w:p>
        </w:tc>
        <w:tc>
          <w:tcPr>
            <w:tcW w:w="1127"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煤焦油</w:t>
            </w:r>
          </w:p>
        </w:tc>
        <w:tc>
          <w:tcPr>
            <w:tcW w:w="879"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caps w:val="0"/>
                <w:smallCaps w:val="0"/>
                <w:color w:val="auto"/>
                <w:szCs w:val="21"/>
              </w:rPr>
              <w:t>8.25×Φ8.25</w:t>
            </w:r>
          </w:p>
        </w:tc>
        <w:tc>
          <w:tcPr>
            <w:tcW w:w="593"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400</w:t>
            </w:r>
          </w:p>
        </w:tc>
        <w:tc>
          <w:tcPr>
            <w:tcW w:w="641"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bCs/>
                <w:caps w:val="0"/>
                <w:smallCaps w:val="0"/>
                <w:color w:val="auto"/>
                <w:szCs w:val="21"/>
              </w:rPr>
              <w:t>Q235B</w:t>
            </w:r>
          </w:p>
        </w:tc>
        <w:tc>
          <w:tcPr>
            <w:tcW w:w="789"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丙类</w:t>
            </w:r>
          </w:p>
        </w:tc>
        <w:tc>
          <w:tcPr>
            <w:tcW w:w="571" w:type="pct"/>
            <w:vMerge w:val="continue"/>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9" w:hRule="atLeast"/>
        </w:trPr>
        <w:tc>
          <w:tcPr>
            <w:tcW w:w="396"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4</w:t>
            </w:r>
          </w:p>
        </w:tc>
        <w:tc>
          <w:tcPr>
            <w:tcW w:w="1127"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工业重油</w:t>
            </w:r>
          </w:p>
        </w:tc>
        <w:tc>
          <w:tcPr>
            <w:tcW w:w="879"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caps w:val="0"/>
                <w:smallCaps w:val="0"/>
                <w:color w:val="auto"/>
                <w:szCs w:val="21"/>
              </w:rPr>
              <w:t>8.25×Φ8.25</w:t>
            </w:r>
          </w:p>
        </w:tc>
        <w:tc>
          <w:tcPr>
            <w:tcW w:w="593"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400</w:t>
            </w:r>
          </w:p>
        </w:tc>
        <w:tc>
          <w:tcPr>
            <w:tcW w:w="641"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bCs/>
                <w:caps w:val="0"/>
                <w:smallCaps w:val="0"/>
                <w:color w:val="auto"/>
                <w:szCs w:val="21"/>
              </w:rPr>
              <w:t>Q235B</w:t>
            </w:r>
          </w:p>
        </w:tc>
        <w:tc>
          <w:tcPr>
            <w:tcW w:w="789"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丙类</w:t>
            </w:r>
          </w:p>
        </w:tc>
        <w:tc>
          <w:tcPr>
            <w:tcW w:w="571" w:type="pct"/>
            <w:vMerge w:val="continue"/>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9" w:hRule="atLeast"/>
        </w:trPr>
        <w:tc>
          <w:tcPr>
            <w:tcW w:w="396"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5</w:t>
            </w:r>
          </w:p>
        </w:tc>
        <w:tc>
          <w:tcPr>
            <w:tcW w:w="1127"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溶剂油</w:t>
            </w:r>
          </w:p>
        </w:tc>
        <w:tc>
          <w:tcPr>
            <w:tcW w:w="879"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caps w:val="0"/>
                <w:smallCaps w:val="0"/>
                <w:color w:val="auto"/>
                <w:szCs w:val="21"/>
              </w:rPr>
              <w:t>8.25×Φ8.25</w:t>
            </w:r>
          </w:p>
        </w:tc>
        <w:tc>
          <w:tcPr>
            <w:tcW w:w="593"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400</w:t>
            </w:r>
          </w:p>
        </w:tc>
        <w:tc>
          <w:tcPr>
            <w:tcW w:w="641"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bCs/>
                <w:caps w:val="0"/>
                <w:smallCaps w:val="0"/>
                <w:color w:val="auto"/>
                <w:szCs w:val="21"/>
              </w:rPr>
              <w:t>Q235B</w:t>
            </w:r>
          </w:p>
        </w:tc>
        <w:tc>
          <w:tcPr>
            <w:tcW w:w="789"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甲类</w:t>
            </w:r>
          </w:p>
        </w:tc>
        <w:tc>
          <w:tcPr>
            <w:tcW w:w="571" w:type="pct"/>
            <w:vMerge w:val="continue"/>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9" w:hRule="atLeast"/>
        </w:trPr>
        <w:tc>
          <w:tcPr>
            <w:tcW w:w="396"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6</w:t>
            </w:r>
          </w:p>
        </w:tc>
        <w:tc>
          <w:tcPr>
            <w:tcW w:w="1127"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燃料油</w:t>
            </w:r>
          </w:p>
        </w:tc>
        <w:tc>
          <w:tcPr>
            <w:tcW w:w="879"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caps w:val="0"/>
                <w:smallCaps w:val="0"/>
                <w:color w:val="auto"/>
                <w:szCs w:val="21"/>
              </w:rPr>
              <w:t>8.25×Φ8.25</w:t>
            </w:r>
          </w:p>
        </w:tc>
        <w:tc>
          <w:tcPr>
            <w:tcW w:w="593"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400</w:t>
            </w:r>
          </w:p>
        </w:tc>
        <w:tc>
          <w:tcPr>
            <w:tcW w:w="641"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bCs/>
                <w:caps w:val="0"/>
                <w:smallCaps w:val="0"/>
                <w:color w:val="auto"/>
                <w:szCs w:val="21"/>
              </w:rPr>
              <w:t>Q235B</w:t>
            </w:r>
          </w:p>
        </w:tc>
        <w:tc>
          <w:tcPr>
            <w:tcW w:w="789"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甲类</w:t>
            </w:r>
          </w:p>
        </w:tc>
        <w:tc>
          <w:tcPr>
            <w:tcW w:w="571" w:type="pct"/>
            <w:vMerge w:val="continue"/>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9" w:hRule="atLeast"/>
        </w:trPr>
        <w:tc>
          <w:tcPr>
            <w:tcW w:w="396"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7</w:t>
            </w:r>
          </w:p>
        </w:tc>
        <w:tc>
          <w:tcPr>
            <w:tcW w:w="1127" w:type="pct"/>
            <w:tcBorders>
              <w:tl2br w:val="nil"/>
              <w:tr2bl w:val="nil"/>
            </w:tcBorders>
            <w:noWrap w:val="0"/>
            <w:vAlign w:val="center"/>
          </w:tcPr>
          <w:p>
            <w:pPr>
              <w:pStyle w:val="9"/>
              <w:spacing w:line="360" w:lineRule="exact"/>
              <w:rPr>
                <w:rFonts w:hint="eastAsia" w:ascii="Times New Roman" w:hAnsi="Times New Roman" w:eastAsia="宋体"/>
                <w:b w:val="0"/>
                <w:bCs/>
                <w:caps w:val="0"/>
                <w:smallCaps w:val="0"/>
                <w:color w:val="auto"/>
                <w:sz w:val="21"/>
                <w:szCs w:val="21"/>
                <w:lang w:eastAsia="zh-CN"/>
              </w:rPr>
            </w:pPr>
            <w:r>
              <w:rPr>
                <w:rFonts w:hint="eastAsia" w:ascii="Times New Roman" w:hAnsi="Times New Roman"/>
                <w:b w:val="0"/>
                <w:bCs/>
                <w:caps w:val="0"/>
                <w:smallCaps w:val="0"/>
                <w:color w:val="auto"/>
                <w:sz w:val="21"/>
                <w:szCs w:val="21"/>
                <w:lang w:eastAsia="zh-CN"/>
              </w:rPr>
              <w:t>工业用二氯丙烷</w:t>
            </w:r>
          </w:p>
        </w:tc>
        <w:tc>
          <w:tcPr>
            <w:tcW w:w="879"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caps w:val="0"/>
                <w:smallCaps w:val="0"/>
                <w:color w:val="auto"/>
                <w:szCs w:val="21"/>
              </w:rPr>
              <w:t>8.25×Φ8.25</w:t>
            </w:r>
          </w:p>
        </w:tc>
        <w:tc>
          <w:tcPr>
            <w:tcW w:w="593"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400</w:t>
            </w:r>
          </w:p>
        </w:tc>
        <w:tc>
          <w:tcPr>
            <w:tcW w:w="641"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bCs/>
                <w:caps w:val="0"/>
                <w:smallCaps w:val="0"/>
                <w:color w:val="auto"/>
                <w:szCs w:val="21"/>
              </w:rPr>
              <w:t>Q235B</w:t>
            </w:r>
          </w:p>
        </w:tc>
        <w:tc>
          <w:tcPr>
            <w:tcW w:w="789"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甲类</w:t>
            </w:r>
          </w:p>
        </w:tc>
        <w:tc>
          <w:tcPr>
            <w:tcW w:w="571" w:type="pct"/>
            <w:vMerge w:val="continue"/>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9" w:hRule="atLeast"/>
        </w:trPr>
        <w:tc>
          <w:tcPr>
            <w:tcW w:w="396"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8</w:t>
            </w:r>
          </w:p>
        </w:tc>
        <w:tc>
          <w:tcPr>
            <w:tcW w:w="1127"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lang w:eastAsia="zh-CN"/>
              </w:rPr>
              <w:t>废</w:t>
            </w:r>
            <w:r>
              <w:rPr>
                <w:rFonts w:hint="eastAsia" w:ascii="Times New Roman" w:hAnsi="Times New Roman"/>
                <w:b w:val="0"/>
                <w:bCs/>
                <w:caps w:val="0"/>
                <w:smallCaps w:val="0"/>
                <w:color w:val="auto"/>
                <w:sz w:val="21"/>
                <w:szCs w:val="21"/>
              </w:rPr>
              <w:t>环己烷</w:t>
            </w:r>
            <w:r>
              <w:rPr>
                <w:rFonts w:hint="eastAsia" w:ascii="Times New Roman" w:hAnsi="Times New Roman"/>
                <w:b w:val="0"/>
                <w:bCs/>
                <w:caps w:val="0"/>
                <w:smallCaps w:val="0"/>
                <w:color w:val="auto"/>
                <w:sz w:val="21"/>
                <w:szCs w:val="21"/>
                <w:lang w:eastAsia="zh-CN"/>
              </w:rPr>
              <w:t>、</w:t>
            </w:r>
            <w:r>
              <w:rPr>
                <w:rFonts w:hint="eastAsia" w:ascii="Times New Roman" w:hAnsi="Times New Roman"/>
                <w:b w:val="0"/>
                <w:bCs/>
                <w:caps w:val="0"/>
                <w:smallCaps w:val="0"/>
                <w:color w:val="auto"/>
                <w:sz w:val="21"/>
                <w:szCs w:val="21"/>
              </w:rPr>
              <w:t>环己酮</w:t>
            </w:r>
            <w:r>
              <w:rPr>
                <w:rFonts w:hint="eastAsia" w:ascii="Times New Roman" w:hAnsi="Times New Roman"/>
                <w:b w:val="0"/>
                <w:bCs/>
                <w:caps w:val="0"/>
                <w:smallCaps w:val="0"/>
                <w:color w:val="auto"/>
                <w:sz w:val="21"/>
                <w:szCs w:val="21"/>
                <w:lang w:eastAsia="zh-CN"/>
              </w:rPr>
              <w:t>、</w:t>
            </w:r>
            <w:r>
              <w:rPr>
                <w:rFonts w:hint="eastAsia" w:ascii="Times New Roman" w:hAnsi="Times New Roman"/>
                <w:b w:val="0"/>
                <w:bCs/>
                <w:caps w:val="0"/>
                <w:smallCaps w:val="0"/>
                <w:color w:val="auto"/>
                <w:sz w:val="21"/>
                <w:szCs w:val="21"/>
              </w:rPr>
              <w:t>苯乙烯原料油</w:t>
            </w:r>
          </w:p>
        </w:tc>
        <w:tc>
          <w:tcPr>
            <w:tcW w:w="879"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caps w:val="0"/>
                <w:smallCaps w:val="0"/>
                <w:color w:val="auto"/>
                <w:szCs w:val="21"/>
              </w:rPr>
              <w:t>8.25×Φ8.25</w:t>
            </w:r>
          </w:p>
        </w:tc>
        <w:tc>
          <w:tcPr>
            <w:tcW w:w="593"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400</w:t>
            </w:r>
          </w:p>
        </w:tc>
        <w:tc>
          <w:tcPr>
            <w:tcW w:w="641" w:type="pct"/>
            <w:tcBorders>
              <w:tl2br w:val="nil"/>
              <w:tr2bl w:val="nil"/>
            </w:tcBorders>
            <w:noWrap w:val="0"/>
            <w:vAlign w:val="top"/>
          </w:tcPr>
          <w:p>
            <w:pPr>
              <w:spacing w:line="360" w:lineRule="exact"/>
              <w:jc w:val="center"/>
              <w:rPr>
                <w:rFonts w:ascii="Times New Roman" w:hAnsi="Times New Roman"/>
                <w:bCs/>
                <w:caps w:val="0"/>
                <w:smallCaps w:val="0"/>
                <w:color w:val="auto"/>
                <w:szCs w:val="21"/>
              </w:rPr>
            </w:pPr>
            <w:r>
              <w:rPr>
                <w:rFonts w:hint="eastAsia" w:ascii="Times New Roman" w:hAnsi="Times New Roman"/>
                <w:bCs/>
                <w:caps w:val="0"/>
                <w:smallCaps w:val="0"/>
                <w:color w:val="auto"/>
                <w:szCs w:val="21"/>
              </w:rPr>
              <w:t>Q235B</w:t>
            </w:r>
          </w:p>
        </w:tc>
        <w:tc>
          <w:tcPr>
            <w:tcW w:w="789" w:type="pct"/>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r>
              <w:rPr>
                <w:rFonts w:hint="eastAsia" w:ascii="Times New Roman" w:hAnsi="Times New Roman"/>
                <w:b w:val="0"/>
                <w:bCs/>
                <w:caps w:val="0"/>
                <w:smallCaps w:val="0"/>
                <w:color w:val="auto"/>
                <w:sz w:val="21"/>
                <w:szCs w:val="21"/>
              </w:rPr>
              <w:t>甲类</w:t>
            </w:r>
          </w:p>
        </w:tc>
        <w:tc>
          <w:tcPr>
            <w:tcW w:w="571" w:type="pct"/>
            <w:vMerge w:val="continue"/>
            <w:tcBorders>
              <w:tl2br w:val="nil"/>
              <w:tr2bl w:val="nil"/>
            </w:tcBorders>
            <w:noWrap w:val="0"/>
            <w:vAlign w:val="center"/>
          </w:tcPr>
          <w:p>
            <w:pPr>
              <w:pStyle w:val="9"/>
              <w:spacing w:line="360" w:lineRule="exact"/>
              <w:rPr>
                <w:rFonts w:ascii="Times New Roman" w:hAnsi="Times New Roman"/>
                <w:b w:val="0"/>
                <w:bCs/>
                <w:caps w:val="0"/>
                <w:smallCaps w:val="0"/>
                <w:color w:val="auto"/>
                <w:sz w:val="21"/>
                <w:szCs w:val="21"/>
              </w:rPr>
            </w:pPr>
          </w:p>
        </w:tc>
      </w:tr>
    </w:tbl>
    <w:p>
      <w:pPr>
        <w:pStyle w:val="32"/>
        <w:bidi w:val="0"/>
        <w:rPr>
          <w:rFonts w:hint="eastAsia"/>
          <w:b/>
          <w:color w:val="auto"/>
          <w:lang w:val="de-DE" w:eastAsia="zh-CN"/>
        </w:rPr>
      </w:pPr>
      <w:bookmarkStart w:id="43" w:name="_Toc32727"/>
      <w:r>
        <w:rPr>
          <w:rFonts w:hint="eastAsia"/>
          <w:b/>
          <w:color w:val="auto"/>
          <w:lang w:val="en-US" w:eastAsia="zh-CN"/>
        </w:rPr>
        <w:t>3</w:t>
      </w:r>
      <w:r>
        <w:rPr>
          <w:rFonts w:hint="eastAsia"/>
          <w:b/>
          <w:color w:val="auto"/>
          <w:lang w:val="de-DE" w:eastAsia="zh-CN"/>
        </w:rPr>
        <w:t>.</w:t>
      </w:r>
      <w:r>
        <w:rPr>
          <w:rFonts w:hint="eastAsia"/>
          <w:b/>
          <w:color w:val="auto"/>
          <w:lang w:val="en-US" w:eastAsia="zh-CN"/>
        </w:rPr>
        <w:t>1</w:t>
      </w:r>
      <w:r>
        <w:rPr>
          <w:rFonts w:hint="eastAsia"/>
          <w:b/>
          <w:color w:val="auto"/>
          <w:lang w:val="de-DE" w:eastAsia="zh-CN"/>
        </w:rPr>
        <w:t>.</w:t>
      </w:r>
      <w:r>
        <w:rPr>
          <w:rFonts w:hint="eastAsia"/>
          <w:b/>
          <w:color w:val="auto"/>
          <w:lang w:val="en-US" w:eastAsia="zh-CN"/>
        </w:rPr>
        <w:t>5</w:t>
      </w:r>
      <w:r>
        <w:rPr>
          <w:rFonts w:hint="eastAsia"/>
          <w:b/>
          <w:color w:val="auto"/>
          <w:lang w:val="de-DE" w:eastAsia="zh-CN"/>
        </w:rPr>
        <w:t>现有公用工程</w:t>
      </w:r>
      <w:bookmarkEnd w:id="43"/>
    </w:p>
    <w:p>
      <w:pPr>
        <w:pStyle w:val="33"/>
        <w:bidi w:val="0"/>
        <w:rPr>
          <w:color w:val="auto"/>
        </w:rPr>
      </w:pPr>
      <w:bookmarkStart w:id="44" w:name="_Toc15898"/>
      <w:r>
        <w:rPr>
          <w:color w:val="auto"/>
        </w:rPr>
        <w:t>（1）供水</w:t>
      </w:r>
    </w:p>
    <w:p>
      <w:pPr>
        <w:pStyle w:val="33"/>
        <w:bidi w:val="0"/>
        <w:rPr>
          <w:rFonts w:ascii="Times New Roman" w:hAnsi="Times New Roman"/>
          <w:caps w:val="0"/>
          <w:smallCaps w:val="0"/>
          <w:color w:val="auto"/>
          <w:szCs w:val="24"/>
        </w:rPr>
      </w:pPr>
      <w:r>
        <w:rPr>
          <w:rFonts w:hint="eastAsia" w:ascii="Times New Roman" w:hAnsi="Times New Roman"/>
          <w:caps w:val="0"/>
          <w:smallCaps w:val="0"/>
          <w:color w:val="auto"/>
          <w:szCs w:val="24"/>
          <w:lang w:eastAsia="zh-CN"/>
        </w:rPr>
        <w:t>全厂</w:t>
      </w:r>
      <w:r>
        <w:rPr>
          <w:rFonts w:hint="eastAsia" w:ascii="Times New Roman" w:hAnsi="Times New Roman"/>
          <w:caps w:val="0"/>
          <w:smallCaps w:val="0"/>
          <w:color w:val="auto"/>
          <w:szCs w:val="24"/>
        </w:rPr>
        <w:t>总新鲜水用量为</w:t>
      </w:r>
      <w:r>
        <w:rPr>
          <w:rFonts w:hint="eastAsia"/>
          <w:caps w:val="0"/>
          <w:smallCaps w:val="0"/>
          <w:color w:val="auto"/>
          <w:szCs w:val="24"/>
          <w:lang w:val="en-US" w:eastAsia="zh-CN"/>
        </w:rPr>
        <w:t>36.87</w:t>
      </w:r>
      <w:r>
        <w:rPr>
          <w:rFonts w:ascii="Times New Roman" w:hAnsi="Times New Roman"/>
          <w:caps w:val="0"/>
          <w:smallCaps w:val="0"/>
          <w:color w:val="auto"/>
          <w:szCs w:val="24"/>
        </w:rPr>
        <w:t>m</w:t>
      </w:r>
      <w:r>
        <w:rPr>
          <w:rFonts w:ascii="Times New Roman" w:hAnsi="Times New Roman"/>
          <w:caps w:val="0"/>
          <w:smallCaps w:val="0"/>
          <w:color w:val="auto"/>
          <w:szCs w:val="24"/>
          <w:vertAlign w:val="superscript"/>
        </w:rPr>
        <w:t>3</w:t>
      </w:r>
      <w:r>
        <w:rPr>
          <w:rFonts w:ascii="Times New Roman" w:hAnsi="Times New Roman"/>
          <w:caps w:val="0"/>
          <w:smallCaps w:val="0"/>
          <w:color w:val="auto"/>
          <w:szCs w:val="24"/>
        </w:rPr>
        <w:t>/d</w:t>
      </w:r>
      <w:r>
        <w:rPr>
          <w:rFonts w:hint="eastAsia" w:ascii="Times New Roman" w:hAnsi="Times New Roman"/>
          <w:caps w:val="0"/>
          <w:smallCaps w:val="0"/>
          <w:color w:val="auto"/>
          <w:szCs w:val="24"/>
          <w:lang w:eastAsia="zh-CN"/>
        </w:rPr>
        <w:t>，</w:t>
      </w:r>
      <w:r>
        <w:rPr>
          <w:rFonts w:hint="eastAsia" w:ascii="Times New Roman" w:hAnsi="Times New Roman"/>
          <w:caps w:val="0"/>
          <w:smallCaps w:val="0"/>
          <w:color w:val="auto"/>
          <w:szCs w:val="24"/>
        </w:rPr>
        <w:t>设备及地面冲洗水</w:t>
      </w:r>
      <w:r>
        <w:rPr>
          <w:rFonts w:hint="eastAsia" w:ascii="Times New Roman" w:hAnsi="Times New Roman"/>
          <w:caps w:val="0"/>
          <w:smallCaps w:val="0"/>
          <w:color w:val="auto"/>
          <w:szCs w:val="24"/>
          <w:lang w:val="en-US" w:eastAsia="zh-CN"/>
        </w:rPr>
        <w:t>4.5</w:t>
      </w:r>
      <w:r>
        <w:rPr>
          <w:rFonts w:ascii="Times New Roman" w:hAnsi="Times New Roman"/>
          <w:caps w:val="0"/>
          <w:smallCaps w:val="0"/>
          <w:color w:val="auto"/>
          <w:szCs w:val="24"/>
        </w:rPr>
        <w:t>m</w:t>
      </w:r>
      <w:r>
        <w:rPr>
          <w:rFonts w:ascii="Times New Roman" w:hAnsi="Times New Roman"/>
          <w:caps w:val="0"/>
          <w:smallCaps w:val="0"/>
          <w:color w:val="auto"/>
          <w:szCs w:val="24"/>
          <w:vertAlign w:val="superscript"/>
        </w:rPr>
        <w:t>3</w:t>
      </w:r>
      <w:r>
        <w:rPr>
          <w:rFonts w:ascii="Times New Roman" w:hAnsi="Times New Roman"/>
          <w:caps w:val="0"/>
          <w:smallCaps w:val="0"/>
          <w:color w:val="auto"/>
          <w:szCs w:val="24"/>
        </w:rPr>
        <w:t>/d</w:t>
      </w:r>
      <w:r>
        <w:rPr>
          <w:rFonts w:hint="eastAsia" w:ascii="Times New Roman" w:hAnsi="Times New Roman"/>
          <w:caps w:val="0"/>
          <w:smallCaps w:val="0"/>
          <w:color w:val="auto"/>
          <w:szCs w:val="24"/>
        </w:rPr>
        <w:t>，实验室化验用水</w:t>
      </w:r>
      <w:r>
        <w:rPr>
          <w:rFonts w:hint="eastAsia" w:ascii="Times New Roman" w:hAnsi="Times New Roman"/>
          <w:caps w:val="0"/>
          <w:smallCaps w:val="0"/>
          <w:color w:val="auto"/>
          <w:szCs w:val="24"/>
          <w:lang w:val="en-US" w:eastAsia="zh-CN"/>
        </w:rPr>
        <w:t>1</w:t>
      </w:r>
      <w:r>
        <w:rPr>
          <w:rFonts w:hint="eastAsia" w:ascii="Times New Roman" w:hAnsi="Times New Roman"/>
          <w:caps w:val="0"/>
          <w:smallCaps w:val="0"/>
          <w:color w:val="auto"/>
          <w:szCs w:val="24"/>
        </w:rPr>
        <w:t>.6</w:t>
      </w:r>
      <w:r>
        <w:rPr>
          <w:rFonts w:ascii="Times New Roman" w:hAnsi="Times New Roman"/>
          <w:caps w:val="0"/>
          <w:smallCaps w:val="0"/>
          <w:color w:val="auto"/>
          <w:szCs w:val="24"/>
        </w:rPr>
        <w:t>m</w:t>
      </w:r>
      <w:r>
        <w:rPr>
          <w:rFonts w:ascii="Times New Roman" w:hAnsi="Times New Roman"/>
          <w:caps w:val="0"/>
          <w:smallCaps w:val="0"/>
          <w:color w:val="auto"/>
          <w:szCs w:val="24"/>
          <w:vertAlign w:val="superscript"/>
        </w:rPr>
        <w:t>3</w:t>
      </w:r>
      <w:r>
        <w:rPr>
          <w:rFonts w:ascii="Times New Roman" w:hAnsi="Times New Roman"/>
          <w:caps w:val="0"/>
          <w:smallCaps w:val="0"/>
          <w:color w:val="auto"/>
          <w:szCs w:val="24"/>
        </w:rPr>
        <w:t>/d</w:t>
      </w:r>
      <w:r>
        <w:rPr>
          <w:rFonts w:hint="eastAsia" w:ascii="Times New Roman" w:hAnsi="Times New Roman"/>
          <w:caps w:val="0"/>
          <w:smallCaps w:val="0"/>
          <w:color w:val="auto"/>
          <w:szCs w:val="24"/>
        </w:rPr>
        <w:t>，水喷射泵用水</w:t>
      </w:r>
      <w:r>
        <w:rPr>
          <w:rFonts w:hint="eastAsia" w:ascii="Times New Roman" w:hAnsi="Times New Roman"/>
          <w:caps w:val="0"/>
          <w:smallCaps w:val="0"/>
          <w:color w:val="auto"/>
          <w:szCs w:val="24"/>
          <w:lang w:val="en-US" w:eastAsia="zh-CN"/>
        </w:rPr>
        <w:t>3</w:t>
      </w:r>
      <w:r>
        <w:rPr>
          <w:rFonts w:ascii="Times New Roman" w:hAnsi="Times New Roman"/>
          <w:caps w:val="0"/>
          <w:smallCaps w:val="0"/>
          <w:color w:val="auto"/>
          <w:szCs w:val="24"/>
        </w:rPr>
        <w:t>m</w:t>
      </w:r>
      <w:r>
        <w:rPr>
          <w:rFonts w:ascii="Times New Roman" w:hAnsi="Times New Roman"/>
          <w:caps w:val="0"/>
          <w:smallCaps w:val="0"/>
          <w:color w:val="auto"/>
          <w:szCs w:val="24"/>
          <w:vertAlign w:val="superscript"/>
        </w:rPr>
        <w:t>3</w:t>
      </w:r>
      <w:r>
        <w:rPr>
          <w:rFonts w:ascii="Times New Roman" w:hAnsi="Times New Roman"/>
          <w:caps w:val="0"/>
          <w:smallCaps w:val="0"/>
          <w:color w:val="auto"/>
          <w:szCs w:val="24"/>
        </w:rPr>
        <w:t>/d</w:t>
      </w:r>
      <w:r>
        <w:rPr>
          <w:rFonts w:hint="eastAsia" w:ascii="Times New Roman" w:hAnsi="Times New Roman"/>
          <w:caps w:val="0"/>
          <w:smallCaps w:val="0"/>
          <w:color w:val="auto"/>
          <w:szCs w:val="24"/>
        </w:rPr>
        <w:t>，碱液喷淋用水1</w:t>
      </w:r>
      <w:r>
        <w:rPr>
          <w:rFonts w:ascii="Times New Roman" w:hAnsi="Times New Roman"/>
          <w:caps w:val="0"/>
          <w:smallCaps w:val="0"/>
          <w:color w:val="auto"/>
          <w:szCs w:val="24"/>
        </w:rPr>
        <w:t>m</w:t>
      </w:r>
      <w:r>
        <w:rPr>
          <w:rFonts w:ascii="Times New Roman" w:hAnsi="Times New Roman"/>
          <w:caps w:val="0"/>
          <w:smallCaps w:val="0"/>
          <w:color w:val="auto"/>
          <w:szCs w:val="24"/>
          <w:vertAlign w:val="superscript"/>
        </w:rPr>
        <w:t>3</w:t>
      </w:r>
      <w:r>
        <w:rPr>
          <w:rFonts w:ascii="Times New Roman" w:hAnsi="Times New Roman"/>
          <w:caps w:val="0"/>
          <w:smallCaps w:val="0"/>
          <w:color w:val="auto"/>
          <w:szCs w:val="24"/>
        </w:rPr>
        <w:t>/d</w:t>
      </w:r>
      <w:r>
        <w:rPr>
          <w:rFonts w:hint="eastAsia" w:ascii="Times New Roman" w:hAnsi="Times New Roman"/>
          <w:caps w:val="0"/>
          <w:smallCaps w:val="0"/>
          <w:color w:val="auto"/>
          <w:szCs w:val="24"/>
        </w:rPr>
        <w:t>，循环水系统补水</w:t>
      </w:r>
      <w:r>
        <w:rPr>
          <w:rFonts w:hint="eastAsia"/>
          <w:caps w:val="0"/>
          <w:smallCaps w:val="0"/>
          <w:color w:val="auto"/>
          <w:szCs w:val="24"/>
          <w:lang w:val="en-US" w:eastAsia="zh-CN"/>
        </w:rPr>
        <w:t>19.52</w:t>
      </w:r>
      <w:r>
        <w:rPr>
          <w:rFonts w:ascii="Times New Roman" w:hAnsi="Times New Roman"/>
          <w:caps w:val="0"/>
          <w:smallCaps w:val="0"/>
          <w:color w:val="auto"/>
          <w:szCs w:val="24"/>
        </w:rPr>
        <w:t>m</w:t>
      </w:r>
      <w:r>
        <w:rPr>
          <w:rFonts w:ascii="Times New Roman" w:hAnsi="Times New Roman"/>
          <w:caps w:val="0"/>
          <w:smallCaps w:val="0"/>
          <w:color w:val="auto"/>
          <w:szCs w:val="24"/>
          <w:vertAlign w:val="superscript"/>
        </w:rPr>
        <w:t>3</w:t>
      </w:r>
      <w:r>
        <w:rPr>
          <w:rFonts w:ascii="Times New Roman" w:hAnsi="Times New Roman"/>
          <w:caps w:val="0"/>
          <w:smallCaps w:val="0"/>
          <w:color w:val="auto"/>
          <w:szCs w:val="24"/>
        </w:rPr>
        <w:t>/d</w:t>
      </w:r>
      <w:r>
        <w:rPr>
          <w:rFonts w:hint="eastAsia" w:ascii="Times New Roman" w:hAnsi="Times New Roman"/>
          <w:caps w:val="0"/>
          <w:smallCaps w:val="0"/>
          <w:color w:val="auto"/>
          <w:szCs w:val="24"/>
        </w:rPr>
        <w:t>，生活用水</w:t>
      </w:r>
      <w:r>
        <w:rPr>
          <w:rFonts w:hint="eastAsia" w:ascii="Times New Roman" w:hAnsi="Times New Roman"/>
          <w:caps w:val="0"/>
          <w:smallCaps w:val="0"/>
          <w:color w:val="auto"/>
          <w:szCs w:val="24"/>
          <w:lang w:val="en-US" w:eastAsia="zh-CN"/>
        </w:rPr>
        <w:t>7.25</w:t>
      </w:r>
      <w:r>
        <w:rPr>
          <w:rFonts w:ascii="Times New Roman" w:hAnsi="Times New Roman"/>
          <w:caps w:val="0"/>
          <w:smallCaps w:val="0"/>
          <w:color w:val="auto"/>
          <w:szCs w:val="24"/>
        </w:rPr>
        <w:t>m</w:t>
      </w:r>
      <w:r>
        <w:rPr>
          <w:rFonts w:ascii="Times New Roman" w:hAnsi="Times New Roman"/>
          <w:caps w:val="0"/>
          <w:smallCaps w:val="0"/>
          <w:color w:val="auto"/>
          <w:szCs w:val="24"/>
          <w:vertAlign w:val="superscript"/>
        </w:rPr>
        <w:t>3</w:t>
      </w:r>
      <w:r>
        <w:rPr>
          <w:rFonts w:ascii="Times New Roman" w:hAnsi="Times New Roman"/>
          <w:caps w:val="0"/>
          <w:smallCaps w:val="0"/>
          <w:color w:val="auto"/>
          <w:szCs w:val="24"/>
        </w:rPr>
        <w:t>/d</w:t>
      </w:r>
      <w:r>
        <w:rPr>
          <w:rFonts w:hint="eastAsia" w:ascii="Times New Roman" w:hAnsi="Times New Roman"/>
          <w:caps w:val="0"/>
          <w:smallCaps w:val="0"/>
          <w:color w:val="auto"/>
          <w:szCs w:val="24"/>
        </w:rPr>
        <w:t>。新鲜水供水水源由工业园区自来水公司供给</w:t>
      </w:r>
      <w:r>
        <w:rPr>
          <w:rFonts w:hint="eastAsia" w:ascii="Times New Roman" w:hAnsi="Times New Roman"/>
          <w:caps w:val="0"/>
          <w:smallCaps w:val="0"/>
          <w:color w:val="auto"/>
          <w:kern w:val="0"/>
        </w:rPr>
        <w:t>，用水水源为双花水库。</w:t>
      </w:r>
      <w:r>
        <w:rPr>
          <w:rFonts w:hint="eastAsia"/>
          <w:caps w:val="0"/>
          <w:smallCaps w:val="0"/>
          <w:color w:val="auto"/>
          <w:szCs w:val="24"/>
          <w:lang w:val="en-US" w:eastAsia="zh-CN"/>
        </w:rPr>
        <w:t>设置</w:t>
      </w:r>
      <w:r>
        <w:rPr>
          <w:rFonts w:hint="eastAsia" w:ascii="Times New Roman" w:hAnsi="Times New Roman"/>
          <w:caps w:val="0"/>
          <w:smallCaps w:val="0"/>
          <w:color w:val="auto"/>
          <w:szCs w:val="24"/>
        </w:rPr>
        <w:t>600</w:t>
      </w:r>
      <w:r>
        <w:rPr>
          <w:rFonts w:ascii="Times New Roman" w:hAnsi="Times New Roman"/>
          <w:caps w:val="0"/>
          <w:smallCaps w:val="0"/>
          <w:color w:val="auto"/>
          <w:szCs w:val="24"/>
        </w:rPr>
        <w:t>m</w:t>
      </w:r>
      <w:r>
        <w:rPr>
          <w:rFonts w:ascii="Times New Roman" w:hAnsi="Times New Roman"/>
          <w:caps w:val="0"/>
          <w:smallCaps w:val="0"/>
          <w:color w:val="auto"/>
          <w:szCs w:val="24"/>
          <w:vertAlign w:val="superscript"/>
        </w:rPr>
        <w:t>3</w:t>
      </w:r>
      <w:r>
        <w:rPr>
          <w:rFonts w:ascii="Times New Roman" w:hAnsi="Times New Roman"/>
          <w:caps w:val="0"/>
          <w:smallCaps w:val="0"/>
          <w:color w:val="auto"/>
          <w:szCs w:val="24"/>
        </w:rPr>
        <w:t>/d</w:t>
      </w:r>
      <w:r>
        <w:rPr>
          <w:rFonts w:hint="eastAsia" w:ascii="Times New Roman" w:hAnsi="Times New Roman"/>
          <w:caps w:val="0"/>
          <w:smallCaps w:val="0"/>
          <w:color w:val="auto"/>
          <w:szCs w:val="24"/>
        </w:rPr>
        <w:t>循环水站。</w:t>
      </w:r>
    </w:p>
    <w:p>
      <w:pPr>
        <w:pStyle w:val="33"/>
        <w:bidi w:val="0"/>
        <w:rPr>
          <w:color w:val="auto"/>
        </w:rPr>
      </w:pPr>
      <w:r>
        <w:rPr>
          <w:color w:val="auto"/>
        </w:rPr>
        <w:t>（2）排水</w:t>
      </w:r>
    </w:p>
    <w:p>
      <w:pPr>
        <w:pStyle w:val="33"/>
        <w:bidi w:val="0"/>
        <w:rPr>
          <w:color w:val="auto"/>
        </w:rPr>
      </w:pPr>
      <w:r>
        <w:rPr>
          <w:rFonts w:hint="eastAsia"/>
          <w:caps w:val="0"/>
          <w:smallCaps w:val="0"/>
          <w:color w:val="auto"/>
          <w:szCs w:val="24"/>
          <w:lang w:val="en-US" w:eastAsia="zh-CN"/>
        </w:rPr>
        <w:t>根据现场勘查，</w:t>
      </w:r>
      <w:r>
        <w:rPr>
          <w:rFonts w:ascii="Times New Roman" w:hAnsi="Times New Roman"/>
          <w:caps w:val="0"/>
          <w:smallCaps w:val="0"/>
          <w:color w:val="auto"/>
          <w:szCs w:val="24"/>
        </w:rPr>
        <w:t>厂区排水采用</w:t>
      </w:r>
      <w:r>
        <w:rPr>
          <w:rFonts w:hint="eastAsia" w:ascii="Times New Roman" w:hAnsi="Times New Roman"/>
          <w:caps w:val="0"/>
          <w:smallCaps w:val="0"/>
          <w:color w:val="auto"/>
          <w:szCs w:val="24"/>
        </w:rPr>
        <w:t>“雨污分流”排水系统。</w:t>
      </w:r>
      <w:r>
        <w:rPr>
          <w:rFonts w:hint="eastAsia"/>
          <w:caps w:val="0"/>
          <w:smallCaps w:val="0"/>
          <w:color w:val="auto"/>
          <w:szCs w:val="24"/>
          <w:lang w:val="en-US" w:eastAsia="zh-CN"/>
        </w:rPr>
        <w:t>厂区废水通过自建污水处理站处理，</w:t>
      </w:r>
      <w:r>
        <w:rPr>
          <w:rFonts w:hint="eastAsia"/>
          <w:caps w:val="0"/>
          <w:smallCaps w:val="0"/>
          <w:color w:val="auto"/>
          <w:lang w:val="en-US" w:eastAsia="zh-CN"/>
        </w:rPr>
        <w:t>达到</w:t>
      </w:r>
      <w:r>
        <w:rPr>
          <w:rFonts w:ascii="Times New Roman" w:hAnsi="Times New Roman"/>
          <w:caps w:val="0"/>
          <w:smallCaps w:val="0"/>
          <w:color w:val="auto"/>
        </w:rPr>
        <w:t>《</w:t>
      </w:r>
      <w:r>
        <w:rPr>
          <w:rFonts w:hint="eastAsia" w:ascii="Times New Roman" w:hAnsi="Times New Roman"/>
          <w:caps w:val="0"/>
          <w:smallCaps w:val="0"/>
          <w:color w:val="auto"/>
        </w:rPr>
        <w:t>石油化学工业污染物排放标准</w:t>
      </w:r>
      <w:r>
        <w:rPr>
          <w:rFonts w:ascii="Times New Roman" w:hAnsi="Times New Roman"/>
          <w:caps w:val="0"/>
          <w:smallCaps w:val="0"/>
          <w:color w:val="auto"/>
        </w:rPr>
        <w:t>》</w:t>
      </w:r>
      <w:r>
        <w:rPr>
          <w:rFonts w:hint="eastAsia" w:ascii="Times New Roman" w:hAnsi="Times New Roman"/>
          <w:caps w:val="0"/>
          <w:smallCaps w:val="0"/>
          <w:color w:val="auto"/>
        </w:rPr>
        <w:t>（GB31571-2015）</w:t>
      </w:r>
      <w:r>
        <w:rPr>
          <w:rFonts w:hint="eastAsia" w:ascii="Times New Roman" w:hAnsi="Times New Roman"/>
          <w:caps w:val="0"/>
          <w:smallCaps w:val="0"/>
          <w:color w:val="auto"/>
          <w:lang w:eastAsia="zh-CN"/>
        </w:rPr>
        <w:t>、</w:t>
      </w:r>
      <w:r>
        <w:rPr>
          <w:rFonts w:hint="eastAsia" w:ascii="Times New Roman" w:hAnsi="Times New Roman"/>
          <w:caps w:val="0"/>
          <w:smallCaps w:val="0"/>
          <w:color w:val="auto"/>
          <w:sz w:val="24"/>
          <w:szCs w:val="24"/>
        </w:rPr>
        <w:t>《</w:t>
      </w:r>
      <w:r>
        <w:rPr>
          <w:rFonts w:hint="eastAsia" w:ascii="Times New Roman" w:hAnsi="Times New Roman"/>
          <w:caps w:val="0"/>
          <w:smallCaps w:val="0"/>
          <w:color w:val="auto"/>
          <w:sz w:val="24"/>
          <w:szCs w:val="24"/>
          <w:lang w:eastAsia="zh-CN"/>
        </w:rPr>
        <w:t>合成树脂</w:t>
      </w:r>
      <w:r>
        <w:rPr>
          <w:rFonts w:hint="eastAsia" w:ascii="Times New Roman" w:hAnsi="Times New Roman"/>
          <w:caps w:val="0"/>
          <w:smallCaps w:val="0"/>
          <w:color w:val="auto"/>
          <w:sz w:val="24"/>
          <w:szCs w:val="24"/>
        </w:rPr>
        <w:t>工业污染物排放标准》（</w:t>
      </w:r>
      <w:r>
        <w:rPr>
          <w:rFonts w:ascii="Times New Roman" w:hAnsi="Times New Roman"/>
          <w:caps w:val="0"/>
          <w:smallCaps w:val="0"/>
          <w:color w:val="auto"/>
          <w:sz w:val="24"/>
          <w:szCs w:val="24"/>
        </w:rPr>
        <w:t>GB3157</w:t>
      </w:r>
      <w:r>
        <w:rPr>
          <w:rFonts w:hint="eastAsia" w:ascii="Times New Roman" w:hAnsi="Times New Roman"/>
          <w:caps w:val="0"/>
          <w:smallCaps w:val="0"/>
          <w:color w:val="auto"/>
          <w:sz w:val="24"/>
          <w:szCs w:val="24"/>
          <w:lang w:val="en-US" w:eastAsia="zh-CN"/>
        </w:rPr>
        <w:t>2</w:t>
      </w:r>
      <w:r>
        <w:rPr>
          <w:rFonts w:ascii="Times New Roman" w:hAnsi="Times New Roman"/>
          <w:caps w:val="0"/>
          <w:smallCaps w:val="0"/>
          <w:color w:val="auto"/>
          <w:sz w:val="24"/>
          <w:szCs w:val="24"/>
        </w:rPr>
        <w:t>-2015</w:t>
      </w:r>
      <w:r>
        <w:rPr>
          <w:rFonts w:hint="eastAsia" w:ascii="Times New Roman" w:hAnsi="Times New Roman"/>
          <w:caps w:val="0"/>
          <w:smallCaps w:val="0"/>
          <w:color w:val="auto"/>
          <w:sz w:val="24"/>
          <w:szCs w:val="24"/>
        </w:rPr>
        <w:t>）</w:t>
      </w:r>
      <w:r>
        <w:rPr>
          <w:rFonts w:hint="eastAsia" w:ascii="Times New Roman" w:hAnsi="Times New Roman"/>
          <w:caps w:val="0"/>
          <w:smallCaps w:val="0"/>
          <w:color w:val="auto"/>
        </w:rPr>
        <w:t>及云溪区工业污水处理厂进水水质要求</w:t>
      </w:r>
      <w:r>
        <w:rPr>
          <w:rFonts w:hint="eastAsia"/>
          <w:caps w:val="0"/>
          <w:smallCaps w:val="0"/>
          <w:color w:val="auto"/>
          <w:lang w:val="en-US" w:eastAsia="zh-CN"/>
        </w:rPr>
        <w:t>后排入云溪污水厂进行深度处理，尾水最终排入长江</w:t>
      </w:r>
      <w:r>
        <w:rPr>
          <w:rFonts w:hint="eastAsia" w:ascii="Times New Roman" w:hAnsi="Times New Roman"/>
          <w:caps w:val="0"/>
          <w:smallCaps w:val="0"/>
          <w:color w:val="auto"/>
        </w:rPr>
        <w:t>；生活污水</w:t>
      </w:r>
      <w:r>
        <w:rPr>
          <w:rFonts w:hint="eastAsia"/>
          <w:caps w:val="0"/>
          <w:smallCaps w:val="0"/>
          <w:color w:val="auto"/>
          <w:lang w:val="en-US" w:eastAsia="zh-CN"/>
        </w:rPr>
        <w:t>经过化粪池预处理后达到</w:t>
      </w:r>
      <w:r>
        <w:rPr>
          <w:rFonts w:hint="eastAsia" w:ascii="Times New Roman" w:hAnsi="Times New Roman"/>
          <w:caps w:val="0"/>
          <w:smallCaps w:val="0"/>
          <w:color w:val="auto"/>
        </w:rPr>
        <w:t>《污水综合排放标准》GB8978-1996三级标准及</w:t>
      </w:r>
      <w:r>
        <w:rPr>
          <w:rFonts w:hint="eastAsia"/>
          <w:caps w:val="0"/>
          <w:smallCaps w:val="0"/>
          <w:color w:val="auto"/>
          <w:lang w:val="en-US" w:eastAsia="zh-CN"/>
        </w:rPr>
        <w:t>云溪区</w:t>
      </w:r>
      <w:r>
        <w:rPr>
          <w:rFonts w:hint="eastAsia" w:ascii="Times New Roman" w:hAnsi="Times New Roman"/>
          <w:caps w:val="0"/>
          <w:smallCaps w:val="0"/>
          <w:color w:val="auto"/>
        </w:rPr>
        <w:t>污水处理厂进水水质要求</w:t>
      </w:r>
      <w:r>
        <w:rPr>
          <w:rFonts w:hint="eastAsia"/>
          <w:caps w:val="0"/>
          <w:smallCaps w:val="0"/>
          <w:color w:val="auto"/>
          <w:lang w:val="en-US" w:eastAsia="zh-CN"/>
        </w:rPr>
        <w:t>后，</w:t>
      </w:r>
      <w:r>
        <w:rPr>
          <w:rFonts w:hint="eastAsia" w:ascii="Times New Roman" w:hAnsi="Times New Roman"/>
          <w:caps w:val="0"/>
          <w:smallCaps w:val="0"/>
          <w:color w:val="auto"/>
        </w:rPr>
        <w:t>经生活污水管线送云溪</w:t>
      </w:r>
      <w:r>
        <w:rPr>
          <w:rFonts w:hint="eastAsia"/>
          <w:caps w:val="0"/>
          <w:smallCaps w:val="0"/>
          <w:color w:val="auto"/>
          <w:lang w:val="en-US" w:eastAsia="zh-CN"/>
        </w:rPr>
        <w:t>区</w:t>
      </w:r>
      <w:r>
        <w:rPr>
          <w:rFonts w:hint="eastAsia" w:ascii="Times New Roman" w:hAnsi="Times New Roman"/>
          <w:caps w:val="0"/>
          <w:smallCaps w:val="0"/>
          <w:color w:val="auto"/>
        </w:rPr>
        <w:t>污水处理厂进一步处理</w:t>
      </w:r>
      <w:r>
        <w:rPr>
          <w:rFonts w:hint="eastAsia"/>
          <w:caps w:val="0"/>
          <w:smallCaps w:val="0"/>
          <w:color w:val="auto"/>
          <w:lang w:eastAsia="zh-CN"/>
        </w:rPr>
        <w:t>，</w:t>
      </w:r>
      <w:r>
        <w:rPr>
          <w:rFonts w:hint="eastAsia"/>
          <w:caps w:val="0"/>
          <w:smallCaps w:val="0"/>
          <w:color w:val="auto"/>
          <w:lang w:val="en-US" w:eastAsia="zh-CN"/>
        </w:rPr>
        <w:t>尾水最终排入长江。</w:t>
      </w:r>
      <w:r>
        <w:rPr>
          <w:rFonts w:hint="eastAsia"/>
          <w:color w:val="auto"/>
          <w:lang w:val="en-US" w:eastAsia="zh-CN"/>
        </w:rPr>
        <w:t>现有</w:t>
      </w:r>
      <w:r>
        <w:rPr>
          <w:rFonts w:hint="eastAsia"/>
          <w:color w:val="auto"/>
        </w:rPr>
        <w:t>工程水平衡见图</w:t>
      </w:r>
      <w:r>
        <w:rPr>
          <w:rFonts w:hint="eastAsia"/>
          <w:color w:val="auto"/>
          <w:lang w:val="en-US" w:eastAsia="zh-CN"/>
        </w:rPr>
        <w:t>3.1</w:t>
      </w:r>
      <w:r>
        <w:rPr>
          <w:rFonts w:hint="eastAsia"/>
          <w:color w:val="auto"/>
        </w:rPr>
        <w:t>-1，表</w:t>
      </w:r>
      <w:r>
        <w:rPr>
          <w:rFonts w:hint="eastAsia"/>
          <w:color w:val="auto"/>
          <w:lang w:val="en-US" w:eastAsia="zh-CN"/>
        </w:rPr>
        <w:t>3.1</w:t>
      </w:r>
      <w:r>
        <w:rPr>
          <w:rFonts w:hint="eastAsia"/>
          <w:color w:val="auto"/>
        </w:rPr>
        <w:t>-8。</w:t>
      </w:r>
    </w:p>
    <w:p>
      <w:pPr>
        <w:pStyle w:val="36"/>
        <w:bidi w:val="0"/>
        <w:rPr>
          <w:rFonts w:ascii="Times New Roman" w:hAnsi="Times New Roman"/>
          <w:caps w:val="0"/>
          <w:smallCaps w:val="0"/>
          <w:color w:val="auto"/>
          <w:sz w:val="24"/>
          <w:szCs w:val="24"/>
        </w:rPr>
      </w:pPr>
      <w:r>
        <w:rPr>
          <w:rFonts w:hint="eastAsia" w:ascii="Times New Roman" w:hAnsi="Times New Roman"/>
          <w:caps w:val="0"/>
          <w:smallCaps w:val="0"/>
          <w:color w:val="auto"/>
          <w:sz w:val="24"/>
          <w:szCs w:val="24"/>
        </w:rPr>
        <w:t>表</w:t>
      </w:r>
      <w:r>
        <w:rPr>
          <w:rFonts w:hint="eastAsia"/>
          <w:caps w:val="0"/>
          <w:smallCaps w:val="0"/>
          <w:color w:val="auto"/>
          <w:sz w:val="24"/>
          <w:szCs w:val="24"/>
          <w:lang w:val="en-US" w:eastAsia="zh-CN"/>
        </w:rPr>
        <w:t>3.1</w:t>
      </w:r>
      <w:r>
        <w:rPr>
          <w:rFonts w:hint="eastAsia" w:ascii="Times New Roman" w:hAnsi="Times New Roman"/>
          <w:caps w:val="0"/>
          <w:smallCaps w:val="0"/>
          <w:color w:val="auto"/>
          <w:sz w:val="24"/>
          <w:szCs w:val="24"/>
        </w:rPr>
        <w:t>-8</w:t>
      </w:r>
      <w:r>
        <w:rPr>
          <w:rFonts w:ascii="Times New Roman" w:hAnsi="Times New Roman"/>
          <w:caps w:val="0"/>
          <w:smallCaps w:val="0"/>
          <w:color w:val="auto"/>
          <w:sz w:val="24"/>
          <w:szCs w:val="24"/>
        </w:rPr>
        <w:t xml:space="preserve">   </w:t>
      </w:r>
      <w:r>
        <w:rPr>
          <w:rFonts w:hint="eastAsia" w:ascii="Times New Roman" w:hAnsi="Times New Roman"/>
          <w:caps w:val="0"/>
          <w:smallCaps w:val="0"/>
          <w:color w:val="auto"/>
          <w:sz w:val="24"/>
          <w:szCs w:val="24"/>
          <w:lang w:val="en-US" w:eastAsia="zh-CN"/>
        </w:rPr>
        <w:t>现有工程</w:t>
      </w:r>
      <w:r>
        <w:rPr>
          <w:rFonts w:hint="eastAsia" w:ascii="Times New Roman" w:hAnsi="Times New Roman"/>
          <w:caps w:val="0"/>
          <w:smallCaps w:val="0"/>
          <w:color w:val="auto"/>
          <w:sz w:val="24"/>
          <w:szCs w:val="24"/>
          <w:lang w:eastAsia="zh-CN"/>
        </w:rPr>
        <w:t>全厂</w:t>
      </w:r>
      <w:r>
        <w:rPr>
          <w:rFonts w:hint="eastAsia" w:ascii="Times New Roman" w:hAnsi="Times New Roman"/>
          <w:caps w:val="0"/>
          <w:smallCaps w:val="0"/>
          <w:color w:val="auto"/>
          <w:sz w:val="24"/>
          <w:szCs w:val="24"/>
        </w:rPr>
        <w:t>水量平衡表</w:t>
      </w:r>
      <w:r>
        <w:rPr>
          <w:rFonts w:ascii="Times New Roman" w:hAnsi="Times New Roman"/>
          <w:caps w:val="0"/>
          <w:smallCaps w:val="0"/>
          <w:color w:val="auto"/>
          <w:sz w:val="24"/>
          <w:szCs w:val="24"/>
        </w:rPr>
        <w:t xml:space="preserve">     </w:t>
      </w:r>
      <w:r>
        <w:rPr>
          <w:rFonts w:hint="eastAsia" w:ascii="Times New Roman" w:hAnsi="Times New Roman"/>
          <w:caps w:val="0"/>
          <w:smallCaps w:val="0"/>
          <w:color w:val="auto"/>
          <w:sz w:val="24"/>
          <w:szCs w:val="24"/>
        </w:rPr>
        <w:t xml:space="preserve"> 单位：</w:t>
      </w:r>
      <w:r>
        <w:rPr>
          <w:rFonts w:ascii="Times New Roman" w:hAnsi="Times New Roman"/>
          <w:caps w:val="0"/>
          <w:smallCaps w:val="0"/>
          <w:color w:val="auto"/>
          <w:sz w:val="24"/>
          <w:szCs w:val="24"/>
        </w:rPr>
        <w:t>m</w:t>
      </w:r>
      <w:r>
        <w:rPr>
          <w:rFonts w:ascii="Times New Roman" w:hAnsi="Times New Roman"/>
          <w:caps w:val="0"/>
          <w:smallCaps w:val="0"/>
          <w:color w:val="auto"/>
          <w:sz w:val="24"/>
          <w:szCs w:val="24"/>
          <w:vertAlign w:val="superscript"/>
        </w:rPr>
        <w:t>3</w:t>
      </w:r>
      <w:r>
        <w:rPr>
          <w:rFonts w:ascii="Times New Roman" w:hAnsi="Times New Roman"/>
          <w:caps w:val="0"/>
          <w:smallCaps w:val="0"/>
          <w:color w:val="auto"/>
          <w:sz w:val="24"/>
          <w:szCs w:val="24"/>
        </w:rPr>
        <w:t>/d</w:t>
      </w:r>
    </w:p>
    <w:tbl>
      <w:tblPr>
        <w:tblStyle w:val="27"/>
        <w:tblW w:w="501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69"/>
        <w:gridCol w:w="2096"/>
        <w:gridCol w:w="986"/>
        <w:gridCol w:w="1317"/>
        <w:gridCol w:w="795"/>
        <w:gridCol w:w="850"/>
        <w:gridCol w:w="1126"/>
        <w:gridCol w:w="16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04" w:type="pct"/>
            <w:tcBorders>
              <w:tl2br w:val="nil"/>
              <w:tr2bl w:val="nil"/>
            </w:tcBorders>
            <w:noWrap w:val="0"/>
            <w:vAlign w:val="center"/>
          </w:tcPr>
          <w:p>
            <w:pPr>
              <w:spacing w:line="350" w:lineRule="exact"/>
              <w:jc w:val="center"/>
              <w:rPr>
                <w:rFonts w:ascii="Times New Roman" w:hAnsi="Times New Roman"/>
                <w:b/>
                <w:caps w:val="0"/>
                <w:smallCaps w:val="0"/>
                <w:color w:val="auto"/>
                <w:szCs w:val="21"/>
              </w:rPr>
            </w:pPr>
            <w:r>
              <w:rPr>
                <w:rFonts w:ascii="Times New Roman" w:hAnsi="Times New Roman"/>
                <w:b/>
                <w:caps w:val="0"/>
                <w:smallCaps w:val="0"/>
                <w:color w:val="auto"/>
                <w:szCs w:val="21"/>
              </w:rPr>
              <w:t>序号</w:t>
            </w:r>
          </w:p>
        </w:tc>
        <w:tc>
          <w:tcPr>
            <w:tcW w:w="1120" w:type="pct"/>
            <w:tcBorders>
              <w:tl2br w:val="nil"/>
              <w:tr2bl w:val="nil"/>
            </w:tcBorders>
            <w:noWrap w:val="0"/>
            <w:vAlign w:val="center"/>
          </w:tcPr>
          <w:p>
            <w:pPr>
              <w:spacing w:line="350" w:lineRule="exact"/>
              <w:jc w:val="center"/>
              <w:rPr>
                <w:rFonts w:ascii="Times New Roman" w:hAnsi="Times New Roman"/>
                <w:b/>
                <w:caps w:val="0"/>
                <w:smallCaps w:val="0"/>
                <w:color w:val="auto"/>
                <w:szCs w:val="21"/>
              </w:rPr>
            </w:pPr>
            <w:r>
              <w:rPr>
                <w:rFonts w:ascii="Times New Roman" w:hAnsi="Times New Roman"/>
                <w:b/>
                <w:caps w:val="0"/>
                <w:smallCaps w:val="0"/>
                <w:color w:val="auto"/>
                <w:szCs w:val="21"/>
              </w:rPr>
              <w:t>用水工序</w:t>
            </w:r>
          </w:p>
        </w:tc>
        <w:tc>
          <w:tcPr>
            <w:tcW w:w="527" w:type="pct"/>
            <w:tcBorders>
              <w:tl2br w:val="nil"/>
              <w:tr2bl w:val="nil"/>
            </w:tcBorders>
            <w:noWrap w:val="0"/>
            <w:vAlign w:val="center"/>
          </w:tcPr>
          <w:p>
            <w:pPr>
              <w:spacing w:line="350" w:lineRule="exact"/>
              <w:jc w:val="center"/>
              <w:rPr>
                <w:rFonts w:ascii="Times New Roman" w:hAnsi="Times New Roman"/>
                <w:b/>
                <w:caps w:val="0"/>
                <w:smallCaps w:val="0"/>
                <w:color w:val="auto"/>
                <w:szCs w:val="21"/>
              </w:rPr>
            </w:pPr>
            <w:r>
              <w:rPr>
                <w:rFonts w:ascii="Times New Roman" w:hAnsi="Times New Roman"/>
                <w:b/>
                <w:caps w:val="0"/>
                <w:smallCaps w:val="0"/>
                <w:color w:val="auto"/>
                <w:szCs w:val="21"/>
              </w:rPr>
              <w:t>新鲜水</w:t>
            </w:r>
          </w:p>
          <w:p>
            <w:pPr>
              <w:spacing w:line="350" w:lineRule="exact"/>
              <w:jc w:val="center"/>
              <w:rPr>
                <w:rFonts w:ascii="Times New Roman" w:hAnsi="Times New Roman"/>
                <w:b/>
                <w:caps w:val="0"/>
                <w:smallCaps w:val="0"/>
                <w:color w:val="auto"/>
                <w:szCs w:val="21"/>
              </w:rPr>
            </w:pPr>
            <w:r>
              <w:rPr>
                <w:rFonts w:ascii="Times New Roman" w:hAnsi="Times New Roman"/>
                <w:b/>
                <w:caps w:val="0"/>
                <w:smallCaps w:val="0"/>
                <w:color w:val="auto"/>
                <w:szCs w:val="21"/>
              </w:rPr>
              <w:t>用量</w:t>
            </w:r>
          </w:p>
        </w:tc>
        <w:tc>
          <w:tcPr>
            <w:tcW w:w="704" w:type="pct"/>
            <w:tcBorders>
              <w:tl2br w:val="nil"/>
              <w:tr2bl w:val="nil"/>
            </w:tcBorders>
            <w:noWrap w:val="0"/>
            <w:vAlign w:val="center"/>
          </w:tcPr>
          <w:p>
            <w:pPr>
              <w:spacing w:line="350" w:lineRule="exact"/>
              <w:jc w:val="center"/>
              <w:rPr>
                <w:rFonts w:ascii="Times New Roman" w:hAnsi="Times New Roman"/>
                <w:b/>
                <w:caps w:val="0"/>
                <w:smallCaps w:val="0"/>
                <w:color w:val="auto"/>
                <w:szCs w:val="21"/>
              </w:rPr>
            </w:pPr>
            <w:r>
              <w:rPr>
                <w:rFonts w:ascii="Times New Roman" w:hAnsi="Times New Roman"/>
                <w:b/>
                <w:caps w:val="0"/>
                <w:smallCaps w:val="0"/>
                <w:color w:val="auto"/>
                <w:szCs w:val="21"/>
              </w:rPr>
              <w:t>原料带水及生成水量</w:t>
            </w:r>
          </w:p>
        </w:tc>
        <w:tc>
          <w:tcPr>
            <w:tcW w:w="425" w:type="pct"/>
            <w:tcBorders>
              <w:tl2br w:val="nil"/>
              <w:tr2bl w:val="nil"/>
            </w:tcBorders>
            <w:noWrap w:val="0"/>
            <w:vAlign w:val="center"/>
          </w:tcPr>
          <w:p>
            <w:pPr>
              <w:spacing w:line="350" w:lineRule="exact"/>
              <w:jc w:val="center"/>
              <w:rPr>
                <w:rFonts w:ascii="Times New Roman" w:hAnsi="Times New Roman"/>
                <w:b/>
                <w:caps w:val="0"/>
                <w:smallCaps w:val="0"/>
                <w:color w:val="auto"/>
                <w:szCs w:val="21"/>
              </w:rPr>
            </w:pPr>
            <w:r>
              <w:rPr>
                <w:rFonts w:ascii="Times New Roman" w:hAnsi="Times New Roman"/>
                <w:b/>
                <w:caps w:val="0"/>
                <w:smallCaps w:val="0"/>
                <w:color w:val="auto"/>
                <w:szCs w:val="21"/>
              </w:rPr>
              <w:t>循环</w:t>
            </w:r>
          </w:p>
          <w:p>
            <w:pPr>
              <w:spacing w:line="350" w:lineRule="exact"/>
              <w:jc w:val="center"/>
              <w:rPr>
                <w:rFonts w:ascii="Times New Roman" w:hAnsi="Times New Roman"/>
                <w:b/>
                <w:caps w:val="0"/>
                <w:smallCaps w:val="0"/>
                <w:color w:val="auto"/>
                <w:szCs w:val="21"/>
              </w:rPr>
            </w:pPr>
            <w:r>
              <w:rPr>
                <w:rFonts w:ascii="Times New Roman" w:hAnsi="Times New Roman"/>
                <w:b/>
                <w:caps w:val="0"/>
                <w:smallCaps w:val="0"/>
                <w:color w:val="auto"/>
                <w:szCs w:val="21"/>
              </w:rPr>
              <w:t>水量</w:t>
            </w:r>
          </w:p>
        </w:tc>
        <w:tc>
          <w:tcPr>
            <w:tcW w:w="454" w:type="pct"/>
            <w:tcBorders>
              <w:tl2br w:val="nil"/>
              <w:tr2bl w:val="nil"/>
            </w:tcBorders>
            <w:noWrap w:val="0"/>
            <w:vAlign w:val="center"/>
          </w:tcPr>
          <w:p>
            <w:pPr>
              <w:spacing w:line="350" w:lineRule="exact"/>
              <w:jc w:val="center"/>
              <w:rPr>
                <w:rFonts w:ascii="Times New Roman" w:hAnsi="Times New Roman"/>
                <w:b/>
                <w:caps w:val="0"/>
                <w:smallCaps w:val="0"/>
                <w:color w:val="auto"/>
                <w:szCs w:val="21"/>
              </w:rPr>
            </w:pPr>
            <w:r>
              <w:rPr>
                <w:rFonts w:ascii="Times New Roman" w:hAnsi="Times New Roman"/>
                <w:b/>
                <w:caps w:val="0"/>
                <w:smallCaps w:val="0"/>
                <w:color w:val="auto"/>
                <w:szCs w:val="21"/>
              </w:rPr>
              <w:t>消耗量</w:t>
            </w:r>
          </w:p>
        </w:tc>
        <w:tc>
          <w:tcPr>
            <w:tcW w:w="602" w:type="pct"/>
            <w:tcBorders>
              <w:tl2br w:val="nil"/>
              <w:tr2bl w:val="nil"/>
            </w:tcBorders>
            <w:noWrap w:val="0"/>
            <w:vAlign w:val="center"/>
          </w:tcPr>
          <w:p>
            <w:pPr>
              <w:spacing w:line="350" w:lineRule="exact"/>
              <w:jc w:val="center"/>
              <w:rPr>
                <w:rFonts w:ascii="Times New Roman" w:hAnsi="Times New Roman"/>
                <w:b/>
                <w:caps w:val="0"/>
                <w:smallCaps w:val="0"/>
                <w:color w:val="auto"/>
                <w:szCs w:val="21"/>
              </w:rPr>
            </w:pPr>
            <w:r>
              <w:rPr>
                <w:rFonts w:ascii="Times New Roman" w:hAnsi="Times New Roman"/>
                <w:b/>
                <w:caps w:val="0"/>
                <w:smallCaps w:val="0"/>
                <w:color w:val="auto"/>
                <w:szCs w:val="21"/>
              </w:rPr>
              <w:t>排放量</w:t>
            </w:r>
          </w:p>
        </w:tc>
        <w:tc>
          <w:tcPr>
            <w:tcW w:w="861" w:type="pct"/>
            <w:tcBorders>
              <w:tl2br w:val="nil"/>
              <w:tr2bl w:val="nil"/>
            </w:tcBorders>
            <w:noWrap w:val="0"/>
            <w:vAlign w:val="center"/>
          </w:tcPr>
          <w:p>
            <w:pPr>
              <w:spacing w:line="350" w:lineRule="exact"/>
              <w:jc w:val="center"/>
              <w:rPr>
                <w:rFonts w:ascii="Times New Roman" w:hAnsi="Times New Roman"/>
                <w:b/>
                <w:caps w:val="0"/>
                <w:smallCaps w:val="0"/>
                <w:color w:val="auto"/>
                <w:szCs w:val="21"/>
              </w:rPr>
            </w:pPr>
            <w:r>
              <w:rPr>
                <w:rFonts w:ascii="Times New Roman" w:hAnsi="Times New Roman"/>
                <w:b/>
                <w:caps w:val="0"/>
                <w:smallCaps w:val="0"/>
                <w:color w:val="auto"/>
                <w:szCs w:val="21"/>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35" w:hRule="atLeast"/>
          <w:jc w:val="center"/>
        </w:trPr>
        <w:tc>
          <w:tcPr>
            <w:tcW w:w="304"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1</w:t>
            </w:r>
          </w:p>
        </w:tc>
        <w:tc>
          <w:tcPr>
            <w:tcW w:w="1120" w:type="pct"/>
            <w:tcBorders>
              <w:tl2br w:val="nil"/>
              <w:tr2bl w:val="nil"/>
            </w:tcBorders>
            <w:noWrap w:val="0"/>
            <w:vAlign w:val="center"/>
          </w:tcPr>
          <w:p>
            <w:pPr>
              <w:spacing w:line="350" w:lineRule="exact"/>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eastAsia="zh-CN"/>
              </w:rPr>
              <w:t>二氯丙烷生产线</w:t>
            </w:r>
          </w:p>
        </w:tc>
        <w:tc>
          <w:tcPr>
            <w:tcW w:w="527" w:type="pct"/>
            <w:tcBorders>
              <w:tl2br w:val="nil"/>
              <w:tr2bl w:val="nil"/>
            </w:tcBorders>
            <w:noWrap w:val="0"/>
            <w:vAlign w:val="center"/>
          </w:tcPr>
          <w:p>
            <w:pPr>
              <w:jc w:val="center"/>
              <w:rPr>
                <w:rFonts w:ascii="Times New Roman" w:hAnsi="Times New Roman"/>
                <w:caps w:val="0"/>
                <w:smallCaps w:val="0"/>
                <w:color w:val="auto"/>
                <w:szCs w:val="21"/>
              </w:rPr>
            </w:pPr>
          </w:p>
        </w:tc>
        <w:tc>
          <w:tcPr>
            <w:tcW w:w="704" w:type="pct"/>
            <w:tcBorders>
              <w:tl2br w:val="nil"/>
              <w:tr2bl w:val="nil"/>
            </w:tcBorders>
            <w:noWrap w:val="0"/>
            <w:vAlign w:val="center"/>
          </w:tcPr>
          <w:p>
            <w:pPr>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val="en-US" w:eastAsia="zh-CN"/>
              </w:rPr>
              <w:t>2.4</w:t>
            </w:r>
          </w:p>
        </w:tc>
        <w:tc>
          <w:tcPr>
            <w:tcW w:w="425" w:type="pct"/>
            <w:tcBorders>
              <w:tl2br w:val="nil"/>
              <w:tr2bl w:val="nil"/>
            </w:tcBorders>
            <w:noWrap w:val="0"/>
            <w:vAlign w:val="center"/>
          </w:tcPr>
          <w:p>
            <w:pPr>
              <w:jc w:val="center"/>
              <w:rPr>
                <w:rFonts w:ascii="Times New Roman" w:hAnsi="Times New Roman" w:cs="宋体"/>
                <w:caps w:val="0"/>
                <w:smallCaps w:val="0"/>
                <w:color w:val="auto"/>
                <w:szCs w:val="21"/>
              </w:rPr>
            </w:pPr>
          </w:p>
        </w:tc>
        <w:tc>
          <w:tcPr>
            <w:tcW w:w="454" w:type="pct"/>
            <w:tcBorders>
              <w:tl2br w:val="nil"/>
              <w:tr2bl w:val="nil"/>
            </w:tcBorders>
            <w:noWrap w:val="0"/>
            <w:vAlign w:val="center"/>
          </w:tcPr>
          <w:p>
            <w:pPr>
              <w:jc w:val="center"/>
              <w:rPr>
                <w:rFonts w:ascii="Times New Roman" w:hAnsi="Times New Roman"/>
                <w:caps w:val="0"/>
                <w:smallCaps w:val="0"/>
                <w:color w:val="auto"/>
                <w:szCs w:val="21"/>
              </w:rPr>
            </w:pPr>
          </w:p>
        </w:tc>
        <w:tc>
          <w:tcPr>
            <w:tcW w:w="602" w:type="pct"/>
            <w:tcBorders>
              <w:tl2br w:val="nil"/>
              <w:tr2bl w:val="nil"/>
            </w:tcBorders>
            <w:noWrap w:val="0"/>
            <w:vAlign w:val="center"/>
          </w:tcPr>
          <w:p>
            <w:pPr>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val="en-US" w:eastAsia="zh-CN"/>
              </w:rPr>
              <w:t>2.7</w:t>
            </w:r>
          </w:p>
        </w:tc>
        <w:tc>
          <w:tcPr>
            <w:tcW w:w="861" w:type="pct"/>
            <w:vMerge w:val="restart"/>
            <w:tcBorders>
              <w:tl2br w:val="nil"/>
              <w:tr2bl w:val="nil"/>
            </w:tcBorders>
            <w:noWrap w:val="0"/>
            <w:vAlign w:val="center"/>
          </w:tcPr>
          <w:p>
            <w:pPr>
              <w:spacing w:line="350" w:lineRule="exact"/>
              <w:jc w:val="center"/>
              <w:rPr>
                <w:rFonts w:hint="default"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eastAsia="zh-CN"/>
              </w:rPr>
              <w:t>自建污水处理站生化处理后</w:t>
            </w:r>
            <w:r>
              <w:rPr>
                <w:rFonts w:hint="eastAsia" w:ascii="Times New Roman" w:hAnsi="Times New Roman"/>
                <w:caps w:val="0"/>
                <w:smallCaps w:val="0"/>
                <w:color w:val="auto"/>
                <w:szCs w:val="21"/>
                <w:lang w:val="en-US" w:eastAsia="zh-CN"/>
              </w:rPr>
              <w:t>排</w:t>
            </w:r>
            <w:r>
              <w:rPr>
                <w:rFonts w:hint="eastAsia" w:ascii="Times New Roman" w:hAnsi="Times New Roman"/>
                <w:caps w:val="0"/>
                <w:smallCaps w:val="0"/>
                <w:color w:val="auto"/>
                <w:szCs w:val="21"/>
                <w:lang w:eastAsia="zh-CN"/>
              </w:rPr>
              <w:t>入</w:t>
            </w:r>
            <w:r>
              <w:rPr>
                <w:rFonts w:hint="eastAsia" w:ascii="Times New Roman" w:hAnsi="Times New Roman"/>
                <w:caps w:val="0"/>
                <w:smallCaps w:val="0"/>
                <w:color w:val="auto"/>
                <w:szCs w:val="21"/>
                <w:lang w:val="en-US" w:eastAsia="zh-CN"/>
              </w:rPr>
              <w:t>云溪区</w:t>
            </w:r>
            <w:r>
              <w:rPr>
                <w:rFonts w:hint="eastAsia" w:ascii="Times New Roman" w:hAnsi="Times New Roman"/>
                <w:caps w:val="0"/>
                <w:smallCaps w:val="0"/>
                <w:color w:val="auto"/>
                <w:szCs w:val="21"/>
              </w:rPr>
              <w:t>污水处理厂</w:t>
            </w:r>
            <w:r>
              <w:rPr>
                <w:rFonts w:hint="eastAsia" w:ascii="Times New Roman" w:hAnsi="Times New Roman"/>
                <w:caps w:val="0"/>
                <w:smallCaps w:val="0"/>
                <w:color w:val="auto"/>
                <w:szCs w:val="21"/>
                <w:lang w:eastAsia="zh-CN"/>
              </w:rPr>
              <w:t>（</w:t>
            </w:r>
            <w:r>
              <w:rPr>
                <w:rFonts w:hint="eastAsia" w:ascii="Times New Roman" w:hAnsi="Times New Roman"/>
                <w:caps w:val="0"/>
                <w:smallCaps w:val="0"/>
                <w:color w:val="auto"/>
                <w:szCs w:val="21"/>
                <w:lang w:val="en-US" w:eastAsia="zh-CN"/>
              </w:rPr>
              <w:t>工业</w:t>
            </w:r>
            <w:r>
              <w:rPr>
                <w:rFonts w:hint="eastAsia" w:ascii="Times New Roman" w:hAnsi="Times New Roman"/>
                <w:caps w:val="0"/>
                <w:smallCaps w:val="0"/>
                <w:color w:val="auto"/>
                <w:szCs w:val="21"/>
                <w:lang w:eastAsia="zh-CN"/>
              </w:rPr>
              <w:t>），</w:t>
            </w:r>
            <w:r>
              <w:rPr>
                <w:rFonts w:hint="eastAsia" w:ascii="Times New Roman" w:hAnsi="Times New Roman"/>
                <w:caps w:val="0"/>
                <w:smallCaps w:val="0"/>
                <w:color w:val="auto"/>
                <w:szCs w:val="21"/>
                <w:lang w:val="en-US" w:eastAsia="zh-CN"/>
              </w:rPr>
              <w:t>最终排入长江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35" w:hRule="atLeast"/>
          <w:jc w:val="center"/>
        </w:trPr>
        <w:tc>
          <w:tcPr>
            <w:tcW w:w="304"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3</w:t>
            </w:r>
          </w:p>
        </w:tc>
        <w:tc>
          <w:tcPr>
            <w:tcW w:w="1120"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lang w:eastAsia="zh-CN"/>
              </w:rPr>
              <w:t>聚酯</w:t>
            </w:r>
            <w:r>
              <w:rPr>
                <w:rFonts w:hint="eastAsia" w:ascii="Times New Roman" w:hAnsi="Times New Roman"/>
                <w:caps w:val="0"/>
                <w:smallCaps w:val="0"/>
                <w:color w:val="auto"/>
                <w:szCs w:val="21"/>
              </w:rPr>
              <w:t>分散剂生产线</w:t>
            </w:r>
          </w:p>
        </w:tc>
        <w:tc>
          <w:tcPr>
            <w:tcW w:w="527" w:type="pct"/>
            <w:tcBorders>
              <w:tl2br w:val="nil"/>
              <w:tr2bl w:val="nil"/>
            </w:tcBorders>
            <w:noWrap w:val="0"/>
            <w:vAlign w:val="center"/>
          </w:tcPr>
          <w:p>
            <w:pPr>
              <w:jc w:val="center"/>
              <w:rPr>
                <w:rFonts w:ascii="Times New Roman" w:hAnsi="Times New Roman"/>
                <w:caps w:val="0"/>
                <w:smallCaps w:val="0"/>
                <w:color w:val="auto"/>
                <w:szCs w:val="21"/>
              </w:rPr>
            </w:pPr>
          </w:p>
        </w:tc>
        <w:tc>
          <w:tcPr>
            <w:tcW w:w="704" w:type="pct"/>
            <w:tcBorders>
              <w:tl2br w:val="nil"/>
              <w:tr2bl w:val="nil"/>
            </w:tcBorders>
            <w:noWrap w:val="0"/>
            <w:vAlign w:val="center"/>
          </w:tcPr>
          <w:p>
            <w:pPr>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0.2</w:t>
            </w:r>
          </w:p>
        </w:tc>
        <w:tc>
          <w:tcPr>
            <w:tcW w:w="425" w:type="pct"/>
            <w:tcBorders>
              <w:tl2br w:val="nil"/>
              <w:tr2bl w:val="nil"/>
            </w:tcBorders>
            <w:noWrap w:val="0"/>
            <w:vAlign w:val="center"/>
          </w:tcPr>
          <w:p>
            <w:pPr>
              <w:jc w:val="center"/>
              <w:rPr>
                <w:rFonts w:ascii="Times New Roman" w:hAnsi="Times New Roman" w:cs="宋体"/>
                <w:caps w:val="0"/>
                <w:smallCaps w:val="0"/>
                <w:color w:val="auto"/>
                <w:szCs w:val="21"/>
              </w:rPr>
            </w:pPr>
          </w:p>
        </w:tc>
        <w:tc>
          <w:tcPr>
            <w:tcW w:w="454" w:type="pct"/>
            <w:tcBorders>
              <w:tl2br w:val="nil"/>
              <w:tr2bl w:val="nil"/>
            </w:tcBorders>
            <w:noWrap w:val="0"/>
            <w:vAlign w:val="center"/>
          </w:tcPr>
          <w:p>
            <w:pPr>
              <w:jc w:val="center"/>
              <w:rPr>
                <w:rFonts w:ascii="Times New Roman" w:hAnsi="Times New Roman"/>
                <w:caps w:val="0"/>
                <w:smallCaps w:val="0"/>
                <w:color w:val="auto"/>
                <w:szCs w:val="21"/>
              </w:rPr>
            </w:pPr>
          </w:p>
        </w:tc>
        <w:tc>
          <w:tcPr>
            <w:tcW w:w="602" w:type="pct"/>
            <w:tcBorders>
              <w:tl2br w:val="nil"/>
              <w:tr2bl w:val="nil"/>
            </w:tcBorders>
            <w:noWrap w:val="0"/>
            <w:vAlign w:val="center"/>
          </w:tcPr>
          <w:p>
            <w:pPr>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0.2</w:t>
            </w:r>
          </w:p>
        </w:tc>
        <w:tc>
          <w:tcPr>
            <w:tcW w:w="861" w:type="pct"/>
            <w:vMerge w:val="continue"/>
            <w:tcBorders>
              <w:tl2br w:val="nil"/>
              <w:tr2bl w:val="nil"/>
            </w:tcBorders>
            <w:noWrap w:val="0"/>
            <w:vAlign w:val="center"/>
          </w:tcPr>
          <w:p>
            <w:pPr>
              <w:spacing w:line="35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10" w:hRule="atLeast"/>
          <w:jc w:val="center"/>
        </w:trPr>
        <w:tc>
          <w:tcPr>
            <w:tcW w:w="304"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4</w:t>
            </w:r>
          </w:p>
        </w:tc>
        <w:tc>
          <w:tcPr>
            <w:tcW w:w="1120"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ascii="Times New Roman" w:hAnsi="Times New Roman"/>
                <w:caps w:val="0"/>
                <w:smallCaps w:val="0"/>
                <w:color w:val="auto"/>
                <w:szCs w:val="21"/>
              </w:rPr>
              <w:t>设备及地面冲洗水</w:t>
            </w:r>
          </w:p>
        </w:tc>
        <w:tc>
          <w:tcPr>
            <w:tcW w:w="527" w:type="pct"/>
            <w:tcBorders>
              <w:tl2br w:val="nil"/>
              <w:tr2bl w:val="nil"/>
            </w:tcBorders>
            <w:noWrap w:val="0"/>
            <w:vAlign w:val="center"/>
          </w:tcPr>
          <w:p>
            <w:pPr>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val="en-US" w:eastAsia="zh-CN"/>
              </w:rPr>
              <w:t>4.5</w:t>
            </w:r>
          </w:p>
        </w:tc>
        <w:tc>
          <w:tcPr>
            <w:tcW w:w="704" w:type="pct"/>
            <w:tcBorders>
              <w:tl2br w:val="nil"/>
              <w:tr2bl w:val="nil"/>
            </w:tcBorders>
            <w:noWrap w:val="0"/>
            <w:vAlign w:val="center"/>
          </w:tcPr>
          <w:p>
            <w:pPr>
              <w:jc w:val="center"/>
              <w:rPr>
                <w:rFonts w:ascii="Times New Roman" w:hAnsi="Times New Roman" w:cs="宋体"/>
                <w:caps w:val="0"/>
                <w:smallCaps w:val="0"/>
                <w:color w:val="auto"/>
                <w:szCs w:val="21"/>
              </w:rPr>
            </w:pPr>
          </w:p>
        </w:tc>
        <w:tc>
          <w:tcPr>
            <w:tcW w:w="425" w:type="pct"/>
            <w:tcBorders>
              <w:tl2br w:val="nil"/>
              <w:tr2bl w:val="nil"/>
            </w:tcBorders>
            <w:noWrap w:val="0"/>
            <w:vAlign w:val="center"/>
          </w:tcPr>
          <w:p>
            <w:pPr>
              <w:jc w:val="center"/>
              <w:rPr>
                <w:rFonts w:ascii="Times New Roman" w:hAnsi="Times New Roman"/>
                <w:caps w:val="0"/>
                <w:smallCaps w:val="0"/>
                <w:color w:val="auto"/>
                <w:szCs w:val="21"/>
              </w:rPr>
            </w:pPr>
          </w:p>
        </w:tc>
        <w:tc>
          <w:tcPr>
            <w:tcW w:w="454" w:type="pct"/>
            <w:tcBorders>
              <w:tl2br w:val="nil"/>
              <w:tr2bl w:val="nil"/>
            </w:tcBorders>
            <w:noWrap w:val="0"/>
            <w:vAlign w:val="center"/>
          </w:tcPr>
          <w:p>
            <w:pPr>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val="en-US" w:eastAsia="zh-CN"/>
              </w:rPr>
              <w:t>0.45</w:t>
            </w:r>
          </w:p>
        </w:tc>
        <w:tc>
          <w:tcPr>
            <w:tcW w:w="602" w:type="pct"/>
            <w:tcBorders>
              <w:tl2br w:val="nil"/>
              <w:tr2bl w:val="nil"/>
            </w:tcBorders>
            <w:noWrap w:val="0"/>
            <w:vAlign w:val="center"/>
          </w:tcPr>
          <w:p>
            <w:pPr>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val="en-US" w:eastAsia="zh-CN"/>
              </w:rPr>
              <w:t>4.05</w:t>
            </w:r>
          </w:p>
        </w:tc>
        <w:tc>
          <w:tcPr>
            <w:tcW w:w="861" w:type="pct"/>
            <w:vMerge w:val="continue"/>
            <w:tcBorders>
              <w:tl2br w:val="nil"/>
              <w:tr2bl w:val="nil"/>
            </w:tcBorders>
            <w:noWrap w:val="0"/>
            <w:vAlign w:val="center"/>
          </w:tcPr>
          <w:p>
            <w:pPr>
              <w:spacing w:line="350" w:lineRule="exact"/>
              <w:jc w:val="center"/>
              <w:rPr>
                <w:rFonts w:hint="default" w:ascii="Times New Roman" w:hAnsi="Times New Roman" w:eastAsia="宋体"/>
                <w:caps w:val="0"/>
                <w:smallCaps w:val="0"/>
                <w:color w:val="auto"/>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jc w:val="center"/>
        </w:trPr>
        <w:tc>
          <w:tcPr>
            <w:tcW w:w="304"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5</w:t>
            </w:r>
          </w:p>
        </w:tc>
        <w:tc>
          <w:tcPr>
            <w:tcW w:w="1120"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实验室化验</w:t>
            </w:r>
          </w:p>
        </w:tc>
        <w:tc>
          <w:tcPr>
            <w:tcW w:w="527" w:type="pct"/>
            <w:tcBorders>
              <w:tl2br w:val="nil"/>
              <w:tr2bl w:val="nil"/>
            </w:tcBorders>
            <w:noWrap w:val="0"/>
            <w:vAlign w:val="center"/>
          </w:tcPr>
          <w:p>
            <w:pPr>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val="en-US" w:eastAsia="zh-CN"/>
              </w:rPr>
              <w:t>1.6</w:t>
            </w:r>
          </w:p>
        </w:tc>
        <w:tc>
          <w:tcPr>
            <w:tcW w:w="704" w:type="pct"/>
            <w:tcBorders>
              <w:tl2br w:val="nil"/>
              <w:tr2bl w:val="nil"/>
            </w:tcBorders>
            <w:noWrap w:val="0"/>
            <w:vAlign w:val="center"/>
          </w:tcPr>
          <w:p>
            <w:pPr>
              <w:jc w:val="center"/>
              <w:rPr>
                <w:rFonts w:ascii="Times New Roman" w:hAnsi="Times New Roman" w:cs="宋体"/>
                <w:caps w:val="0"/>
                <w:smallCaps w:val="0"/>
                <w:color w:val="auto"/>
                <w:szCs w:val="21"/>
              </w:rPr>
            </w:pPr>
            <w:r>
              <w:rPr>
                <w:rFonts w:hint="eastAsia" w:ascii="Times New Roman" w:hAnsi="Times New Roman" w:cs="宋体"/>
                <w:caps w:val="0"/>
                <w:smallCaps w:val="0"/>
                <w:color w:val="auto"/>
                <w:szCs w:val="21"/>
              </w:rPr>
              <w:t>0</w:t>
            </w:r>
          </w:p>
        </w:tc>
        <w:tc>
          <w:tcPr>
            <w:tcW w:w="425" w:type="pct"/>
            <w:tcBorders>
              <w:tl2br w:val="nil"/>
              <w:tr2bl w:val="nil"/>
            </w:tcBorders>
            <w:noWrap w:val="0"/>
            <w:vAlign w:val="center"/>
          </w:tcPr>
          <w:p>
            <w:pPr>
              <w:jc w:val="center"/>
              <w:rPr>
                <w:rFonts w:ascii="Times New Roman" w:hAnsi="Times New Roman" w:cs="宋体"/>
                <w:caps w:val="0"/>
                <w:smallCaps w:val="0"/>
                <w:color w:val="auto"/>
                <w:szCs w:val="21"/>
              </w:rPr>
            </w:pPr>
            <w:r>
              <w:rPr>
                <w:rFonts w:hint="eastAsia" w:ascii="Times New Roman" w:hAnsi="Times New Roman" w:cs="宋体"/>
                <w:caps w:val="0"/>
                <w:smallCaps w:val="0"/>
                <w:color w:val="auto"/>
                <w:szCs w:val="21"/>
              </w:rPr>
              <w:t>0</w:t>
            </w:r>
          </w:p>
        </w:tc>
        <w:tc>
          <w:tcPr>
            <w:tcW w:w="454" w:type="pct"/>
            <w:tcBorders>
              <w:tl2br w:val="nil"/>
              <w:tr2bl w:val="nil"/>
            </w:tcBorders>
            <w:noWrap w:val="0"/>
            <w:vAlign w:val="center"/>
          </w:tcPr>
          <w:p>
            <w:pPr>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0.</w:t>
            </w:r>
            <w:r>
              <w:rPr>
                <w:rFonts w:hint="eastAsia" w:ascii="Times New Roman" w:hAnsi="Times New Roman"/>
                <w:caps w:val="0"/>
                <w:smallCaps w:val="0"/>
                <w:color w:val="auto"/>
                <w:szCs w:val="21"/>
                <w:lang w:val="en-US" w:eastAsia="zh-CN"/>
              </w:rPr>
              <w:t>4</w:t>
            </w:r>
          </w:p>
        </w:tc>
        <w:tc>
          <w:tcPr>
            <w:tcW w:w="602" w:type="pct"/>
            <w:tcBorders>
              <w:tl2br w:val="nil"/>
              <w:tr2bl w:val="nil"/>
            </w:tcBorders>
            <w:noWrap w:val="0"/>
            <w:vAlign w:val="center"/>
          </w:tcPr>
          <w:p>
            <w:pPr>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val="en-US" w:eastAsia="zh-CN"/>
              </w:rPr>
              <w:t>1.2</w:t>
            </w:r>
          </w:p>
        </w:tc>
        <w:tc>
          <w:tcPr>
            <w:tcW w:w="861" w:type="pct"/>
            <w:vMerge w:val="continue"/>
            <w:tcBorders>
              <w:tl2br w:val="nil"/>
              <w:tr2bl w:val="nil"/>
            </w:tcBorders>
            <w:noWrap w:val="0"/>
            <w:vAlign w:val="center"/>
          </w:tcPr>
          <w:p>
            <w:pPr>
              <w:widowControl/>
              <w:spacing w:line="35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jc w:val="center"/>
        </w:trPr>
        <w:tc>
          <w:tcPr>
            <w:tcW w:w="304"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6</w:t>
            </w:r>
          </w:p>
        </w:tc>
        <w:tc>
          <w:tcPr>
            <w:tcW w:w="1120"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水</w:t>
            </w:r>
            <w:r>
              <w:rPr>
                <w:rFonts w:hint="eastAsia" w:ascii="Times New Roman" w:hAnsi="Times New Roman"/>
                <w:caps w:val="0"/>
                <w:smallCaps w:val="0"/>
                <w:color w:val="auto"/>
                <w:szCs w:val="21"/>
                <w:lang w:eastAsia="zh-CN"/>
              </w:rPr>
              <w:t>喷射</w:t>
            </w:r>
            <w:r>
              <w:rPr>
                <w:rFonts w:hint="eastAsia" w:ascii="Times New Roman" w:hAnsi="Times New Roman"/>
                <w:caps w:val="0"/>
                <w:smallCaps w:val="0"/>
                <w:color w:val="auto"/>
                <w:szCs w:val="21"/>
              </w:rPr>
              <w:t>泵用水</w:t>
            </w:r>
          </w:p>
        </w:tc>
        <w:tc>
          <w:tcPr>
            <w:tcW w:w="527" w:type="pct"/>
            <w:tcBorders>
              <w:tl2br w:val="nil"/>
              <w:tr2bl w:val="nil"/>
            </w:tcBorders>
            <w:noWrap w:val="0"/>
            <w:vAlign w:val="center"/>
          </w:tcPr>
          <w:p>
            <w:pPr>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val="en-US" w:eastAsia="zh-CN"/>
              </w:rPr>
              <w:t>3</w:t>
            </w:r>
          </w:p>
        </w:tc>
        <w:tc>
          <w:tcPr>
            <w:tcW w:w="704" w:type="pct"/>
            <w:tcBorders>
              <w:tl2br w:val="nil"/>
              <w:tr2bl w:val="nil"/>
            </w:tcBorders>
            <w:noWrap w:val="0"/>
            <w:vAlign w:val="center"/>
          </w:tcPr>
          <w:p>
            <w:pPr>
              <w:jc w:val="center"/>
              <w:rPr>
                <w:rFonts w:ascii="Times New Roman" w:hAnsi="Times New Roman" w:cs="宋体"/>
                <w:caps w:val="0"/>
                <w:smallCaps w:val="0"/>
                <w:color w:val="auto"/>
                <w:szCs w:val="21"/>
              </w:rPr>
            </w:pPr>
          </w:p>
        </w:tc>
        <w:tc>
          <w:tcPr>
            <w:tcW w:w="425" w:type="pct"/>
            <w:tcBorders>
              <w:tl2br w:val="nil"/>
              <w:tr2bl w:val="nil"/>
            </w:tcBorders>
            <w:noWrap w:val="0"/>
            <w:vAlign w:val="center"/>
          </w:tcPr>
          <w:p>
            <w:pPr>
              <w:jc w:val="center"/>
              <w:rPr>
                <w:rFonts w:ascii="Times New Roman" w:hAnsi="Times New Roman" w:cs="宋体"/>
                <w:caps w:val="0"/>
                <w:smallCaps w:val="0"/>
                <w:color w:val="auto"/>
                <w:szCs w:val="21"/>
              </w:rPr>
            </w:pPr>
            <w:r>
              <w:rPr>
                <w:rFonts w:hint="eastAsia" w:ascii="Times New Roman" w:hAnsi="Times New Roman" w:cs="宋体"/>
                <w:caps w:val="0"/>
                <w:smallCaps w:val="0"/>
                <w:color w:val="auto"/>
                <w:szCs w:val="21"/>
              </w:rPr>
              <w:t>0</w:t>
            </w:r>
          </w:p>
        </w:tc>
        <w:tc>
          <w:tcPr>
            <w:tcW w:w="454" w:type="pct"/>
            <w:tcBorders>
              <w:tl2br w:val="nil"/>
              <w:tr2bl w:val="nil"/>
            </w:tcBorders>
            <w:noWrap w:val="0"/>
            <w:vAlign w:val="center"/>
          </w:tcPr>
          <w:p>
            <w:pPr>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1</w:t>
            </w:r>
            <w:r>
              <w:rPr>
                <w:rFonts w:hint="eastAsia" w:ascii="Times New Roman" w:hAnsi="Times New Roman"/>
                <w:caps w:val="0"/>
                <w:smallCaps w:val="0"/>
                <w:color w:val="auto"/>
                <w:szCs w:val="21"/>
                <w:lang w:val="en-US" w:eastAsia="zh-CN"/>
              </w:rPr>
              <w:t>.5</w:t>
            </w:r>
          </w:p>
        </w:tc>
        <w:tc>
          <w:tcPr>
            <w:tcW w:w="602" w:type="pct"/>
            <w:tcBorders>
              <w:tl2br w:val="nil"/>
              <w:tr2bl w:val="nil"/>
            </w:tcBorders>
            <w:noWrap w:val="0"/>
            <w:vAlign w:val="center"/>
          </w:tcPr>
          <w:p>
            <w:pPr>
              <w:jc w:val="center"/>
              <w:rPr>
                <w:rFonts w:ascii="Times New Roman" w:hAnsi="Times New Roman"/>
                <w:caps w:val="0"/>
                <w:smallCaps w:val="0"/>
                <w:color w:val="auto"/>
                <w:szCs w:val="21"/>
              </w:rPr>
            </w:pPr>
            <w:r>
              <w:rPr>
                <w:rFonts w:hint="eastAsia" w:ascii="Times New Roman" w:hAnsi="Times New Roman"/>
                <w:caps w:val="0"/>
                <w:smallCaps w:val="0"/>
                <w:color w:val="auto"/>
                <w:szCs w:val="21"/>
                <w:lang w:val="en-US" w:eastAsia="zh-CN"/>
              </w:rPr>
              <w:t>1</w:t>
            </w:r>
            <w:r>
              <w:rPr>
                <w:rFonts w:hint="eastAsia" w:ascii="Times New Roman" w:hAnsi="Times New Roman"/>
                <w:caps w:val="0"/>
                <w:smallCaps w:val="0"/>
                <w:color w:val="auto"/>
                <w:szCs w:val="21"/>
              </w:rPr>
              <w:t>.5</w:t>
            </w:r>
          </w:p>
        </w:tc>
        <w:tc>
          <w:tcPr>
            <w:tcW w:w="861" w:type="pct"/>
            <w:vMerge w:val="continue"/>
            <w:tcBorders>
              <w:tl2br w:val="nil"/>
              <w:tr2bl w:val="nil"/>
            </w:tcBorders>
            <w:noWrap w:val="0"/>
            <w:vAlign w:val="center"/>
          </w:tcPr>
          <w:p>
            <w:pPr>
              <w:widowControl/>
              <w:spacing w:line="35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jc w:val="center"/>
        </w:trPr>
        <w:tc>
          <w:tcPr>
            <w:tcW w:w="304"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7</w:t>
            </w:r>
          </w:p>
        </w:tc>
        <w:tc>
          <w:tcPr>
            <w:tcW w:w="1120"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碱液喷淋用水</w:t>
            </w:r>
          </w:p>
        </w:tc>
        <w:tc>
          <w:tcPr>
            <w:tcW w:w="527" w:type="pct"/>
            <w:tcBorders>
              <w:tl2br w:val="nil"/>
              <w:tr2bl w:val="nil"/>
            </w:tcBorders>
            <w:noWrap w:val="0"/>
            <w:vAlign w:val="center"/>
          </w:tcPr>
          <w:p>
            <w:pPr>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1</w:t>
            </w:r>
          </w:p>
        </w:tc>
        <w:tc>
          <w:tcPr>
            <w:tcW w:w="704" w:type="pct"/>
            <w:tcBorders>
              <w:tl2br w:val="nil"/>
              <w:tr2bl w:val="nil"/>
            </w:tcBorders>
            <w:noWrap w:val="0"/>
            <w:vAlign w:val="center"/>
          </w:tcPr>
          <w:p>
            <w:pPr>
              <w:jc w:val="center"/>
              <w:rPr>
                <w:rFonts w:ascii="Times New Roman" w:hAnsi="Times New Roman" w:cs="宋体"/>
                <w:caps w:val="0"/>
                <w:smallCaps w:val="0"/>
                <w:color w:val="auto"/>
                <w:szCs w:val="21"/>
              </w:rPr>
            </w:pPr>
            <w:r>
              <w:rPr>
                <w:rFonts w:hint="eastAsia" w:ascii="Times New Roman" w:hAnsi="Times New Roman" w:cs="宋体"/>
                <w:caps w:val="0"/>
                <w:smallCaps w:val="0"/>
                <w:color w:val="auto"/>
                <w:szCs w:val="21"/>
              </w:rPr>
              <w:t>0</w:t>
            </w:r>
          </w:p>
        </w:tc>
        <w:tc>
          <w:tcPr>
            <w:tcW w:w="425" w:type="pct"/>
            <w:tcBorders>
              <w:tl2br w:val="nil"/>
              <w:tr2bl w:val="nil"/>
            </w:tcBorders>
            <w:noWrap w:val="0"/>
            <w:vAlign w:val="center"/>
          </w:tcPr>
          <w:p>
            <w:pPr>
              <w:jc w:val="center"/>
              <w:rPr>
                <w:rFonts w:ascii="Times New Roman" w:hAnsi="Times New Roman" w:cs="宋体"/>
                <w:caps w:val="0"/>
                <w:smallCaps w:val="0"/>
                <w:color w:val="auto"/>
                <w:szCs w:val="21"/>
              </w:rPr>
            </w:pPr>
            <w:r>
              <w:rPr>
                <w:rFonts w:hint="eastAsia" w:ascii="Times New Roman" w:hAnsi="Times New Roman" w:cs="宋体"/>
                <w:caps w:val="0"/>
                <w:smallCaps w:val="0"/>
                <w:color w:val="auto"/>
                <w:szCs w:val="21"/>
              </w:rPr>
              <w:t>20</w:t>
            </w:r>
          </w:p>
        </w:tc>
        <w:tc>
          <w:tcPr>
            <w:tcW w:w="454" w:type="pct"/>
            <w:tcBorders>
              <w:tl2br w:val="nil"/>
              <w:tr2bl w:val="nil"/>
            </w:tcBorders>
            <w:noWrap w:val="0"/>
            <w:vAlign w:val="center"/>
          </w:tcPr>
          <w:p>
            <w:pPr>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0.2</w:t>
            </w:r>
          </w:p>
        </w:tc>
        <w:tc>
          <w:tcPr>
            <w:tcW w:w="602" w:type="pct"/>
            <w:tcBorders>
              <w:tl2br w:val="nil"/>
              <w:tr2bl w:val="nil"/>
            </w:tcBorders>
            <w:noWrap w:val="0"/>
            <w:vAlign w:val="center"/>
          </w:tcPr>
          <w:p>
            <w:pPr>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0.8</w:t>
            </w:r>
          </w:p>
        </w:tc>
        <w:tc>
          <w:tcPr>
            <w:tcW w:w="861" w:type="pct"/>
            <w:vMerge w:val="continue"/>
            <w:tcBorders>
              <w:tl2br w:val="nil"/>
              <w:tr2bl w:val="nil"/>
            </w:tcBorders>
            <w:noWrap w:val="0"/>
            <w:vAlign w:val="center"/>
          </w:tcPr>
          <w:p>
            <w:pPr>
              <w:widowControl/>
              <w:spacing w:line="35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82" w:hRule="atLeast"/>
          <w:jc w:val="center"/>
        </w:trPr>
        <w:tc>
          <w:tcPr>
            <w:tcW w:w="304"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8</w:t>
            </w:r>
          </w:p>
        </w:tc>
        <w:tc>
          <w:tcPr>
            <w:tcW w:w="1120"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初期雨水</w:t>
            </w:r>
          </w:p>
        </w:tc>
        <w:tc>
          <w:tcPr>
            <w:tcW w:w="527" w:type="pct"/>
            <w:tcBorders>
              <w:tl2br w:val="nil"/>
              <w:tr2bl w:val="nil"/>
            </w:tcBorders>
            <w:noWrap w:val="0"/>
            <w:vAlign w:val="center"/>
          </w:tcPr>
          <w:p>
            <w:pPr>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0</w:t>
            </w:r>
          </w:p>
        </w:tc>
        <w:tc>
          <w:tcPr>
            <w:tcW w:w="704" w:type="pct"/>
            <w:tcBorders>
              <w:tl2br w:val="nil"/>
              <w:tr2bl w:val="nil"/>
            </w:tcBorders>
            <w:noWrap w:val="0"/>
            <w:vAlign w:val="center"/>
          </w:tcPr>
          <w:p>
            <w:pPr>
              <w:jc w:val="center"/>
              <w:rPr>
                <w:rFonts w:ascii="Times New Roman" w:hAnsi="Times New Roman" w:cs="宋体"/>
                <w:caps w:val="0"/>
                <w:smallCaps w:val="0"/>
                <w:color w:val="auto"/>
                <w:szCs w:val="21"/>
              </w:rPr>
            </w:pPr>
            <w:r>
              <w:rPr>
                <w:rFonts w:hint="eastAsia" w:ascii="Times New Roman" w:hAnsi="Times New Roman" w:cs="宋体"/>
                <w:caps w:val="0"/>
                <w:smallCaps w:val="0"/>
                <w:color w:val="auto"/>
                <w:szCs w:val="21"/>
              </w:rPr>
              <w:t>0</w:t>
            </w:r>
          </w:p>
        </w:tc>
        <w:tc>
          <w:tcPr>
            <w:tcW w:w="425" w:type="pct"/>
            <w:tcBorders>
              <w:tl2br w:val="nil"/>
              <w:tr2bl w:val="nil"/>
            </w:tcBorders>
            <w:noWrap w:val="0"/>
            <w:vAlign w:val="center"/>
          </w:tcPr>
          <w:p>
            <w:pPr>
              <w:jc w:val="center"/>
              <w:rPr>
                <w:rFonts w:ascii="Times New Roman" w:hAnsi="Times New Roman" w:cs="宋体"/>
                <w:caps w:val="0"/>
                <w:smallCaps w:val="0"/>
                <w:color w:val="auto"/>
                <w:szCs w:val="21"/>
              </w:rPr>
            </w:pPr>
            <w:r>
              <w:rPr>
                <w:rFonts w:hint="eastAsia" w:ascii="Times New Roman" w:hAnsi="Times New Roman" w:cs="宋体"/>
                <w:caps w:val="0"/>
                <w:smallCaps w:val="0"/>
                <w:color w:val="auto"/>
                <w:szCs w:val="21"/>
              </w:rPr>
              <w:t>0</w:t>
            </w:r>
          </w:p>
        </w:tc>
        <w:tc>
          <w:tcPr>
            <w:tcW w:w="454" w:type="pct"/>
            <w:tcBorders>
              <w:tl2br w:val="nil"/>
              <w:tr2bl w:val="nil"/>
            </w:tcBorders>
            <w:noWrap w:val="0"/>
            <w:vAlign w:val="center"/>
          </w:tcPr>
          <w:p>
            <w:pPr>
              <w:jc w:val="center"/>
              <w:rPr>
                <w:rFonts w:ascii="Times New Roman" w:hAnsi="Times New Roman"/>
                <w:caps w:val="0"/>
                <w:smallCaps w:val="0"/>
                <w:color w:val="auto"/>
                <w:szCs w:val="21"/>
              </w:rPr>
            </w:pPr>
            <w:r>
              <w:rPr>
                <w:rFonts w:hint="eastAsia" w:ascii="Times New Roman" w:hAnsi="Times New Roman"/>
                <w:caps w:val="0"/>
                <w:smallCaps w:val="0"/>
                <w:color w:val="auto"/>
                <w:szCs w:val="21"/>
              </w:rPr>
              <w:t>0</w:t>
            </w:r>
          </w:p>
        </w:tc>
        <w:tc>
          <w:tcPr>
            <w:tcW w:w="602" w:type="pct"/>
            <w:tcBorders>
              <w:tl2br w:val="nil"/>
              <w:tr2bl w:val="nil"/>
            </w:tcBorders>
            <w:noWrap w:val="0"/>
            <w:vAlign w:val="center"/>
          </w:tcPr>
          <w:p>
            <w:pPr>
              <w:jc w:val="center"/>
              <w:rPr>
                <w:rFonts w:ascii="Times New Roman" w:hAnsi="Times New Roman"/>
                <w:caps w:val="0"/>
                <w:smallCaps w:val="0"/>
                <w:color w:val="auto"/>
                <w:szCs w:val="21"/>
              </w:rPr>
            </w:pPr>
            <w:r>
              <w:rPr>
                <w:rFonts w:hint="eastAsia" w:ascii="Times New Roman" w:hAnsi="Times New Roman"/>
                <w:caps w:val="0"/>
                <w:smallCaps w:val="0"/>
                <w:color w:val="auto"/>
                <w:szCs w:val="21"/>
                <w:lang w:val="en-US" w:eastAsia="zh-CN"/>
              </w:rPr>
              <w:t>93.87</w:t>
            </w:r>
            <w:r>
              <w:rPr>
                <w:rFonts w:ascii="Times New Roman" w:hAnsi="Times New Roman"/>
                <w:caps w:val="0"/>
                <w:smallCaps w:val="0"/>
                <w:color w:val="auto"/>
                <w:szCs w:val="21"/>
              </w:rPr>
              <w:t>m</w:t>
            </w:r>
            <w:r>
              <w:rPr>
                <w:rFonts w:ascii="Times New Roman" w:hAnsi="Times New Roman"/>
                <w:caps w:val="0"/>
                <w:smallCaps w:val="0"/>
                <w:color w:val="auto"/>
                <w:szCs w:val="21"/>
                <w:vertAlign w:val="superscript"/>
              </w:rPr>
              <w:t>3</w:t>
            </w:r>
            <w:r>
              <w:rPr>
                <w:rFonts w:hint="eastAsia" w:ascii="Times New Roman" w:hAnsi="Times New Roman"/>
                <w:caps w:val="0"/>
                <w:smallCaps w:val="0"/>
                <w:color w:val="auto"/>
                <w:szCs w:val="21"/>
              </w:rPr>
              <w:t>/次</w:t>
            </w:r>
          </w:p>
        </w:tc>
        <w:tc>
          <w:tcPr>
            <w:tcW w:w="861" w:type="pct"/>
            <w:vMerge w:val="continue"/>
            <w:tcBorders>
              <w:tl2br w:val="nil"/>
              <w:tr2bl w:val="nil"/>
            </w:tcBorders>
            <w:noWrap w:val="0"/>
            <w:vAlign w:val="center"/>
          </w:tcPr>
          <w:p>
            <w:pPr>
              <w:widowControl/>
              <w:spacing w:line="35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78" w:hRule="atLeast"/>
          <w:jc w:val="center"/>
        </w:trPr>
        <w:tc>
          <w:tcPr>
            <w:tcW w:w="304" w:type="pct"/>
            <w:tcBorders>
              <w:tl2br w:val="nil"/>
              <w:tr2bl w:val="nil"/>
            </w:tcBorders>
            <w:noWrap w:val="0"/>
            <w:vAlign w:val="center"/>
          </w:tcPr>
          <w:p>
            <w:pPr>
              <w:spacing w:line="350" w:lineRule="exact"/>
              <w:jc w:val="center"/>
              <w:rPr>
                <w:rFonts w:hint="eastAsia" w:ascii="Times New Roman" w:hAnsi="Times New Roman"/>
                <w:caps w:val="0"/>
                <w:smallCaps w:val="0"/>
                <w:color w:val="auto"/>
                <w:szCs w:val="21"/>
              </w:rPr>
            </w:pPr>
            <w:r>
              <w:rPr>
                <w:rFonts w:hint="eastAsia" w:ascii="Times New Roman" w:hAnsi="Times New Roman"/>
                <w:caps w:val="0"/>
                <w:smallCaps w:val="0"/>
                <w:color w:val="auto"/>
                <w:szCs w:val="21"/>
              </w:rPr>
              <w:t>9</w:t>
            </w:r>
          </w:p>
        </w:tc>
        <w:tc>
          <w:tcPr>
            <w:tcW w:w="1120" w:type="pct"/>
            <w:tcBorders>
              <w:tl2br w:val="nil"/>
              <w:tr2bl w:val="nil"/>
            </w:tcBorders>
            <w:noWrap w:val="0"/>
            <w:vAlign w:val="center"/>
          </w:tcPr>
          <w:p>
            <w:pPr>
              <w:spacing w:line="350" w:lineRule="exact"/>
              <w:jc w:val="center"/>
              <w:rPr>
                <w:rFonts w:hint="eastAsia" w:ascii="Times New Roman" w:hAnsi="Times New Roman"/>
                <w:caps w:val="0"/>
                <w:smallCaps w:val="0"/>
                <w:color w:val="auto"/>
                <w:szCs w:val="21"/>
              </w:rPr>
            </w:pPr>
            <w:r>
              <w:rPr>
                <w:rFonts w:ascii="Times New Roman" w:hAnsi="Times New Roman"/>
                <w:caps w:val="0"/>
                <w:smallCaps w:val="0"/>
                <w:color w:val="auto"/>
                <w:szCs w:val="21"/>
              </w:rPr>
              <w:t>循环水系统</w:t>
            </w:r>
          </w:p>
        </w:tc>
        <w:tc>
          <w:tcPr>
            <w:tcW w:w="527" w:type="pct"/>
            <w:tcBorders>
              <w:tl2br w:val="nil"/>
              <w:tr2bl w:val="nil"/>
            </w:tcBorders>
            <w:noWrap w:val="0"/>
            <w:vAlign w:val="center"/>
          </w:tcPr>
          <w:p>
            <w:pPr>
              <w:jc w:val="center"/>
              <w:rPr>
                <w:rFonts w:hint="default"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19.52</w:t>
            </w:r>
          </w:p>
        </w:tc>
        <w:tc>
          <w:tcPr>
            <w:tcW w:w="704" w:type="pct"/>
            <w:tcBorders>
              <w:tl2br w:val="nil"/>
              <w:tr2bl w:val="nil"/>
            </w:tcBorders>
            <w:noWrap w:val="0"/>
            <w:vAlign w:val="center"/>
          </w:tcPr>
          <w:p>
            <w:pPr>
              <w:jc w:val="center"/>
              <w:rPr>
                <w:rFonts w:hint="eastAsia" w:ascii="Times New Roman" w:hAnsi="Times New Roman" w:cs="宋体"/>
                <w:caps w:val="0"/>
                <w:smallCaps w:val="0"/>
                <w:color w:val="auto"/>
                <w:szCs w:val="21"/>
              </w:rPr>
            </w:pPr>
          </w:p>
        </w:tc>
        <w:tc>
          <w:tcPr>
            <w:tcW w:w="425" w:type="pct"/>
            <w:tcBorders>
              <w:tl2br w:val="nil"/>
              <w:tr2bl w:val="nil"/>
            </w:tcBorders>
            <w:noWrap w:val="0"/>
            <w:vAlign w:val="center"/>
          </w:tcPr>
          <w:p>
            <w:pPr>
              <w:jc w:val="center"/>
              <w:rPr>
                <w:rFonts w:hint="eastAsia" w:ascii="Times New Roman" w:hAnsi="Times New Roman" w:cs="宋体"/>
                <w:caps w:val="0"/>
                <w:smallCaps w:val="0"/>
                <w:color w:val="auto"/>
                <w:szCs w:val="21"/>
              </w:rPr>
            </w:pPr>
            <w:r>
              <w:rPr>
                <w:rFonts w:hint="eastAsia" w:ascii="Times New Roman" w:hAnsi="Times New Roman"/>
                <w:caps w:val="0"/>
                <w:smallCaps w:val="0"/>
                <w:color w:val="auto"/>
                <w:szCs w:val="21"/>
                <w:lang w:val="en-US" w:eastAsia="zh-CN"/>
              </w:rPr>
              <w:t>5</w:t>
            </w:r>
            <w:r>
              <w:rPr>
                <w:rFonts w:hint="eastAsia" w:ascii="Times New Roman" w:hAnsi="Times New Roman"/>
                <w:caps w:val="0"/>
                <w:smallCaps w:val="0"/>
                <w:color w:val="auto"/>
                <w:szCs w:val="21"/>
              </w:rPr>
              <w:t>50</w:t>
            </w:r>
          </w:p>
        </w:tc>
        <w:tc>
          <w:tcPr>
            <w:tcW w:w="454" w:type="pct"/>
            <w:tcBorders>
              <w:tl2br w:val="nil"/>
              <w:tr2bl w:val="nil"/>
            </w:tcBorders>
            <w:noWrap w:val="0"/>
            <w:vAlign w:val="center"/>
          </w:tcPr>
          <w:p>
            <w:pPr>
              <w:jc w:val="center"/>
              <w:rPr>
                <w:rFonts w:hint="eastAsia" w:ascii="Times New Roman" w:hAnsi="Times New Roman"/>
                <w:caps w:val="0"/>
                <w:smallCaps w:val="0"/>
                <w:color w:val="auto"/>
                <w:szCs w:val="21"/>
              </w:rPr>
            </w:pPr>
            <w:r>
              <w:rPr>
                <w:rFonts w:hint="eastAsia" w:ascii="Times New Roman" w:hAnsi="Times New Roman"/>
                <w:caps w:val="0"/>
                <w:smallCaps w:val="0"/>
                <w:color w:val="auto"/>
                <w:szCs w:val="21"/>
              </w:rPr>
              <w:t>1</w:t>
            </w:r>
            <w:r>
              <w:rPr>
                <w:rFonts w:hint="eastAsia" w:ascii="Times New Roman" w:hAnsi="Times New Roman"/>
                <w:caps w:val="0"/>
                <w:smallCaps w:val="0"/>
                <w:color w:val="auto"/>
                <w:szCs w:val="21"/>
                <w:lang w:val="en-US" w:eastAsia="zh-CN"/>
              </w:rPr>
              <w:t>5</w:t>
            </w:r>
            <w:r>
              <w:rPr>
                <w:rFonts w:hint="eastAsia" w:ascii="Times New Roman" w:hAnsi="Times New Roman"/>
                <w:caps w:val="0"/>
                <w:smallCaps w:val="0"/>
                <w:color w:val="auto"/>
                <w:szCs w:val="21"/>
              </w:rPr>
              <w:t>.</w:t>
            </w:r>
            <w:r>
              <w:rPr>
                <w:rFonts w:hint="eastAsia" w:ascii="Times New Roman" w:hAnsi="Times New Roman"/>
                <w:caps w:val="0"/>
                <w:smallCaps w:val="0"/>
                <w:color w:val="auto"/>
                <w:szCs w:val="21"/>
                <w:lang w:val="en-US" w:eastAsia="zh-CN"/>
              </w:rPr>
              <w:t>2</w:t>
            </w:r>
          </w:p>
        </w:tc>
        <w:tc>
          <w:tcPr>
            <w:tcW w:w="602" w:type="pct"/>
            <w:tcBorders>
              <w:tl2br w:val="nil"/>
              <w:tr2bl w:val="nil"/>
            </w:tcBorders>
            <w:noWrap w:val="0"/>
            <w:vAlign w:val="center"/>
          </w:tcPr>
          <w:p>
            <w:pPr>
              <w:jc w:val="center"/>
              <w:rPr>
                <w:rFonts w:hint="default"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4.32</w:t>
            </w:r>
          </w:p>
        </w:tc>
        <w:tc>
          <w:tcPr>
            <w:tcW w:w="861" w:type="pct"/>
            <w:vMerge w:val="continue"/>
            <w:tcBorders>
              <w:tl2br w:val="nil"/>
              <w:tr2bl w:val="nil"/>
            </w:tcBorders>
            <w:noWrap w:val="0"/>
            <w:vAlign w:val="center"/>
          </w:tcPr>
          <w:p>
            <w:pPr>
              <w:widowControl/>
              <w:spacing w:line="35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jc w:val="center"/>
        </w:trPr>
        <w:tc>
          <w:tcPr>
            <w:tcW w:w="304" w:type="pct"/>
            <w:tcBorders>
              <w:tl2br w:val="nil"/>
              <w:tr2bl w:val="nil"/>
            </w:tcBorders>
            <w:noWrap w:val="0"/>
            <w:vAlign w:val="center"/>
          </w:tcPr>
          <w:p>
            <w:pPr>
              <w:spacing w:line="350" w:lineRule="exact"/>
              <w:jc w:val="center"/>
              <w:rPr>
                <w:rFonts w:hint="eastAsia" w:ascii="Times New Roman" w:hAnsi="Times New Roman" w:eastAsia="宋体"/>
                <w:caps w:val="0"/>
                <w:smallCaps w:val="0"/>
                <w:color w:val="auto"/>
                <w:szCs w:val="21"/>
                <w:lang w:val="en-US" w:eastAsia="zh-CN"/>
              </w:rPr>
            </w:pPr>
          </w:p>
        </w:tc>
        <w:tc>
          <w:tcPr>
            <w:tcW w:w="1120" w:type="pct"/>
            <w:tcBorders>
              <w:tl2br w:val="nil"/>
              <w:tr2bl w:val="nil"/>
            </w:tcBorders>
            <w:noWrap w:val="0"/>
            <w:vAlign w:val="center"/>
          </w:tcPr>
          <w:p>
            <w:pPr>
              <w:spacing w:line="350" w:lineRule="exact"/>
              <w:jc w:val="center"/>
              <w:rPr>
                <w:rFonts w:hint="eastAsia" w:ascii="Times New Roman" w:hAnsi="Times New Roman" w:eastAsia="宋体"/>
                <w:caps w:val="0"/>
                <w:smallCaps w:val="0"/>
                <w:color w:val="auto"/>
                <w:szCs w:val="21"/>
                <w:lang w:eastAsia="zh-CN"/>
              </w:rPr>
            </w:pPr>
            <w:r>
              <w:rPr>
                <w:rFonts w:hint="eastAsia" w:ascii="Times New Roman" w:hAnsi="Times New Roman"/>
                <w:caps w:val="0"/>
                <w:smallCaps w:val="0"/>
                <w:color w:val="auto"/>
                <w:szCs w:val="21"/>
                <w:lang w:eastAsia="zh-CN"/>
              </w:rPr>
              <w:t>合计</w:t>
            </w:r>
          </w:p>
        </w:tc>
        <w:tc>
          <w:tcPr>
            <w:tcW w:w="527" w:type="pct"/>
            <w:tcBorders>
              <w:tl2br w:val="nil"/>
              <w:tr2bl w:val="nil"/>
            </w:tcBorders>
            <w:noWrap w:val="0"/>
            <w:vAlign w:val="center"/>
          </w:tcPr>
          <w:p>
            <w:pPr>
              <w:jc w:val="center"/>
              <w:rPr>
                <w:rFonts w:hint="default"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29.62</w:t>
            </w:r>
          </w:p>
        </w:tc>
        <w:tc>
          <w:tcPr>
            <w:tcW w:w="704" w:type="pct"/>
            <w:tcBorders>
              <w:tl2br w:val="nil"/>
              <w:tr2bl w:val="nil"/>
            </w:tcBorders>
            <w:noWrap w:val="0"/>
            <w:vAlign w:val="center"/>
          </w:tcPr>
          <w:p>
            <w:pPr>
              <w:jc w:val="center"/>
              <w:rPr>
                <w:rFonts w:hint="eastAsia" w:ascii="Times New Roman" w:hAnsi="Times New Roman" w:eastAsia="宋体" w:cs="宋体"/>
                <w:caps w:val="0"/>
                <w:smallCaps w:val="0"/>
                <w:color w:val="auto"/>
                <w:szCs w:val="21"/>
                <w:lang w:val="en-US" w:eastAsia="zh-CN"/>
              </w:rPr>
            </w:pPr>
            <w:r>
              <w:rPr>
                <w:rFonts w:hint="eastAsia" w:ascii="Times New Roman" w:hAnsi="Times New Roman" w:cs="宋体"/>
                <w:caps w:val="0"/>
                <w:smallCaps w:val="0"/>
                <w:color w:val="auto"/>
                <w:szCs w:val="21"/>
                <w:lang w:val="en-US" w:eastAsia="zh-CN"/>
              </w:rPr>
              <w:t>2.9</w:t>
            </w:r>
          </w:p>
        </w:tc>
        <w:tc>
          <w:tcPr>
            <w:tcW w:w="425" w:type="pct"/>
            <w:tcBorders>
              <w:tl2br w:val="nil"/>
              <w:tr2bl w:val="nil"/>
            </w:tcBorders>
            <w:noWrap w:val="0"/>
            <w:vAlign w:val="center"/>
          </w:tcPr>
          <w:p>
            <w:pPr>
              <w:jc w:val="center"/>
              <w:rPr>
                <w:rFonts w:hint="eastAsia" w:ascii="Times New Roman" w:hAnsi="Times New Roman" w:eastAsia="宋体" w:cs="宋体"/>
                <w:caps w:val="0"/>
                <w:smallCaps w:val="0"/>
                <w:color w:val="auto"/>
                <w:szCs w:val="21"/>
                <w:lang w:val="en-US" w:eastAsia="zh-CN"/>
              </w:rPr>
            </w:pPr>
            <w:r>
              <w:rPr>
                <w:rFonts w:hint="eastAsia" w:ascii="Times New Roman" w:hAnsi="Times New Roman" w:cs="宋体"/>
                <w:caps w:val="0"/>
                <w:smallCaps w:val="0"/>
                <w:color w:val="auto"/>
                <w:szCs w:val="21"/>
                <w:lang w:val="en-US" w:eastAsia="zh-CN"/>
              </w:rPr>
              <w:t>570</w:t>
            </w:r>
          </w:p>
        </w:tc>
        <w:tc>
          <w:tcPr>
            <w:tcW w:w="454" w:type="pct"/>
            <w:tcBorders>
              <w:tl2br w:val="nil"/>
              <w:tr2bl w:val="nil"/>
            </w:tcBorders>
            <w:noWrap w:val="0"/>
            <w:vAlign w:val="center"/>
          </w:tcPr>
          <w:p>
            <w:pPr>
              <w:jc w:val="center"/>
              <w:rPr>
                <w:rFonts w:hint="eastAsia"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17.75</w:t>
            </w:r>
          </w:p>
        </w:tc>
        <w:tc>
          <w:tcPr>
            <w:tcW w:w="602" w:type="pct"/>
            <w:tcBorders>
              <w:tl2br w:val="nil"/>
              <w:tr2bl w:val="nil"/>
            </w:tcBorders>
            <w:noWrap w:val="0"/>
            <w:vAlign w:val="center"/>
          </w:tcPr>
          <w:p>
            <w:pPr>
              <w:jc w:val="center"/>
              <w:rPr>
                <w:rFonts w:hint="default" w:ascii="Times New Roman" w:hAnsi="Times New Roman" w:eastAsia="宋体"/>
                <w:caps w:val="0"/>
                <w:smallCaps w:val="0"/>
                <w:color w:val="auto"/>
                <w:szCs w:val="21"/>
                <w:lang w:val="en-US" w:eastAsia="zh-CN"/>
              </w:rPr>
            </w:pPr>
            <w:r>
              <w:rPr>
                <w:rFonts w:hint="eastAsia" w:ascii="Times New Roman" w:hAnsi="Times New Roman"/>
                <w:caps w:val="0"/>
                <w:smallCaps w:val="0"/>
                <w:color w:val="auto"/>
                <w:szCs w:val="21"/>
                <w:lang w:val="en-US" w:eastAsia="zh-CN"/>
              </w:rPr>
              <w:t>17.44</w:t>
            </w:r>
          </w:p>
        </w:tc>
        <w:tc>
          <w:tcPr>
            <w:tcW w:w="861" w:type="pct"/>
            <w:vMerge w:val="continue"/>
            <w:tcBorders>
              <w:tl2br w:val="nil"/>
              <w:tr2bl w:val="nil"/>
            </w:tcBorders>
            <w:noWrap w:val="0"/>
            <w:vAlign w:val="center"/>
          </w:tcPr>
          <w:p>
            <w:pPr>
              <w:spacing w:line="350" w:lineRule="exact"/>
              <w:jc w:val="center"/>
              <w:rPr>
                <w:rFonts w:ascii="Times New Roman" w:hAnsi="Times New Roman"/>
                <w:caps w:val="0"/>
                <w:smallCaps w:val="0"/>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jc w:val="center"/>
        </w:trPr>
        <w:tc>
          <w:tcPr>
            <w:tcW w:w="304" w:type="pct"/>
            <w:tcBorders>
              <w:tl2br w:val="nil"/>
              <w:tr2bl w:val="nil"/>
            </w:tcBorders>
            <w:noWrap w:val="0"/>
            <w:vAlign w:val="center"/>
          </w:tcPr>
          <w:p>
            <w:pPr>
              <w:spacing w:line="350" w:lineRule="exact"/>
              <w:jc w:val="center"/>
              <w:rPr>
                <w:rFonts w:hint="eastAsia" w:ascii="Times New Roman" w:hAnsi="Times New Roman"/>
                <w:caps w:val="0"/>
                <w:smallCaps w:val="0"/>
                <w:color w:val="auto"/>
                <w:szCs w:val="21"/>
                <w:lang w:val="en-US" w:eastAsia="zh-CN"/>
              </w:rPr>
            </w:pPr>
            <w:r>
              <w:rPr>
                <w:rFonts w:hint="eastAsia" w:ascii="Times New Roman" w:hAnsi="Times New Roman"/>
                <w:caps w:val="0"/>
                <w:smallCaps w:val="0"/>
                <w:color w:val="auto"/>
                <w:szCs w:val="21"/>
                <w:lang w:val="en-US" w:eastAsia="zh-CN"/>
              </w:rPr>
              <w:t>10</w:t>
            </w:r>
          </w:p>
        </w:tc>
        <w:tc>
          <w:tcPr>
            <w:tcW w:w="1120" w:type="pct"/>
            <w:tcBorders>
              <w:tl2br w:val="nil"/>
              <w:tr2bl w:val="nil"/>
            </w:tcBorders>
            <w:noWrap w:val="0"/>
            <w:vAlign w:val="center"/>
          </w:tcPr>
          <w:p>
            <w:pPr>
              <w:spacing w:line="350" w:lineRule="exact"/>
              <w:jc w:val="center"/>
              <w:rPr>
                <w:rFonts w:ascii="Times New Roman" w:hAnsi="Times New Roman"/>
                <w:caps w:val="0"/>
                <w:smallCaps w:val="0"/>
                <w:color w:val="auto"/>
                <w:szCs w:val="21"/>
              </w:rPr>
            </w:pPr>
            <w:r>
              <w:rPr>
                <w:rFonts w:ascii="Times New Roman" w:hAnsi="Times New Roman"/>
                <w:caps w:val="0"/>
                <w:smallCaps w:val="0"/>
                <w:color w:val="auto"/>
                <w:szCs w:val="21"/>
              </w:rPr>
              <w:t>生活用水</w:t>
            </w:r>
          </w:p>
        </w:tc>
        <w:tc>
          <w:tcPr>
            <w:tcW w:w="527" w:type="pct"/>
            <w:tcBorders>
              <w:tl2br w:val="nil"/>
              <w:tr2bl w:val="nil"/>
            </w:tcBorders>
            <w:noWrap w:val="0"/>
            <w:vAlign w:val="center"/>
          </w:tcPr>
          <w:p>
            <w:pPr>
              <w:jc w:val="center"/>
              <w:rPr>
                <w:rFonts w:hint="eastAsia" w:ascii="Times New Roman" w:hAnsi="Times New Roman"/>
                <w:caps w:val="0"/>
                <w:smallCaps w:val="0"/>
                <w:color w:val="auto"/>
                <w:szCs w:val="21"/>
                <w:lang w:val="en-US" w:eastAsia="zh-CN"/>
              </w:rPr>
            </w:pPr>
            <w:r>
              <w:rPr>
                <w:rFonts w:hint="eastAsia" w:ascii="Times New Roman" w:hAnsi="Times New Roman"/>
                <w:caps w:val="0"/>
                <w:smallCaps w:val="0"/>
                <w:color w:val="auto"/>
                <w:szCs w:val="21"/>
                <w:lang w:val="en-US" w:eastAsia="zh-CN"/>
              </w:rPr>
              <w:t>7.25</w:t>
            </w:r>
          </w:p>
        </w:tc>
        <w:tc>
          <w:tcPr>
            <w:tcW w:w="704" w:type="pct"/>
            <w:tcBorders>
              <w:tl2br w:val="nil"/>
              <w:tr2bl w:val="nil"/>
            </w:tcBorders>
            <w:noWrap w:val="0"/>
            <w:vAlign w:val="center"/>
          </w:tcPr>
          <w:p>
            <w:pPr>
              <w:jc w:val="center"/>
              <w:rPr>
                <w:rFonts w:ascii="Times New Roman" w:hAnsi="Times New Roman" w:cs="宋体"/>
                <w:caps w:val="0"/>
                <w:smallCaps w:val="0"/>
                <w:color w:val="auto"/>
                <w:szCs w:val="21"/>
              </w:rPr>
            </w:pPr>
          </w:p>
        </w:tc>
        <w:tc>
          <w:tcPr>
            <w:tcW w:w="425" w:type="pct"/>
            <w:tcBorders>
              <w:tl2br w:val="nil"/>
              <w:tr2bl w:val="nil"/>
            </w:tcBorders>
            <w:noWrap w:val="0"/>
            <w:vAlign w:val="center"/>
          </w:tcPr>
          <w:p>
            <w:pPr>
              <w:jc w:val="center"/>
              <w:rPr>
                <w:rFonts w:ascii="Times New Roman" w:hAnsi="Times New Roman" w:cs="宋体"/>
                <w:caps w:val="0"/>
                <w:smallCaps w:val="0"/>
                <w:color w:val="auto"/>
                <w:szCs w:val="21"/>
              </w:rPr>
            </w:pPr>
          </w:p>
        </w:tc>
        <w:tc>
          <w:tcPr>
            <w:tcW w:w="454" w:type="pct"/>
            <w:tcBorders>
              <w:tl2br w:val="nil"/>
              <w:tr2bl w:val="nil"/>
            </w:tcBorders>
            <w:noWrap w:val="0"/>
            <w:vAlign w:val="center"/>
          </w:tcPr>
          <w:p>
            <w:pPr>
              <w:jc w:val="center"/>
              <w:rPr>
                <w:rFonts w:hint="eastAsia" w:ascii="Times New Roman" w:hAnsi="Times New Roman"/>
                <w:caps w:val="0"/>
                <w:smallCaps w:val="0"/>
                <w:color w:val="auto"/>
                <w:szCs w:val="21"/>
                <w:lang w:val="en-US" w:eastAsia="zh-CN"/>
              </w:rPr>
            </w:pPr>
            <w:r>
              <w:rPr>
                <w:rFonts w:hint="eastAsia" w:ascii="Times New Roman" w:hAnsi="Times New Roman"/>
                <w:caps w:val="0"/>
                <w:smallCaps w:val="0"/>
                <w:color w:val="auto"/>
                <w:szCs w:val="21"/>
                <w:lang w:val="en-US" w:eastAsia="zh-CN"/>
              </w:rPr>
              <w:t>1.42</w:t>
            </w:r>
          </w:p>
        </w:tc>
        <w:tc>
          <w:tcPr>
            <w:tcW w:w="602" w:type="pct"/>
            <w:tcBorders>
              <w:tl2br w:val="nil"/>
              <w:tr2bl w:val="nil"/>
            </w:tcBorders>
            <w:noWrap w:val="0"/>
            <w:vAlign w:val="center"/>
          </w:tcPr>
          <w:p>
            <w:pPr>
              <w:jc w:val="center"/>
              <w:rPr>
                <w:rFonts w:hint="eastAsia" w:ascii="Times New Roman" w:hAnsi="Times New Roman"/>
                <w:caps w:val="0"/>
                <w:smallCaps w:val="0"/>
                <w:color w:val="auto"/>
                <w:szCs w:val="21"/>
                <w:lang w:val="en-US" w:eastAsia="zh-CN"/>
              </w:rPr>
            </w:pPr>
            <w:r>
              <w:rPr>
                <w:rFonts w:hint="eastAsia" w:ascii="Times New Roman" w:hAnsi="Times New Roman"/>
                <w:caps w:val="0"/>
                <w:smallCaps w:val="0"/>
                <w:color w:val="auto"/>
                <w:szCs w:val="21"/>
                <w:lang w:val="en-US" w:eastAsia="zh-CN"/>
              </w:rPr>
              <w:t>5.83</w:t>
            </w:r>
          </w:p>
        </w:tc>
        <w:tc>
          <w:tcPr>
            <w:tcW w:w="861" w:type="pct"/>
            <w:tcBorders>
              <w:tl2br w:val="nil"/>
              <w:tr2bl w:val="nil"/>
            </w:tcBorders>
            <w:noWrap w:val="0"/>
            <w:vAlign w:val="center"/>
          </w:tcPr>
          <w:p>
            <w:pPr>
              <w:spacing w:line="350" w:lineRule="exact"/>
              <w:jc w:val="center"/>
              <w:rPr>
                <w:rFonts w:hint="eastAsia" w:ascii="Times New Roman" w:hAnsi="Times New Roman"/>
                <w:caps w:val="0"/>
                <w:smallCaps w:val="0"/>
                <w:color w:val="auto"/>
                <w:szCs w:val="21"/>
              </w:rPr>
            </w:pPr>
            <w:r>
              <w:rPr>
                <w:rFonts w:hint="eastAsia" w:ascii="Times New Roman" w:hAnsi="Times New Roman"/>
                <w:caps w:val="0"/>
                <w:smallCaps w:val="0"/>
                <w:color w:val="auto"/>
                <w:szCs w:val="21"/>
              </w:rPr>
              <w:t>生活污水</w:t>
            </w:r>
            <w:r>
              <w:rPr>
                <w:rFonts w:hint="eastAsia" w:ascii="Times New Roman" w:hAnsi="Times New Roman"/>
                <w:caps w:val="0"/>
                <w:smallCaps w:val="0"/>
                <w:color w:val="auto"/>
                <w:szCs w:val="21"/>
                <w:lang w:val="en-US" w:eastAsia="zh-CN"/>
              </w:rPr>
              <w:t>经过化粪池预处理后排</w:t>
            </w:r>
            <w:r>
              <w:rPr>
                <w:rFonts w:hint="eastAsia" w:ascii="Times New Roman" w:hAnsi="Times New Roman"/>
                <w:caps w:val="0"/>
                <w:smallCaps w:val="0"/>
                <w:color w:val="auto"/>
                <w:szCs w:val="21"/>
                <w:lang w:eastAsia="zh-CN"/>
              </w:rPr>
              <w:t>入</w:t>
            </w:r>
            <w:r>
              <w:rPr>
                <w:rFonts w:hint="eastAsia" w:ascii="Times New Roman" w:hAnsi="Times New Roman"/>
                <w:caps w:val="0"/>
                <w:smallCaps w:val="0"/>
                <w:color w:val="auto"/>
                <w:szCs w:val="21"/>
                <w:lang w:val="en-US" w:eastAsia="zh-CN"/>
              </w:rPr>
              <w:t>云溪区</w:t>
            </w:r>
            <w:r>
              <w:rPr>
                <w:rFonts w:hint="eastAsia" w:ascii="Times New Roman" w:hAnsi="Times New Roman"/>
                <w:caps w:val="0"/>
                <w:smallCaps w:val="0"/>
                <w:color w:val="auto"/>
                <w:szCs w:val="21"/>
              </w:rPr>
              <w:t>污水处理厂</w:t>
            </w:r>
            <w:r>
              <w:rPr>
                <w:rFonts w:hint="eastAsia" w:ascii="Times New Roman" w:hAnsi="Times New Roman"/>
                <w:caps w:val="0"/>
                <w:smallCaps w:val="0"/>
                <w:color w:val="auto"/>
                <w:szCs w:val="21"/>
                <w:lang w:eastAsia="zh-CN"/>
              </w:rPr>
              <w:t>（</w:t>
            </w:r>
            <w:r>
              <w:rPr>
                <w:rFonts w:hint="eastAsia" w:ascii="Times New Roman" w:hAnsi="Times New Roman"/>
                <w:caps w:val="0"/>
                <w:smallCaps w:val="0"/>
                <w:color w:val="auto"/>
                <w:szCs w:val="21"/>
                <w:lang w:val="en-US" w:eastAsia="zh-CN"/>
              </w:rPr>
              <w:t>市政</w:t>
            </w:r>
            <w:r>
              <w:rPr>
                <w:rFonts w:hint="eastAsia" w:ascii="Times New Roman" w:hAnsi="Times New Roman"/>
                <w:caps w:val="0"/>
                <w:smallCaps w:val="0"/>
                <w:color w:val="auto"/>
                <w:szCs w:val="21"/>
                <w:lang w:eastAsia="zh-CN"/>
              </w:rPr>
              <w:t>），</w:t>
            </w:r>
            <w:r>
              <w:rPr>
                <w:rFonts w:hint="eastAsia" w:ascii="Times New Roman" w:hAnsi="Times New Roman"/>
                <w:caps w:val="0"/>
                <w:smallCaps w:val="0"/>
                <w:color w:val="auto"/>
                <w:szCs w:val="21"/>
                <w:lang w:val="en-US" w:eastAsia="zh-CN"/>
              </w:rPr>
              <w:t>最终排入长江</w:t>
            </w:r>
          </w:p>
        </w:tc>
      </w:tr>
    </w:tbl>
    <w:p>
      <w:pPr>
        <w:pStyle w:val="9"/>
        <w:spacing w:line="360" w:lineRule="auto"/>
        <w:rPr>
          <w:rFonts w:ascii="Times New Roman" w:hAnsi="Times New Roman"/>
          <w:caps w:val="0"/>
          <w:smallCaps w:val="0"/>
          <w:color w:val="auto"/>
        </w:rPr>
      </w:pPr>
    </w:p>
    <w:p>
      <w:pPr>
        <w:rPr>
          <w:color w:val="auto"/>
        </w:rPr>
      </w:pPr>
      <w:r>
        <w:rPr>
          <w:color w:val="auto"/>
        </w:rPr>
        <w:object>
          <v:shape id="_x0000_i1025" o:spt="75" type="#_x0000_t75" style="height:374.65pt;width:464.55pt;" o:ole="t" filled="f" o:preferrelative="t" stroked="f" coordsize="21600,21600">
            <v:path/>
            <v:fill on="f" focussize="0,0"/>
            <v:stroke on="f"/>
            <v:imagedata r:id="rId18" o:title=""/>
            <o:lock v:ext="edit" aspectratio="f"/>
            <w10:wrap type="none"/>
            <w10:anchorlock/>
          </v:shape>
          <o:OLEObject Type="Embed" ProgID="Visio.Drawing.11" ShapeID="_x0000_i1025" DrawAspect="Content" ObjectID="_1468075725" r:id="rId17">
            <o:LockedField>false</o:LockedField>
          </o:OLEObject>
        </w:object>
      </w:r>
    </w:p>
    <w:p>
      <w:pPr>
        <w:pStyle w:val="36"/>
        <w:bidi w:val="0"/>
        <w:rPr>
          <w:rFonts w:hint="eastAsia" w:ascii="Times New Roman" w:hAnsi="Times New Roman"/>
          <w:b/>
          <w:caps w:val="0"/>
          <w:smallCaps w:val="0"/>
          <w:color w:val="auto"/>
          <w:szCs w:val="21"/>
        </w:rPr>
      </w:pPr>
      <w:r>
        <w:rPr>
          <w:rFonts w:hint="eastAsia" w:ascii="Times New Roman" w:hAnsi="Times New Roman"/>
          <w:b/>
          <w:caps w:val="0"/>
          <w:smallCaps w:val="0"/>
          <w:color w:val="auto"/>
          <w:szCs w:val="21"/>
        </w:rPr>
        <w:t>图</w:t>
      </w:r>
      <w:r>
        <w:rPr>
          <w:rFonts w:hint="eastAsia" w:ascii="Times New Roman" w:hAnsi="Times New Roman"/>
          <w:b/>
          <w:caps w:val="0"/>
          <w:smallCaps w:val="0"/>
          <w:color w:val="auto"/>
          <w:szCs w:val="21"/>
          <w:lang w:val="en-US" w:eastAsia="zh-CN"/>
        </w:rPr>
        <w:t>3.1</w:t>
      </w:r>
      <w:r>
        <w:rPr>
          <w:rFonts w:hint="eastAsia" w:ascii="Times New Roman" w:hAnsi="Times New Roman"/>
          <w:b/>
          <w:caps w:val="0"/>
          <w:smallCaps w:val="0"/>
          <w:color w:val="auto"/>
          <w:szCs w:val="21"/>
        </w:rPr>
        <w:t xml:space="preserve">-1    </w:t>
      </w:r>
      <w:r>
        <w:rPr>
          <w:rFonts w:hint="eastAsia" w:ascii="Times New Roman" w:hAnsi="Times New Roman"/>
          <w:b/>
          <w:caps w:val="0"/>
          <w:smallCaps w:val="0"/>
          <w:color w:val="auto"/>
          <w:szCs w:val="21"/>
          <w:lang w:val="en-US" w:eastAsia="zh-CN"/>
        </w:rPr>
        <w:t>现有</w:t>
      </w:r>
      <w:r>
        <w:rPr>
          <w:rFonts w:hint="eastAsia" w:ascii="Times New Roman" w:hAnsi="Times New Roman"/>
          <w:b/>
          <w:caps w:val="0"/>
          <w:smallCaps w:val="0"/>
          <w:color w:val="auto"/>
          <w:szCs w:val="21"/>
          <w:lang w:eastAsia="zh-CN"/>
        </w:rPr>
        <w:t>全厂</w:t>
      </w:r>
      <w:r>
        <w:rPr>
          <w:rFonts w:hint="eastAsia" w:ascii="Times New Roman" w:hAnsi="Times New Roman"/>
          <w:b/>
          <w:caps w:val="0"/>
          <w:smallCaps w:val="0"/>
          <w:color w:val="auto"/>
          <w:szCs w:val="21"/>
        </w:rPr>
        <w:t>水量平衡图（单位：</w:t>
      </w:r>
      <w:r>
        <w:rPr>
          <w:rFonts w:ascii="Times New Roman" w:hAnsi="Times New Roman"/>
          <w:b/>
          <w:caps w:val="0"/>
          <w:smallCaps w:val="0"/>
          <w:color w:val="auto"/>
          <w:szCs w:val="21"/>
        </w:rPr>
        <w:t>m</w:t>
      </w:r>
      <w:r>
        <w:rPr>
          <w:rFonts w:ascii="Times New Roman" w:hAnsi="Times New Roman"/>
          <w:b/>
          <w:caps w:val="0"/>
          <w:smallCaps w:val="0"/>
          <w:color w:val="auto"/>
          <w:szCs w:val="21"/>
          <w:vertAlign w:val="superscript"/>
        </w:rPr>
        <w:t>3</w:t>
      </w:r>
      <w:r>
        <w:rPr>
          <w:rFonts w:ascii="Times New Roman" w:hAnsi="Times New Roman"/>
          <w:b/>
          <w:caps w:val="0"/>
          <w:smallCaps w:val="0"/>
          <w:color w:val="auto"/>
          <w:szCs w:val="21"/>
        </w:rPr>
        <w:t>/d</w:t>
      </w:r>
      <w:r>
        <w:rPr>
          <w:rFonts w:hint="eastAsia" w:ascii="Times New Roman" w:hAnsi="Times New Roman"/>
          <w:b/>
          <w:caps w:val="0"/>
          <w:smallCaps w:val="0"/>
          <w:color w:val="auto"/>
          <w:szCs w:val="21"/>
        </w:rPr>
        <w:t>）</w:t>
      </w:r>
    </w:p>
    <w:p>
      <w:pPr>
        <w:pStyle w:val="33"/>
        <w:bidi w:val="0"/>
        <w:rPr>
          <w:color w:val="auto"/>
        </w:rPr>
      </w:pPr>
      <w:r>
        <w:rPr>
          <w:color w:val="auto"/>
        </w:rPr>
        <w:t>（3）供电：</w:t>
      </w:r>
    </w:p>
    <w:p>
      <w:pPr>
        <w:pStyle w:val="33"/>
        <w:bidi w:val="0"/>
        <w:rPr>
          <w:color w:val="auto"/>
        </w:rPr>
      </w:pPr>
      <w:r>
        <w:rPr>
          <w:rFonts w:hint="eastAsia"/>
          <w:color w:val="auto"/>
        </w:rPr>
        <w:t>生产装置及辅助设施用电设备总容量：307.2KW，负荷等级为二级。进线电压为380V，厂区主配电压380/220V。</w:t>
      </w:r>
    </w:p>
    <w:p>
      <w:pPr>
        <w:pStyle w:val="33"/>
        <w:bidi w:val="0"/>
        <w:rPr>
          <w:rFonts w:hint="eastAsia"/>
          <w:color w:val="auto"/>
          <w:lang w:eastAsia="zh-CN"/>
        </w:rPr>
      </w:pPr>
      <w:r>
        <w:rPr>
          <w:rFonts w:hint="eastAsia"/>
          <w:color w:val="auto"/>
        </w:rPr>
        <w:t>（4）供</w:t>
      </w:r>
      <w:r>
        <w:rPr>
          <w:rFonts w:hint="eastAsia"/>
          <w:color w:val="auto"/>
          <w:lang w:val="en-US" w:eastAsia="zh-CN"/>
        </w:rPr>
        <w:t>汽</w:t>
      </w:r>
    </w:p>
    <w:p>
      <w:pPr>
        <w:pStyle w:val="33"/>
        <w:bidi w:val="0"/>
        <w:rPr>
          <w:color w:val="auto"/>
        </w:rPr>
      </w:pPr>
      <w:r>
        <w:rPr>
          <w:rFonts w:hint="eastAsia"/>
          <w:color w:val="auto"/>
          <w:lang w:val="en-US" w:eastAsia="zh-CN"/>
        </w:rPr>
        <w:t>厂区不设置锅炉供汽，蒸汽</w:t>
      </w:r>
      <w:r>
        <w:rPr>
          <w:rFonts w:hint="eastAsia"/>
          <w:color w:val="auto"/>
        </w:rPr>
        <w:t>由湖南岳阳市云溪工业园区提供，规格为压力0.6Mpa、温度158.9℃，能满足本项目供热要求。</w:t>
      </w:r>
    </w:p>
    <w:p>
      <w:pPr>
        <w:pStyle w:val="33"/>
        <w:bidi w:val="0"/>
        <w:rPr>
          <w:color w:val="auto"/>
        </w:rPr>
      </w:pPr>
      <w:r>
        <w:rPr>
          <w:rFonts w:hint="eastAsia"/>
          <w:color w:val="auto"/>
        </w:rPr>
        <w:t>（5）消防</w:t>
      </w:r>
    </w:p>
    <w:p>
      <w:pPr>
        <w:pStyle w:val="33"/>
        <w:bidi w:val="0"/>
        <w:rPr>
          <w:rFonts w:hint="eastAsia" w:ascii="Times New Roman" w:hAnsi="Times New Roman"/>
          <w:caps w:val="0"/>
          <w:smallCaps w:val="0"/>
          <w:color w:val="auto"/>
          <w:spacing w:val="5"/>
          <w:sz w:val="24"/>
          <w:u w:val="single"/>
          <w:lang w:val="en-US" w:eastAsia="zh-CN"/>
        </w:rPr>
      </w:pPr>
      <w:r>
        <w:rPr>
          <w:rFonts w:hint="eastAsia" w:ascii="Times New Roman" w:hAnsi="Times New Roman"/>
          <w:caps w:val="0"/>
          <w:smallCaps w:val="0"/>
          <w:color w:val="auto"/>
          <w:kern w:val="0"/>
          <w:sz w:val="24"/>
          <w:szCs w:val="24"/>
          <w:lang w:val="en-US" w:eastAsia="zh-CN"/>
        </w:rPr>
        <w:t>在</w:t>
      </w:r>
      <w:r>
        <w:rPr>
          <w:rFonts w:hint="eastAsia" w:ascii="Times New Roman" w:hAnsi="Times New Roman"/>
          <w:caps w:val="0"/>
          <w:smallCaps w:val="0"/>
          <w:color w:val="auto"/>
          <w:kern w:val="0"/>
          <w:sz w:val="24"/>
          <w:szCs w:val="24"/>
        </w:rPr>
        <w:t>一期厂区北侧占地面积为168m</w:t>
      </w:r>
      <w:r>
        <w:rPr>
          <w:rFonts w:hint="eastAsia" w:ascii="Times New Roman" w:hAnsi="Times New Roman"/>
          <w:caps w:val="0"/>
          <w:smallCaps w:val="0"/>
          <w:color w:val="auto"/>
          <w:kern w:val="0"/>
          <w:sz w:val="24"/>
          <w:szCs w:val="24"/>
          <w:vertAlign w:val="superscript"/>
        </w:rPr>
        <w:t>2</w:t>
      </w:r>
      <w:r>
        <w:rPr>
          <w:rFonts w:hint="eastAsia" w:ascii="Times New Roman" w:hAnsi="Times New Roman"/>
          <w:caps w:val="0"/>
          <w:smallCaps w:val="0"/>
          <w:color w:val="auto"/>
          <w:kern w:val="0"/>
          <w:sz w:val="24"/>
          <w:szCs w:val="24"/>
        </w:rPr>
        <w:t>，高度为3.5m，总容积为588m³的消防水池作为消防用水水源，并由工业园区自来水主管上接入一管径为DN65，压力为0.4MPa的自来水管作为该消防水池补水水源。依据《消防给水及消火栓系统技术规范》（GB50974-2014），本项目最大消防用水的建（构）筑物单体为生产车间（甲类），其室外消火栓设计流量为 25L/S，室内消火栓设计流量为10L/S，其同一时间的火灾起数按1次计，火灾延续时间按 3h计，总消防用水量为3×3600×35/1000=378m</w:t>
      </w:r>
      <w:r>
        <w:rPr>
          <w:rFonts w:hint="eastAsia" w:ascii="Times New Roman" w:hAnsi="Times New Roman"/>
          <w:caps w:val="0"/>
          <w:smallCaps w:val="0"/>
          <w:color w:val="auto"/>
          <w:kern w:val="0"/>
          <w:sz w:val="24"/>
          <w:szCs w:val="24"/>
          <w:vertAlign w:val="superscript"/>
        </w:rPr>
        <w:t>3</w:t>
      </w:r>
      <w:r>
        <w:rPr>
          <w:rFonts w:hint="eastAsia" w:ascii="Times New Roman" w:hAnsi="Times New Roman"/>
          <w:caps w:val="0"/>
          <w:smallCaps w:val="0"/>
          <w:color w:val="auto"/>
          <w:kern w:val="0"/>
          <w:sz w:val="24"/>
          <w:szCs w:val="24"/>
        </w:rPr>
        <w:t>，消防水池的设置满足项目对消防水量的要求。</w:t>
      </w:r>
    </w:p>
    <w:p>
      <w:pPr>
        <w:pStyle w:val="31"/>
        <w:bidi w:val="0"/>
        <w:rPr>
          <w:rFonts w:hint="eastAsia"/>
          <w:color w:val="auto"/>
        </w:rPr>
      </w:pPr>
      <w:bookmarkStart w:id="45" w:name="_Toc8698"/>
      <w:bookmarkStart w:id="46" w:name="_Toc26153"/>
      <w:r>
        <w:rPr>
          <w:rFonts w:hint="eastAsia"/>
          <w:color w:val="auto"/>
          <w:lang w:val="en-US" w:eastAsia="zh-CN"/>
        </w:rPr>
        <w:t>3</w:t>
      </w:r>
      <w:r>
        <w:rPr>
          <w:color w:val="auto"/>
        </w:rPr>
        <w:t>.</w:t>
      </w:r>
      <w:r>
        <w:rPr>
          <w:rFonts w:hint="eastAsia"/>
          <w:color w:val="auto"/>
        </w:rPr>
        <w:t>2</w:t>
      </w:r>
      <w:r>
        <w:rPr>
          <w:color w:val="auto"/>
        </w:rPr>
        <w:t>现有工程</w:t>
      </w:r>
      <w:r>
        <w:rPr>
          <w:rFonts w:hint="eastAsia"/>
          <w:color w:val="auto"/>
        </w:rPr>
        <w:t>生产工艺及产污环节</w:t>
      </w:r>
      <w:bookmarkEnd w:id="44"/>
      <w:bookmarkEnd w:id="45"/>
      <w:bookmarkEnd w:id="46"/>
    </w:p>
    <w:p>
      <w:pPr>
        <w:pStyle w:val="32"/>
        <w:bidi w:val="0"/>
        <w:rPr>
          <w:rFonts w:hint="default"/>
          <w:color w:val="auto"/>
          <w:lang w:val="en-US" w:eastAsia="zh-CN"/>
        </w:rPr>
      </w:pPr>
      <w:bookmarkStart w:id="47" w:name="_Toc17428"/>
      <w:r>
        <w:rPr>
          <w:rFonts w:hint="eastAsia"/>
          <w:color w:val="auto"/>
          <w:lang w:val="en-US" w:eastAsia="zh-CN"/>
        </w:rPr>
        <w:t>3.2.1现有一期项目（已建）</w:t>
      </w:r>
      <w:bookmarkEnd w:id="47"/>
    </w:p>
    <w:p>
      <w:pPr>
        <w:pStyle w:val="33"/>
        <w:bidi w:val="0"/>
        <w:rPr>
          <w:b/>
          <w:bCs/>
          <w:color w:val="auto"/>
          <w:lang w:val="de-DE"/>
        </w:rPr>
      </w:pPr>
      <w:r>
        <w:rPr>
          <w:rFonts w:hint="eastAsia"/>
          <w:b/>
          <w:bCs/>
          <w:color w:val="auto"/>
          <w:lang w:val="de-DE" w:eastAsia="zh-CN"/>
        </w:rPr>
        <w:t>（</w:t>
      </w:r>
      <w:r>
        <w:rPr>
          <w:rFonts w:hint="eastAsia"/>
          <w:b/>
          <w:bCs/>
          <w:color w:val="auto"/>
          <w:lang w:val="en-US" w:eastAsia="zh-CN"/>
        </w:rPr>
        <w:t>1</w:t>
      </w:r>
      <w:r>
        <w:rPr>
          <w:rFonts w:hint="eastAsia"/>
          <w:b/>
          <w:bCs/>
          <w:color w:val="auto"/>
          <w:lang w:val="de-DE" w:eastAsia="zh-CN"/>
        </w:rPr>
        <w:t>）</w:t>
      </w:r>
      <w:r>
        <w:rPr>
          <w:b/>
          <w:bCs/>
          <w:color w:val="auto"/>
          <w:lang w:val="de-DE"/>
        </w:rPr>
        <w:t>二氯丙烷</w:t>
      </w:r>
      <w:r>
        <w:rPr>
          <w:rFonts w:hint="eastAsia"/>
          <w:b/>
          <w:bCs/>
          <w:color w:val="auto"/>
          <w:lang w:val="de-DE"/>
        </w:rPr>
        <w:t>生产工艺及产污环节</w:t>
      </w:r>
    </w:p>
    <w:p>
      <w:pPr>
        <w:pStyle w:val="33"/>
        <w:bidi w:val="0"/>
        <w:rPr>
          <w:color w:val="auto"/>
          <w:lang w:val="de-DE"/>
        </w:rPr>
      </w:pPr>
      <w:r>
        <w:rPr>
          <w:rFonts w:hint="eastAsia"/>
          <w:color w:val="auto"/>
          <w:lang w:val="de-DE"/>
        </w:rPr>
        <w:t>（1）工艺流程简介</w:t>
      </w:r>
    </w:p>
    <w:p>
      <w:pPr>
        <w:pStyle w:val="33"/>
        <w:bidi w:val="0"/>
        <w:rPr>
          <w:color w:val="auto"/>
        </w:rPr>
      </w:pPr>
      <w:r>
        <w:rPr>
          <w:color w:val="auto"/>
        </w:rPr>
        <w:t>外购的</w:t>
      </w:r>
      <w:r>
        <w:rPr>
          <w:rFonts w:hint="eastAsia"/>
          <w:color w:val="auto"/>
          <w:lang w:eastAsia="zh-CN"/>
        </w:rPr>
        <w:t>工业用二氯丙烷</w:t>
      </w:r>
      <w:r>
        <w:rPr>
          <w:color w:val="auto"/>
        </w:rPr>
        <w:t>进入原料油罐区储存，经原料油泵送入初馏塔塔釜，通过导热油对初馏塔升温，并对温度进行控制，在负压状态下，切取90</w:t>
      </w:r>
      <w:r>
        <w:rPr>
          <w:rFonts w:hint="eastAsia"/>
          <w:color w:val="auto"/>
        </w:rPr>
        <w:t>℃</w:t>
      </w:r>
      <w:r>
        <w:rPr>
          <w:color w:val="auto"/>
        </w:rPr>
        <w:t>～105</w:t>
      </w:r>
      <w:r>
        <w:rPr>
          <w:rFonts w:hint="eastAsia"/>
          <w:color w:val="auto"/>
        </w:rPr>
        <w:t>℃</w:t>
      </w:r>
      <w:r>
        <w:rPr>
          <w:color w:val="auto"/>
        </w:rPr>
        <w:t>温度范围内的初馏产物作为轻组分，切取105</w:t>
      </w:r>
      <w:r>
        <w:rPr>
          <w:rFonts w:hint="eastAsia"/>
          <w:color w:val="auto"/>
        </w:rPr>
        <w:t>℃</w:t>
      </w:r>
      <w:r>
        <w:rPr>
          <w:color w:val="auto"/>
        </w:rPr>
        <w:t>～170</w:t>
      </w:r>
      <w:r>
        <w:rPr>
          <w:rFonts w:hint="eastAsia"/>
          <w:color w:val="auto"/>
        </w:rPr>
        <w:t>℃</w:t>
      </w:r>
      <w:r>
        <w:rPr>
          <w:color w:val="auto"/>
        </w:rPr>
        <w:t>温度范围内的初馏产物作为产品二氯丙烷。</w:t>
      </w:r>
    </w:p>
    <w:p>
      <w:pPr>
        <w:pStyle w:val="33"/>
        <w:bidi w:val="0"/>
        <w:rPr>
          <w:color w:val="auto"/>
          <w:lang w:val="de-DE"/>
        </w:rPr>
      </w:pPr>
      <w:r>
        <w:rPr>
          <w:color w:val="auto"/>
        </w:rPr>
        <w:t>初馏系统采用负压工作状态，由水环式真空泵给初馏系统抽真空。</w:t>
      </w:r>
      <w:r>
        <w:rPr>
          <w:rFonts w:hint="eastAsia"/>
          <w:color w:val="auto"/>
        </w:rPr>
        <w:t>精馏塔供热采用蒸汽提供。</w:t>
      </w:r>
      <w:r>
        <w:rPr>
          <w:color w:val="auto"/>
        </w:rPr>
        <w:t>具体工艺流程和产污节点见图</w:t>
      </w:r>
      <w:r>
        <w:rPr>
          <w:rFonts w:hint="eastAsia"/>
          <w:color w:val="auto"/>
          <w:lang w:val="en-US" w:eastAsia="zh-CN"/>
        </w:rPr>
        <w:t>3.2</w:t>
      </w:r>
      <w:r>
        <w:rPr>
          <w:color w:val="auto"/>
        </w:rPr>
        <w:t>-</w:t>
      </w:r>
      <w:r>
        <w:rPr>
          <w:rFonts w:hint="eastAsia"/>
          <w:color w:val="auto"/>
        </w:rPr>
        <w:t>1</w:t>
      </w:r>
      <w:r>
        <w:rPr>
          <w:color w:val="auto"/>
          <w:lang w:val="de-DE"/>
        </w:rPr>
        <w:t>。</w:t>
      </w:r>
    </w:p>
    <w:p>
      <w:pPr>
        <w:spacing w:line="360" w:lineRule="auto"/>
        <w:ind w:firstLine="480"/>
        <w:jc w:val="center"/>
        <w:rPr>
          <w:rFonts w:ascii="Times New Roman" w:hAnsi="Times New Roman"/>
          <w:caps w:val="0"/>
          <w:smallCaps w:val="0"/>
          <w:color w:val="auto"/>
          <w:sz w:val="24"/>
          <w:szCs w:val="24"/>
        </w:rPr>
      </w:pPr>
      <w:r>
        <w:rPr>
          <w:rFonts w:ascii="Times New Roman" w:hAnsi="Times New Roman"/>
          <w:caps w:val="0"/>
          <w:smallCaps w:val="0"/>
          <w:color w:val="auto"/>
          <w:sz w:val="24"/>
          <w:szCs w:val="24"/>
        </w:rPr>
        <mc:AlternateContent>
          <mc:Choice Requires="wpc">
            <w:drawing>
              <wp:inline distT="0" distB="0" distL="0" distR="0">
                <wp:extent cx="5334000" cy="2857500"/>
                <wp:effectExtent l="0" t="0" r="0" b="0"/>
                <wp:docPr id="1" name="画布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0" name="Rectangle 10050"/>
                        <wps:cNvSpPr>
                          <a:spLocks noChangeArrowheads="1"/>
                        </wps:cNvSpPr>
                        <wps:spPr bwMode="auto">
                          <a:xfrm>
                            <a:off x="1792815" y="36005"/>
                            <a:ext cx="988808" cy="218413"/>
                          </a:xfrm>
                          <a:prstGeom prst="rect">
                            <a:avLst/>
                          </a:prstGeom>
                          <a:noFill/>
                          <a:ln>
                            <a:noFill/>
                          </a:ln>
                          <a:effectLst/>
                        </wps:spPr>
                        <wps:txbx>
                          <w:txbxContent>
                            <w:p>
                              <w:pPr>
                                <w:rPr>
                                  <w:rFonts w:hint="eastAsia" w:eastAsia="宋体"/>
                                  <w:szCs w:val="21"/>
                                  <w:lang w:eastAsia="zh-CN"/>
                                </w:rPr>
                              </w:pPr>
                              <w:r>
                                <w:rPr>
                                  <w:rFonts w:hint="eastAsia"/>
                                  <w:szCs w:val="21"/>
                                  <w:lang w:eastAsia="zh-CN"/>
                                </w:rPr>
                                <w:t>工业用二氯丙烷</w:t>
                              </w:r>
                            </w:p>
                            <w:p>
                              <w:pPr>
                                <w:rPr>
                                  <w:szCs w:val="21"/>
                                </w:rPr>
                              </w:pPr>
                            </w:p>
                          </w:txbxContent>
                        </wps:txbx>
                        <wps:bodyPr rot="0" vert="horz" wrap="square" lIns="0" tIns="0" rIns="0" bIns="0" anchor="t" anchorCtr="0" upright="1">
                          <a:noAutofit/>
                        </wps:bodyPr>
                      </wps:wsp>
                      <wps:wsp>
                        <wps:cNvPr id="181" name="Line 10056"/>
                        <wps:cNvCnPr/>
                        <wps:spPr bwMode="auto">
                          <a:xfrm>
                            <a:off x="2231219" y="220015"/>
                            <a:ext cx="800" cy="324019"/>
                          </a:xfrm>
                          <a:prstGeom prst="line">
                            <a:avLst/>
                          </a:prstGeom>
                          <a:noFill/>
                          <a:ln w="9525">
                            <a:solidFill>
                              <a:srgbClr val="000000"/>
                            </a:solidFill>
                            <a:round/>
                            <a:tailEnd type="triangle" w="med" len="med"/>
                          </a:ln>
                          <a:effectLst/>
                        </wps:spPr>
                        <wps:bodyPr/>
                      </wps:wsp>
                      <wps:wsp>
                        <wps:cNvPr id="182" name="Rectangle 10057"/>
                        <wps:cNvSpPr>
                          <a:spLocks noChangeArrowheads="1"/>
                        </wps:cNvSpPr>
                        <wps:spPr bwMode="auto">
                          <a:xfrm>
                            <a:off x="1764815" y="574435"/>
                            <a:ext cx="900008" cy="198411"/>
                          </a:xfrm>
                          <a:prstGeom prst="rect">
                            <a:avLst/>
                          </a:prstGeom>
                          <a:solidFill>
                            <a:srgbClr val="FFFFFF"/>
                          </a:solidFill>
                          <a:ln w="9525">
                            <a:solidFill>
                              <a:srgbClr val="000000"/>
                            </a:solidFill>
                            <a:miter lim="800000"/>
                          </a:ln>
                          <a:effectLst/>
                        </wps:spPr>
                        <wps:txbx>
                          <w:txbxContent>
                            <w:p>
                              <w:pPr>
                                <w:jc w:val="center"/>
                                <w:rPr>
                                  <w:szCs w:val="21"/>
                                </w:rPr>
                              </w:pPr>
                              <w:r>
                                <w:rPr>
                                  <w:rFonts w:hint="eastAsia"/>
                                  <w:lang w:eastAsia="zh-CN"/>
                                </w:rPr>
                                <w:t>初</w:t>
                              </w:r>
                              <w:r>
                                <w:rPr>
                                  <w:rFonts w:hint="eastAsia"/>
                                </w:rPr>
                                <w:t>蒸馏</w:t>
                              </w:r>
                            </w:p>
                          </w:txbxContent>
                        </wps:txbx>
                        <wps:bodyPr rot="0" vert="horz" wrap="square" lIns="0" tIns="0" rIns="0" bIns="0" anchor="t" anchorCtr="0" upright="1">
                          <a:noAutofit/>
                        </wps:bodyPr>
                      </wps:wsp>
                      <wps:wsp>
                        <wps:cNvPr id="183" name="Line 10059"/>
                        <wps:cNvCnPr/>
                        <wps:spPr bwMode="auto">
                          <a:xfrm>
                            <a:off x="2232819" y="800848"/>
                            <a:ext cx="800" cy="324019"/>
                          </a:xfrm>
                          <a:prstGeom prst="line">
                            <a:avLst/>
                          </a:prstGeom>
                          <a:noFill/>
                          <a:ln w="9525">
                            <a:solidFill>
                              <a:srgbClr val="000000"/>
                            </a:solidFill>
                            <a:round/>
                            <a:tailEnd type="triangle" w="med" len="med"/>
                          </a:ln>
                          <a:effectLst/>
                        </wps:spPr>
                        <wps:bodyPr/>
                      </wps:wsp>
                      <wps:wsp>
                        <wps:cNvPr id="184" name="Line 10061"/>
                        <wps:cNvCnPr/>
                        <wps:spPr bwMode="auto">
                          <a:xfrm>
                            <a:off x="2232819" y="1348080"/>
                            <a:ext cx="0" cy="326419"/>
                          </a:xfrm>
                          <a:prstGeom prst="line">
                            <a:avLst/>
                          </a:prstGeom>
                          <a:noFill/>
                          <a:ln w="9525">
                            <a:solidFill>
                              <a:srgbClr val="000000"/>
                            </a:solidFill>
                            <a:round/>
                            <a:tailEnd type="triangle" w="med" len="med"/>
                          </a:ln>
                          <a:effectLst/>
                        </wps:spPr>
                        <wps:bodyPr/>
                      </wps:wsp>
                      <wps:wsp>
                        <wps:cNvPr id="185" name="Rectangle 10064"/>
                        <wps:cNvSpPr>
                          <a:spLocks noChangeArrowheads="1"/>
                        </wps:cNvSpPr>
                        <wps:spPr bwMode="auto">
                          <a:xfrm>
                            <a:off x="1767215" y="1124918"/>
                            <a:ext cx="914408" cy="198411"/>
                          </a:xfrm>
                          <a:prstGeom prst="rect">
                            <a:avLst/>
                          </a:prstGeom>
                          <a:solidFill>
                            <a:srgbClr val="FFFFFF"/>
                          </a:solidFill>
                          <a:ln w="9525" algn="ctr">
                            <a:solidFill>
                              <a:srgbClr val="000000"/>
                            </a:solidFill>
                            <a:miter lim="800000"/>
                          </a:ln>
                          <a:effectLst/>
                        </wps:spPr>
                        <wps:txbx>
                          <w:txbxContent>
                            <w:p>
                              <w:pPr>
                                <w:jc w:val="center"/>
                                <w:rPr>
                                  <w:rFonts w:hint="eastAsia" w:eastAsia="宋体"/>
                                  <w:szCs w:val="21"/>
                                  <w:lang w:eastAsia="zh-CN"/>
                                </w:rPr>
                              </w:pPr>
                              <w:r>
                                <w:rPr>
                                  <w:rFonts w:hint="eastAsia"/>
                                  <w:szCs w:val="21"/>
                                  <w:lang w:eastAsia="zh-CN"/>
                                </w:rPr>
                                <w:t>油水分层</w:t>
                              </w:r>
                            </w:p>
                          </w:txbxContent>
                        </wps:txbx>
                        <wps:bodyPr rot="0" vert="horz" wrap="square" lIns="0" tIns="0" rIns="0" bIns="0" anchor="t" anchorCtr="0" upright="1">
                          <a:noAutofit/>
                        </wps:bodyPr>
                      </wps:wsp>
                      <wps:wsp>
                        <wps:cNvPr id="186" name="Rectangle 10119"/>
                        <wps:cNvSpPr>
                          <a:spLocks noChangeArrowheads="1"/>
                        </wps:cNvSpPr>
                        <wps:spPr bwMode="auto">
                          <a:xfrm>
                            <a:off x="3021625" y="1092656"/>
                            <a:ext cx="511204" cy="197611"/>
                          </a:xfrm>
                          <a:prstGeom prst="rect">
                            <a:avLst/>
                          </a:prstGeom>
                          <a:noFill/>
                          <a:ln>
                            <a:noFill/>
                          </a:ln>
                          <a:effectLst/>
                        </wps:spPr>
                        <wps:txbx>
                          <w:txbxContent>
                            <w:p>
                              <w:pPr>
                                <w:rPr>
                                  <w:szCs w:val="21"/>
                                </w:rPr>
                              </w:pPr>
                              <w:r>
                                <w:rPr>
                                  <w:rFonts w:hint="eastAsia"/>
                                  <w:szCs w:val="21"/>
                                </w:rPr>
                                <w:t>W</w:t>
                              </w:r>
                              <w:r>
                                <w:rPr>
                                  <w:rFonts w:hint="eastAsia"/>
                                  <w:szCs w:val="21"/>
                                  <w:vertAlign w:val="subscript"/>
                                </w:rPr>
                                <w:t xml:space="preserve">1-1 </w:t>
                              </w:r>
                            </w:p>
                            <w:p>
                              <w:pPr>
                                <w:ind w:firstLine="105" w:firstLineChars="50"/>
                                <w:rPr>
                                  <w:szCs w:val="21"/>
                                </w:rPr>
                              </w:pPr>
                            </w:p>
                          </w:txbxContent>
                        </wps:txbx>
                        <wps:bodyPr rot="0" vert="horz" wrap="square" lIns="91440" tIns="0" rIns="91440" bIns="0" anchor="t" anchorCtr="0" upright="1">
                          <a:noAutofit/>
                        </wps:bodyPr>
                      </wps:wsp>
                      <wps:wsp>
                        <wps:cNvPr id="187" name="Rectangle 10129"/>
                        <wps:cNvSpPr>
                          <a:spLocks noChangeArrowheads="1"/>
                        </wps:cNvSpPr>
                        <wps:spPr bwMode="auto">
                          <a:xfrm>
                            <a:off x="1257935" y="1951355"/>
                            <a:ext cx="942340" cy="199390"/>
                          </a:xfrm>
                          <a:prstGeom prst="rect">
                            <a:avLst/>
                          </a:prstGeom>
                          <a:noFill/>
                          <a:ln>
                            <a:noFill/>
                          </a:ln>
                          <a:effectLst/>
                        </wps:spPr>
                        <wps:txbx>
                          <w:txbxContent>
                            <w:p>
                              <w:pPr>
                                <w:rPr>
                                  <w:szCs w:val="21"/>
                                </w:rPr>
                              </w:pPr>
                              <w:r>
                                <w:rPr>
                                  <w:rFonts w:hint="eastAsia"/>
                                  <w:szCs w:val="21"/>
                                </w:rPr>
                                <w:t>精馏釜残S</w:t>
                              </w:r>
                              <w:r>
                                <w:rPr>
                                  <w:rFonts w:hint="eastAsia"/>
                                  <w:szCs w:val="21"/>
                                  <w:vertAlign w:val="subscript"/>
                                </w:rPr>
                                <w:t>1-1</w:t>
                              </w:r>
                            </w:p>
                            <w:p>
                              <w:pPr>
                                <w:ind w:firstLine="105" w:firstLineChars="50"/>
                                <w:rPr>
                                  <w:szCs w:val="21"/>
                                </w:rPr>
                              </w:pPr>
                            </w:p>
                          </w:txbxContent>
                        </wps:txbx>
                        <wps:bodyPr rot="0" vert="horz" wrap="square" lIns="91440" tIns="0" rIns="91440" bIns="0" anchor="t" anchorCtr="0" upright="1">
                          <a:noAutofit/>
                        </wps:bodyPr>
                      </wps:wsp>
                      <wps:wsp>
                        <wps:cNvPr id="188" name="Rectangle 10140"/>
                        <wps:cNvSpPr>
                          <a:spLocks noChangeArrowheads="1"/>
                        </wps:cNvSpPr>
                        <wps:spPr bwMode="auto">
                          <a:xfrm>
                            <a:off x="3047365" y="595630"/>
                            <a:ext cx="438150" cy="196850"/>
                          </a:xfrm>
                          <a:prstGeom prst="rect">
                            <a:avLst/>
                          </a:prstGeom>
                          <a:noFill/>
                          <a:ln>
                            <a:noFill/>
                          </a:ln>
                          <a:effectLst/>
                        </wps:spPr>
                        <wps:txbx>
                          <w:txbxContent>
                            <w:p>
                              <w:pPr>
                                <w:rPr>
                                  <w:szCs w:val="21"/>
                                </w:rPr>
                              </w:pPr>
                              <w:r>
                                <w:rPr>
                                  <w:rFonts w:hint="eastAsia"/>
                                  <w:szCs w:val="21"/>
                                </w:rPr>
                                <w:t>G</w:t>
                              </w:r>
                              <w:r>
                                <w:rPr>
                                  <w:rFonts w:hint="eastAsia"/>
                                  <w:szCs w:val="21"/>
                                  <w:vertAlign w:val="subscript"/>
                                </w:rPr>
                                <w:t>1-1</w:t>
                              </w:r>
                            </w:p>
                            <w:p>
                              <w:pPr>
                                <w:ind w:firstLine="105" w:firstLineChars="50"/>
                                <w:rPr>
                                  <w:szCs w:val="21"/>
                                </w:rPr>
                              </w:pPr>
                            </w:p>
                          </w:txbxContent>
                        </wps:txbx>
                        <wps:bodyPr rot="0" vert="horz" wrap="square" lIns="91440" tIns="0" rIns="91440" bIns="0" anchor="t" anchorCtr="0" upright="1">
                          <a:noAutofit/>
                        </wps:bodyPr>
                      </wps:wsp>
                      <wps:wsp>
                        <wps:cNvPr id="189" name="Rectangle 10123"/>
                        <wps:cNvSpPr>
                          <a:spLocks noChangeArrowheads="1"/>
                        </wps:cNvSpPr>
                        <wps:spPr bwMode="auto">
                          <a:xfrm>
                            <a:off x="1610360" y="2388870"/>
                            <a:ext cx="1415415" cy="179070"/>
                          </a:xfrm>
                          <a:prstGeom prst="rect">
                            <a:avLst/>
                          </a:prstGeom>
                          <a:noFill/>
                          <a:ln>
                            <a:noFill/>
                          </a:ln>
                          <a:effectLst/>
                        </wps:spPr>
                        <wps:txbx>
                          <w:txbxContent>
                            <w:p>
                              <w:pPr>
                                <w:jc w:val="center"/>
                                <w:rPr>
                                  <w:szCs w:val="21"/>
                                </w:rPr>
                              </w:pPr>
                              <w:r>
                                <w:rPr>
                                  <w:rFonts w:hint="eastAsia"/>
                                  <w:szCs w:val="21"/>
                                </w:rPr>
                                <w:t>二氯丙烷（产品）</w:t>
                              </w:r>
                            </w:p>
                            <w:p>
                              <w:pPr>
                                <w:rPr>
                                  <w:szCs w:val="21"/>
                                </w:rPr>
                              </w:pPr>
                            </w:p>
                          </w:txbxContent>
                        </wps:txbx>
                        <wps:bodyPr rot="0" vert="horz" wrap="square" lIns="0" tIns="0" rIns="0" bIns="0" anchor="t" anchorCtr="0" upright="1">
                          <a:noAutofit/>
                        </wps:bodyPr>
                      </wps:wsp>
                      <wps:wsp>
                        <wps:cNvPr id="190" name="Line 10059"/>
                        <wps:cNvCnPr/>
                        <wps:spPr bwMode="auto">
                          <a:xfrm>
                            <a:off x="1951355" y="1845945"/>
                            <a:ext cx="635" cy="135255"/>
                          </a:xfrm>
                          <a:prstGeom prst="line">
                            <a:avLst/>
                          </a:prstGeom>
                          <a:noFill/>
                          <a:ln w="9525">
                            <a:solidFill>
                              <a:srgbClr val="000000"/>
                            </a:solidFill>
                            <a:round/>
                            <a:tailEnd type="triangle" w="med" len="med"/>
                          </a:ln>
                          <a:effectLst/>
                        </wps:spPr>
                        <wps:bodyPr/>
                      </wps:wsp>
                      <wps:wsp>
                        <wps:cNvPr id="191" name="Line 10136"/>
                        <wps:cNvCnPr/>
                        <wps:spPr bwMode="auto">
                          <a:xfrm>
                            <a:off x="2681623" y="1207272"/>
                            <a:ext cx="340003" cy="1600"/>
                          </a:xfrm>
                          <a:prstGeom prst="line">
                            <a:avLst/>
                          </a:prstGeom>
                          <a:noFill/>
                          <a:ln w="9525">
                            <a:solidFill>
                              <a:srgbClr val="000000"/>
                            </a:solidFill>
                            <a:round/>
                            <a:tailEnd type="triangle" w="med" len="med"/>
                          </a:ln>
                          <a:effectLst/>
                        </wps:spPr>
                        <wps:bodyPr/>
                      </wps:wsp>
                      <wps:wsp>
                        <wps:cNvPr id="228" name="Line 10136"/>
                        <wps:cNvCnPr/>
                        <wps:spPr bwMode="auto">
                          <a:xfrm>
                            <a:off x="2664823" y="687851"/>
                            <a:ext cx="340003" cy="800"/>
                          </a:xfrm>
                          <a:prstGeom prst="line">
                            <a:avLst/>
                          </a:prstGeom>
                          <a:noFill/>
                          <a:ln w="9525">
                            <a:solidFill>
                              <a:srgbClr val="000000"/>
                            </a:solidFill>
                            <a:round/>
                            <a:tailEnd type="triangle" w="med" len="med"/>
                          </a:ln>
                          <a:effectLst/>
                        </wps:spPr>
                        <wps:bodyPr/>
                      </wps:wsp>
                      <wps:wsp>
                        <wps:cNvPr id="229" name="Rectangle 10119"/>
                        <wps:cNvSpPr>
                          <a:spLocks noChangeArrowheads="1"/>
                        </wps:cNvSpPr>
                        <wps:spPr bwMode="auto">
                          <a:xfrm>
                            <a:off x="2680970" y="975995"/>
                            <a:ext cx="511175" cy="197485"/>
                          </a:xfrm>
                          <a:prstGeom prst="rect">
                            <a:avLst/>
                          </a:prstGeom>
                          <a:noFill/>
                          <a:ln>
                            <a:noFill/>
                          </a:ln>
                          <a:effectLst/>
                        </wps:spPr>
                        <wps:txbx>
                          <w:txbxContent>
                            <w:p>
                              <w:pPr>
                                <w:rPr>
                                  <w:rFonts w:hint="eastAsia" w:eastAsia="宋体"/>
                                  <w:szCs w:val="21"/>
                                  <w:lang w:eastAsia="zh-CN"/>
                                </w:rPr>
                              </w:pPr>
                              <w:r>
                                <w:rPr>
                                  <w:rFonts w:hint="eastAsia"/>
                                  <w:szCs w:val="21"/>
                                  <w:lang w:eastAsia="zh-CN"/>
                                </w:rPr>
                                <w:t>水相</w:t>
                              </w:r>
                            </w:p>
                          </w:txbxContent>
                        </wps:txbx>
                        <wps:bodyPr rot="0" vert="horz" wrap="square" lIns="91440" tIns="0" rIns="91440" bIns="0" anchor="t" anchorCtr="0" upright="1">
                          <a:noAutofit/>
                        </wps:bodyPr>
                      </wps:wsp>
                      <wps:wsp>
                        <wps:cNvPr id="249" name="Rectangle 10119"/>
                        <wps:cNvSpPr>
                          <a:spLocks noChangeArrowheads="1"/>
                        </wps:cNvSpPr>
                        <wps:spPr bwMode="auto">
                          <a:xfrm>
                            <a:off x="2204720" y="1407160"/>
                            <a:ext cx="511175" cy="197485"/>
                          </a:xfrm>
                          <a:prstGeom prst="rect">
                            <a:avLst/>
                          </a:prstGeom>
                          <a:noFill/>
                          <a:ln>
                            <a:noFill/>
                          </a:ln>
                          <a:effectLst/>
                        </wps:spPr>
                        <wps:txbx>
                          <w:txbxContent>
                            <w:p>
                              <w:pPr>
                                <w:rPr>
                                  <w:rFonts w:hint="eastAsia" w:eastAsia="宋体"/>
                                  <w:szCs w:val="21"/>
                                  <w:lang w:eastAsia="zh-CN"/>
                                </w:rPr>
                              </w:pPr>
                              <w:r>
                                <w:rPr>
                                  <w:rFonts w:hint="eastAsia"/>
                                  <w:szCs w:val="21"/>
                                  <w:lang w:eastAsia="zh-CN"/>
                                </w:rPr>
                                <w:t>油相</w:t>
                              </w:r>
                            </w:p>
                          </w:txbxContent>
                        </wps:txbx>
                        <wps:bodyPr rot="0" vert="horz" wrap="square" lIns="91440" tIns="0" rIns="91440" bIns="0" anchor="t" anchorCtr="0" upright="1">
                          <a:noAutofit/>
                        </wps:bodyPr>
                      </wps:wsp>
                      <wps:wsp>
                        <wps:cNvPr id="250" name="Line 10056"/>
                        <wps:cNvCnPr/>
                        <wps:spPr bwMode="auto">
                          <a:xfrm>
                            <a:off x="2252980" y="1892935"/>
                            <a:ext cx="635" cy="323850"/>
                          </a:xfrm>
                          <a:prstGeom prst="line">
                            <a:avLst/>
                          </a:prstGeom>
                          <a:noFill/>
                          <a:ln w="9525">
                            <a:solidFill>
                              <a:srgbClr val="000000"/>
                            </a:solidFill>
                            <a:round/>
                            <a:tailEnd type="triangle" w="med" len="med"/>
                          </a:ln>
                          <a:effectLst/>
                        </wps:spPr>
                        <wps:bodyPr/>
                      </wps:wsp>
                      <wps:wsp>
                        <wps:cNvPr id="265" name="Rectangle 10064"/>
                        <wps:cNvSpPr>
                          <a:spLocks noChangeArrowheads="1"/>
                        </wps:cNvSpPr>
                        <wps:spPr bwMode="auto">
                          <a:xfrm>
                            <a:off x="1823085" y="1656715"/>
                            <a:ext cx="914400" cy="198120"/>
                          </a:xfrm>
                          <a:prstGeom prst="rect">
                            <a:avLst/>
                          </a:prstGeom>
                          <a:solidFill>
                            <a:srgbClr val="FFFFFF"/>
                          </a:solidFill>
                          <a:ln w="9525" algn="ctr">
                            <a:solidFill>
                              <a:srgbClr val="000000"/>
                            </a:solidFill>
                            <a:miter lim="800000"/>
                          </a:ln>
                          <a:effectLst/>
                        </wps:spPr>
                        <wps:txbx>
                          <w:txbxContent>
                            <w:p>
                              <w:pPr>
                                <w:jc w:val="center"/>
                                <w:rPr>
                                  <w:rFonts w:hint="eastAsia" w:eastAsia="宋体"/>
                                  <w:szCs w:val="21"/>
                                  <w:lang w:eastAsia="zh-CN"/>
                                </w:rPr>
                              </w:pPr>
                              <w:r>
                                <w:rPr>
                                  <w:rFonts w:hint="eastAsia"/>
                                  <w:szCs w:val="21"/>
                                  <w:lang w:eastAsia="zh-CN"/>
                                </w:rPr>
                                <w:t>精馏</w:t>
                              </w:r>
                            </w:p>
                          </w:txbxContent>
                        </wps:txbx>
                        <wps:bodyPr rot="0" vert="horz" wrap="square" lIns="0" tIns="0" rIns="0" bIns="0" anchor="t" anchorCtr="0" upright="1">
                          <a:noAutofit/>
                        </wps:bodyPr>
                      </wps:wsp>
                      <wps:wsp>
                        <wps:cNvPr id="266" name="Line 10059"/>
                        <wps:cNvCnPr/>
                        <wps:spPr bwMode="auto">
                          <a:xfrm flipH="1" flipV="1">
                            <a:off x="1403985" y="1751965"/>
                            <a:ext cx="419100" cy="3810"/>
                          </a:xfrm>
                          <a:prstGeom prst="line">
                            <a:avLst/>
                          </a:prstGeom>
                          <a:noFill/>
                          <a:ln w="9525">
                            <a:solidFill>
                              <a:srgbClr val="000000"/>
                            </a:solidFill>
                            <a:round/>
                            <a:tailEnd type="triangle" w="med" len="med"/>
                          </a:ln>
                          <a:effectLst/>
                        </wps:spPr>
                        <wps:bodyPr/>
                      </wps:wsp>
                      <wps:wsp>
                        <wps:cNvPr id="267" name="直接连接符 152"/>
                        <wps:cNvCnPr/>
                        <wps:spPr bwMode="auto">
                          <a:xfrm flipV="1">
                            <a:off x="1393190" y="500380"/>
                            <a:ext cx="0" cy="1207770"/>
                          </a:xfrm>
                          <a:prstGeom prst="line">
                            <a:avLst/>
                          </a:prstGeom>
                          <a:noFill/>
                          <a:ln w="9525">
                            <a:solidFill>
                              <a:srgbClr val="000000"/>
                            </a:solidFill>
                            <a:round/>
                            <a:tailEnd type="triangle" w="med" len="med"/>
                          </a:ln>
                          <a:effectLst/>
                        </wps:spPr>
                        <wps:bodyPr/>
                      </wps:wsp>
                      <wps:wsp>
                        <wps:cNvPr id="268" name="Line 10059"/>
                        <wps:cNvCnPr/>
                        <wps:spPr bwMode="auto">
                          <a:xfrm flipV="1">
                            <a:off x="1381760" y="478790"/>
                            <a:ext cx="864235" cy="10795"/>
                          </a:xfrm>
                          <a:prstGeom prst="line">
                            <a:avLst/>
                          </a:prstGeom>
                          <a:noFill/>
                          <a:ln w="9525">
                            <a:solidFill>
                              <a:srgbClr val="000000"/>
                            </a:solidFill>
                            <a:round/>
                            <a:tailEnd type="triangle" w="med" len="med"/>
                          </a:ln>
                          <a:effectLst/>
                        </wps:spPr>
                        <wps:bodyPr/>
                      </wps:wsp>
                      <wps:wsp>
                        <wps:cNvPr id="269" name="Line 10136"/>
                        <wps:cNvCnPr/>
                        <wps:spPr bwMode="auto">
                          <a:xfrm>
                            <a:off x="2731770" y="1750695"/>
                            <a:ext cx="339725" cy="635"/>
                          </a:xfrm>
                          <a:prstGeom prst="line">
                            <a:avLst/>
                          </a:prstGeom>
                          <a:noFill/>
                          <a:ln w="9525">
                            <a:solidFill>
                              <a:srgbClr val="000000"/>
                            </a:solidFill>
                            <a:round/>
                            <a:tailEnd type="triangle" w="med" len="med"/>
                          </a:ln>
                          <a:effectLst/>
                        </wps:spPr>
                        <wps:bodyPr/>
                      </wps:wsp>
                      <wps:wsp>
                        <wps:cNvPr id="272" name="Rectangle 10140"/>
                        <wps:cNvSpPr>
                          <a:spLocks noChangeArrowheads="1"/>
                        </wps:cNvSpPr>
                        <wps:spPr bwMode="auto">
                          <a:xfrm>
                            <a:off x="3058795" y="1670050"/>
                            <a:ext cx="438150" cy="196850"/>
                          </a:xfrm>
                          <a:prstGeom prst="rect">
                            <a:avLst/>
                          </a:prstGeom>
                          <a:noFill/>
                          <a:ln>
                            <a:noFill/>
                          </a:ln>
                          <a:effectLst/>
                        </wps:spPr>
                        <wps:txbx>
                          <w:txbxContent>
                            <w:p>
                              <w:pPr>
                                <w:rPr>
                                  <w:szCs w:val="21"/>
                                </w:rPr>
                              </w:pPr>
                              <w:r>
                                <w:rPr>
                                  <w:rFonts w:hint="eastAsia"/>
                                  <w:szCs w:val="21"/>
                                </w:rPr>
                                <w:t>G</w:t>
                              </w:r>
                              <w:r>
                                <w:rPr>
                                  <w:rFonts w:hint="eastAsia"/>
                                  <w:szCs w:val="21"/>
                                  <w:vertAlign w:val="subscript"/>
                                </w:rPr>
                                <w:t>1-</w:t>
                              </w:r>
                              <w:r>
                                <w:rPr>
                                  <w:rFonts w:hint="eastAsia"/>
                                  <w:szCs w:val="21"/>
                                  <w:vertAlign w:val="subscript"/>
                                  <w:lang w:val="en-US" w:eastAsia="zh-CN"/>
                                </w:rPr>
                                <w:t>2</w:t>
                              </w:r>
                            </w:p>
                            <w:p>
                              <w:pPr>
                                <w:ind w:firstLine="105" w:firstLineChars="50"/>
                                <w:rPr>
                                  <w:szCs w:val="21"/>
                                </w:rPr>
                              </w:pPr>
                            </w:p>
                          </w:txbxContent>
                        </wps:txbx>
                        <wps:bodyPr rot="0" vert="horz" wrap="square" lIns="91440" tIns="0" rIns="91440" bIns="0" anchor="t" anchorCtr="0" upright="1">
                          <a:noAutofit/>
                        </wps:bodyPr>
                      </wps:wsp>
                    </wpc:wpc>
                  </a:graphicData>
                </a:graphic>
              </wp:inline>
            </w:drawing>
          </mc:Choice>
          <mc:Fallback>
            <w:pict>
              <v:group id="画布 179" o:spid="_x0000_s1026" o:spt="203" style="height:225pt;width:420pt;" coordsize="5334000,2857500" editas="canvas" o:gfxdata="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">
                <o:lock v:ext="edit" aspectratio="f"/>
                <v:shape id="画布 179" o:spid="_x0000_s1026" style="position:absolute;left:0;top:0;height:2857500;width:5334000;" filled="f" stroked="f" coordsize="21600,21600" o:gfxdata="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">
                  <v:fill on="f" focussize="0,0"/>
                  <v:stroke on="f"/>
                  <v:imagedata o:title=""/>
                  <o:lock v:ext="edit" aspectratio="t"/>
                </v:shape>
                <v:rect id="Rectangle 10050" o:spid="_x0000_s1026" o:spt="1" style="position:absolute;left:1792815;top:36005;height:218413;width:988808;" filled="f" stroked="f" coordsize="21600,21600" o:gfxdata="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kW+6uNYAAAAFAQAADwAAAAAAAAABACAAAAA4AAAAZHJz&#10;L2Rvd25yZXYueG1sUEsBAhQAFAAAAAgAh07iQM4QamrwAQAAygMAAA4AAAAAAAAAAQAgAAAAOwEA&#10;AGRycy9lMm9Eb2MueG1sUEsFBgAAAAAGAAYAWQEAAJ0FAAAAAA==&#10;">
                  <v:fill on="f" focussize="0,0"/>
                  <v:stroke on="f"/>
                  <v:imagedata o:title=""/>
                  <o:lock v:ext="edit" aspectratio="f"/>
                  <v:textbox inset="0mm,0mm,0mm,0mm">
                    <w:txbxContent>
                      <w:p>
                        <w:pPr>
                          <w:rPr>
                            <w:rFonts w:hint="eastAsia" w:eastAsia="宋体"/>
                            <w:szCs w:val="21"/>
                            <w:lang w:eastAsia="zh-CN"/>
                          </w:rPr>
                        </w:pPr>
                        <w:r>
                          <w:rPr>
                            <w:rFonts w:hint="eastAsia"/>
                            <w:szCs w:val="21"/>
                            <w:lang w:eastAsia="zh-CN"/>
                          </w:rPr>
                          <w:t>工业用二氯丙烷</w:t>
                        </w:r>
                      </w:p>
                      <w:p>
                        <w:pPr>
                          <w:rPr>
                            <w:szCs w:val="21"/>
                          </w:rPr>
                        </w:pPr>
                      </w:p>
                    </w:txbxContent>
                  </v:textbox>
                </v:rect>
                <v:line id="Line 10056" o:spid="_x0000_s1026" o:spt="20" style="position:absolute;left:2231219;top:220015;height:324019;width:800;" filled="f" stroked="t" coordsize="21600,21600" o:gfxdata="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J10cFHVAAAABQEAAA8AAAAAAAAA&#10;AQAgAAAAOAAAAGRycy9kb3ducmV2LnhtbFBLAQIUABQAAAAIAIdO4kCdUTAJxQEAAG0DAAAOAAAA&#10;AAAAAAEAIAAAADoBAABkcnMvZTJvRG9jLnhtbFBLBQYAAAAABgAGAFkBAABxBQAAAAA=&#10;">
                  <v:fill on="f" focussize="0,0"/>
                  <v:stroke color="#000000" joinstyle="round" endarrow="block"/>
                  <v:imagedata o:title=""/>
                  <o:lock v:ext="edit" aspectratio="f"/>
                </v:line>
                <v:rect id="Rectangle 10057" o:spid="_x0000_s1026" o:spt="1" style="position:absolute;left:1764815;top:574435;height:198411;width:900008;" fillcolor="#FFFFFF" filled="t" stroked="t" coordsize="21600,21600" o:gfxdata="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ekI7XdUAAAAFAQAADwAAAAAAAAABACAAAAA4AAAAZHJzL2Rvd25yZXYu&#10;eG1sUEsBAhQAFAAAAAgAh07iQGxTwAYhAgAAPQQAAA4AAAAAAAAAAQAgAAAAOgEAAGRycy9lMm9E&#10;b2MueG1sUEsFBgAAAAAGAAYAWQEAAM0FAAAAAA==&#10;">
                  <v:fill on="t" focussize="0,0"/>
                  <v:stroke color="#000000" miterlimit="8" joinstyle="miter"/>
                  <v:imagedata o:title=""/>
                  <o:lock v:ext="edit" aspectratio="f"/>
                  <v:textbox inset="0mm,0mm,0mm,0mm">
                    <w:txbxContent>
                      <w:p>
                        <w:pPr>
                          <w:jc w:val="center"/>
                          <w:rPr>
                            <w:szCs w:val="21"/>
                          </w:rPr>
                        </w:pPr>
                        <w:r>
                          <w:rPr>
                            <w:rFonts w:hint="eastAsia"/>
                            <w:lang w:eastAsia="zh-CN"/>
                          </w:rPr>
                          <w:t>初</w:t>
                        </w:r>
                        <w:r>
                          <w:rPr>
                            <w:rFonts w:hint="eastAsia"/>
                          </w:rPr>
                          <w:t>蒸馏</w:t>
                        </w:r>
                      </w:p>
                    </w:txbxContent>
                  </v:textbox>
                </v:rect>
                <v:line id="Line 10059" o:spid="_x0000_s1026" o:spt="20" style="position:absolute;left:2232819;top:800848;height:324019;width:800;" filled="f" stroked="t" coordsize="21600,21600" o:gfxdata="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CddHBR1QAAAAUBAAAPAAAAAAAA&#10;AAEAIAAAADgAAABkcnMvZG93bnJldi54bWxQSwECFAAUAAAACACHTuJAD8WlVMYBAABtAwAADgAA&#10;AAAAAAABACAAAAA6AQAAZHJzL2Uyb0RvYy54bWxQSwUGAAAAAAYABgBZAQAAcgUAAAAA&#10;">
                  <v:fill on="f" focussize="0,0"/>
                  <v:stroke color="#000000" joinstyle="round" endarrow="block"/>
                  <v:imagedata o:title=""/>
                  <o:lock v:ext="edit" aspectratio="f"/>
                </v:line>
                <v:line id="Line 10061" o:spid="_x0000_s1026" o:spt="20" style="position:absolute;left:2232819;top:1348080;height:326419;width:0;" filled="f" stroked="t" coordsize="21600,21600" o:gfxdata="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J10cFHVAAAABQEAAA8AAAAAAAAA&#10;AQAgAAAAOAAAAGRycy9kb3ducmV2LnhtbFBLAQIUABQAAAAIAIdO4kA4iFdxxQEAAGwDAAAOAAAA&#10;AAAAAAEAIAAAADoBAABkcnMvZTJvRG9jLnhtbFBLBQYAAAAABgAGAFkBAABxBQAAAAA=&#10;">
                  <v:fill on="f" focussize="0,0"/>
                  <v:stroke color="#000000" joinstyle="round" endarrow="block"/>
                  <v:imagedata o:title=""/>
                  <o:lock v:ext="edit" aspectratio="f"/>
                </v:line>
                <v:rect id="Rectangle 10064" o:spid="_x0000_s1026" o:spt="1" style="position:absolute;left:1767215;top:1124918;height:198411;width:914408;" fillcolor="#FFFFFF" filled="t" stroked="t" coordsize="21600,21600" o:gfxdata="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ekI7XdUAAAAFAQAADwAAAAAAAAABACAAAAA4AAAAZHJzL2Rvd25y&#10;ZXYueG1sUEsBAhQAFAAAAAgAh07iQG80lDAkAgAASQQAAA4AAAAAAAAAAQAgAAAAOgEAAGRycy9l&#10;Mm9Eb2MueG1sUEsFBgAAAAAGAAYAWQEAANAFAAAAAA==&#10;">
                  <v:fill on="t" focussize="0,0"/>
                  <v:stroke color="#000000" miterlimit="8" joinstyle="miter"/>
                  <v:imagedata o:title=""/>
                  <o:lock v:ext="edit" aspectratio="f"/>
                  <v:textbox inset="0mm,0mm,0mm,0mm">
                    <w:txbxContent>
                      <w:p>
                        <w:pPr>
                          <w:jc w:val="center"/>
                          <w:rPr>
                            <w:rFonts w:hint="eastAsia" w:eastAsia="宋体"/>
                            <w:szCs w:val="21"/>
                            <w:lang w:eastAsia="zh-CN"/>
                          </w:rPr>
                        </w:pPr>
                        <w:r>
                          <w:rPr>
                            <w:rFonts w:hint="eastAsia"/>
                            <w:szCs w:val="21"/>
                            <w:lang w:eastAsia="zh-CN"/>
                          </w:rPr>
                          <w:t>油水分层</w:t>
                        </w:r>
                      </w:p>
                    </w:txbxContent>
                  </v:textbox>
                </v:rect>
                <v:rect id="Rectangle 10119" o:spid="_x0000_s1026" o:spt="1" style="position:absolute;left:3021625;top:1092656;height:197611;width:511204;" filled="f" stroked="f" coordsize="21600,21600" o:gfxdata="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eb+83TAAAABQEAAA8AAAAAAAAAAQAgAAAAOAAA&#10;AGRycy9kb3ducmV2LnhtbFBLAQIUABQAAAAIAIdO4kB7YNwn9wEAANQDAAAOAAAAAAAAAAEAIAAA&#10;ADgBAABkcnMvZTJvRG9jLnhtbFBLBQYAAAAABgAGAFkBAAChBQAAAAA=&#10;">
                  <v:fill on="f" focussize="0,0"/>
                  <v:stroke on="f"/>
                  <v:imagedata o:title=""/>
                  <o:lock v:ext="edit" aspectratio="f"/>
                  <v:textbox inset="2.54mm,0mm,2.54mm,0mm">
                    <w:txbxContent>
                      <w:p>
                        <w:pPr>
                          <w:rPr>
                            <w:szCs w:val="21"/>
                          </w:rPr>
                        </w:pPr>
                        <w:r>
                          <w:rPr>
                            <w:rFonts w:hint="eastAsia"/>
                            <w:szCs w:val="21"/>
                          </w:rPr>
                          <w:t>W</w:t>
                        </w:r>
                        <w:r>
                          <w:rPr>
                            <w:rFonts w:hint="eastAsia"/>
                            <w:szCs w:val="21"/>
                            <w:vertAlign w:val="subscript"/>
                          </w:rPr>
                          <w:t xml:space="preserve">1-1 </w:t>
                        </w:r>
                      </w:p>
                      <w:p>
                        <w:pPr>
                          <w:ind w:firstLine="105" w:firstLineChars="50"/>
                          <w:rPr>
                            <w:szCs w:val="21"/>
                          </w:rPr>
                        </w:pPr>
                      </w:p>
                    </w:txbxContent>
                  </v:textbox>
                </v:rect>
                <v:rect id="Rectangle 10129" o:spid="_x0000_s1026" o:spt="1" style="position:absolute;left:1257935;top:1951355;height:199390;width:942340;" filled="f" stroked="f" coordsize="21600,21600" o:gfxdata="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eb+83TAAAABQEAAA8AAAAAAAAAAQAgAAAAOAAA&#10;AGRycy9kb3ducmV2LnhtbFBLAQIUABQAAAAIAIdO4kCETusu9wEAANQDAAAOAAAAAAAAAAEAIAAA&#10;ADgBAABkcnMvZTJvRG9jLnhtbFBLBQYAAAAABgAGAFkBAAChBQAAAAA=&#10;">
                  <v:fill on="f" focussize="0,0"/>
                  <v:stroke on="f"/>
                  <v:imagedata o:title=""/>
                  <o:lock v:ext="edit" aspectratio="f"/>
                  <v:textbox inset="2.54mm,0mm,2.54mm,0mm">
                    <w:txbxContent>
                      <w:p>
                        <w:pPr>
                          <w:rPr>
                            <w:szCs w:val="21"/>
                          </w:rPr>
                        </w:pPr>
                        <w:r>
                          <w:rPr>
                            <w:rFonts w:hint="eastAsia"/>
                            <w:szCs w:val="21"/>
                          </w:rPr>
                          <w:t>精馏釜残S</w:t>
                        </w:r>
                        <w:r>
                          <w:rPr>
                            <w:rFonts w:hint="eastAsia"/>
                            <w:szCs w:val="21"/>
                            <w:vertAlign w:val="subscript"/>
                          </w:rPr>
                          <w:t>1-1</w:t>
                        </w:r>
                      </w:p>
                      <w:p>
                        <w:pPr>
                          <w:ind w:firstLine="105" w:firstLineChars="50"/>
                          <w:rPr>
                            <w:szCs w:val="21"/>
                          </w:rPr>
                        </w:pPr>
                      </w:p>
                    </w:txbxContent>
                  </v:textbox>
                </v:rect>
                <v:rect id="Rectangle 10140" o:spid="_x0000_s1026" o:spt="1" style="position:absolute;left:3047365;top:595630;height:196850;width:438150;" filled="f" stroked="f" coordsize="21600,21600" o:gfxdata="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eb+83TAAAABQEAAA8AAAAAAAAAAQAgAAAAOAAA&#10;AGRycy9kb3ducmV2LnhtbFBLAQIUABQAAAAIAIdO4kAl12du9wEAANMDAAAOAAAAAAAAAAEAIAAA&#10;ADgBAABkcnMvZTJvRG9jLnhtbFBLBQYAAAAABgAGAFkBAAChBQAAAAA=&#10;">
                  <v:fill on="f" focussize="0,0"/>
                  <v:stroke on="f"/>
                  <v:imagedata o:title=""/>
                  <o:lock v:ext="edit" aspectratio="f"/>
                  <v:textbox inset="2.54mm,0mm,2.54mm,0mm">
                    <w:txbxContent>
                      <w:p>
                        <w:pPr>
                          <w:rPr>
                            <w:szCs w:val="21"/>
                          </w:rPr>
                        </w:pPr>
                        <w:r>
                          <w:rPr>
                            <w:rFonts w:hint="eastAsia"/>
                            <w:szCs w:val="21"/>
                          </w:rPr>
                          <w:t>G</w:t>
                        </w:r>
                        <w:r>
                          <w:rPr>
                            <w:rFonts w:hint="eastAsia"/>
                            <w:szCs w:val="21"/>
                            <w:vertAlign w:val="subscript"/>
                          </w:rPr>
                          <w:t>1-1</w:t>
                        </w:r>
                      </w:p>
                      <w:p>
                        <w:pPr>
                          <w:ind w:firstLine="105" w:firstLineChars="50"/>
                          <w:rPr>
                            <w:szCs w:val="21"/>
                          </w:rPr>
                        </w:pPr>
                      </w:p>
                    </w:txbxContent>
                  </v:textbox>
                </v:rect>
                <v:rect id="Rectangle 10123" o:spid="_x0000_s1026" o:spt="1" style="position:absolute;left:1610360;top:2388870;height:179070;width:1415415;" filled="f" stroked="f" coordsize="21600,21600" o:gfxdata="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&#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JFvurjWAAAABQEAAA8AAAAAAAAAAQAgAAAAOAAAAGRy&#10;cy9kb3ducmV2LnhtbFBLAQIUABQAAAAIAIdO4kDhF75P8QEAAM0DAAAOAAAAAAAAAAEAIAAAADsB&#10;AABkcnMvZTJvRG9jLnhtbFBLBQYAAAAABgAGAFkBAACeBQAAAAA=&#10;">
                  <v:fill on="f" focussize="0,0"/>
                  <v:stroke on="f"/>
                  <v:imagedata o:title=""/>
                  <o:lock v:ext="edit" aspectratio="f"/>
                  <v:textbox inset="0mm,0mm,0mm,0mm">
                    <w:txbxContent>
                      <w:p>
                        <w:pPr>
                          <w:jc w:val="center"/>
                          <w:rPr>
                            <w:szCs w:val="21"/>
                          </w:rPr>
                        </w:pPr>
                        <w:r>
                          <w:rPr>
                            <w:rFonts w:hint="eastAsia"/>
                            <w:szCs w:val="21"/>
                          </w:rPr>
                          <w:t>二氯丙烷（产品）</w:t>
                        </w:r>
                      </w:p>
                      <w:p>
                        <w:pPr>
                          <w:rPr>
                            <w:szCs w:val="21"/>
                          </w:rPr>
                        </w:pPr>
                      </w:p>
                    </w:txbxContent>
                  </v:textbox>
                </v:rect>
                <v:line id="Line 10059" o:spid="_x0000_s1026" o:spt="20" style="position:absolute;left:1951355;top:1845945;height:135255;width:635;" filled="f" stroked="t" coordsize="21600,21600" o:gfxdata="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FgAAAGRycy9QSwECFAAUAAAACACHTuJAnXRwUdUAAAAFAQAADwAAAAAAAAAB&#10;ACAAAAA4AAAAZHJzL2Rvd25yZXYueG1sUEsBAhQAFAAAAAgAh07iQOK3SWfEAQAAbgMAAA4AAAAA&#10;AAAAAQAgAAAAOgEAAGRycy9lMm9Eb2MueG1sUEsFBgAAAAAGAAYAWQEAAHAFAAAAAA==&#10;">
                  <v:fill on="f" focussize="0,0"/>
                  <v:stroke color="#000000" joinstyle="round" endarrow="block"/>
                  <v:imagedata o:title=""/>
                  <o:lock v:ext="edit" aspectratio="f"/>
                </v:line>
                <v:line id="Line 10136" o:spid="_x0000_s1026" o:spt="20" style="position:absolute;left:2681623;top:1207272;height:1600;width:340003;" filled="f" stroked="t" coordsize="21600,21600" o:gfxdata="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CddHBR1QAAAAUBAAAPAAAA&#10;AAAAAAEAIAAAADgAAABkcnMvZG93bnJldi54bWxQSwECFAAUAAAACACHTuJAC7xz7MkBAABvAwAA&#10;DgAAAAAAAAABACAAAAA6AQAAZHJzL2Uyb0RvYy54bWxQSwUGAAAAAAYABgBZAQAAdQUAAAAA&#10;">
                  <v:fill on="f" focussize="0,0"/>
                  <v:stroke color="#000000" joinstyle="round" endarrow="block"/>
                  <v:imagedata o:title=""/>
                  <o:lock v:ext="edit" aspectratio="f"/>
                </v:line>
                <v:line id="Line 10136" o:spid="_x0000_s1026" o:spt="20" style="position:absolute;left:2664823;top:687851;height:800;width:340003;" filled="f" stroked="t" coordsize="21600,21600" o:gfxdata="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CddHBR1QAAAAUBAAAPAAAA&#10;AAAAAAEAIAAAADgAAABkcnMvZG93bnJldi54bWxQSwECFAAUAAAACACHTuJAWOpNgskBAABtAwAA&#10;DgAAAAAAAAABACAAAAA6AQAAZHJzL2Uyb0RvYy54bWxQSwUGAAAAAAYABgBZAQAAdQUAAAAA&#10;">
                  <v:fill on="f" focussize="0,0"/>
                  <v:stroke color="#000000" joinstyle="round" endarrow="block"/>
                  <v:imagedata o:title=""/>
                  <o:lock v:ext="edit" aspectratio="f"/>
                </v:line>
                <v:rect id="Rectangle 10119" o:spid="_x0000_s1026" o:spt="1" style="position:absolute;left:2680970;top:975995;height:197485;width:511175;" filled="f" stroked="f" coordsize="21600,21600" o:gfxdata="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3m/vN0wAAAAUBAAAPAAAAAAAAAAEAIAAAADgA&#10;AABkcnMvZG93bnJldi54bWxQSwECFAAUAAAACACHTuJAB+I6ufgBAADTAwAADgAAAAAAAAABACAA&#10;AAA4AQAAZHJzL2Uyb0RvYy54bWxQSwUGAAAAAAYABgBZAQAAogUAAAAA&#10;">
                  <v:fill on="f" focussize="0,0"/>
                  <v:stroke on="f"/>
                  <v:imagedata o:title=""/>
                  <o:lock v:ext="edit" aspectratio="f"/>
                  <v:textbox inset="2.54mm,0mm,2.54mm,0mm">
                    <w:txbxContent>
                      <w:p>
                        <w:pPr>
                          <w:rPr>
                            <w:rFonts w:hint="eastAsia" w:eastAsia="宋体"/>
                            <w:szCs w:val="21"/>
                            <w:lang w:eastAsia="zh-CN"/>
                          </w:rPr>
                        </w:pPr>
                        <w:r>
                          <w:rPr>
                            <w:rFonts w:hint="eastAsia"/>
                            <w:szCs w:val="21"/>
                            <w:lang w:eastAsia="zh-CN"/>
                          </w:rPr>
                          <w:t>水相</w:t>
                        </w:r>
                      </w:p>
                    </w:txbxContent>
                  </v:textbox>
                </v:rect>
                <v:rect id="Rectangle 10119" o:spid="_x0000_s1026" o:spt="1" style="position:absolute;left:2204720;top:1407160;height:197485;width:511175;" filled="f" stroked="f" coordsize="21600,21600" o:gfxdata="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eb+83TAAAABQEAAA8AAAAAAAAAAQAgAAAAOAAA&#10;AGRycy9kb3ducmV2LnhtbFBLAQIUABQAAAAIAIdO4kCnwDJo9wEAANQDAAAOAAAAAAAAAAEAIAAA&#10;ADgBAABkcnMvZTJvRG9jLnhtbFBLBQYAAAAABgAGAFkBAAChBQAAAAA=&#10;">
                  <v:fill on="f" focussize="0,0"/>
                  <v:stroke on="f"/>
                  <v:imagedata o:title=""/>
                  <o:lock v:ext="edit" aspectratio="f"/>
                  <v:textbox inset="2.54mm,0mm,2.54mm,0mm">
                    <w:txbxContent>
                      <w:p>
                        <w:pPr>
                          <w:rPr>
                            <w:rFonts w:hint="eastAsia" w:eastAsia="宋体"/>
                            <w:szCs w:val="21"/>
                            <w:lang w:eastAsia="zh-CN"/>
                          </w:rPr>
                        </w:pPr>
                        <w:r>
                          <w:rPr>
                            <w:rFonts w:hint="eastAsia"/>
                            <w:szCs w:val="21"/>
                            <w:lang w:eastAsia="zh-CN"/>
                          </w:rPr>
                          <w:t>油相</w:t>
                        </w:r>
                      </w:p>
                    </w:txbxContent>
                  </v:textbox>
                </v:rect>
                <v:line id="Line 10056" o:spid="_x0000_s1026" o:spt="20" style="position:absolute;left:2252980;top:1892935;height:323850;width:635;" filled="f" stroked="t" coordsize="21600,21600" o:gfxdata="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CddHBR1QAAAAUBAAAPAAAAAAAA&#10;AAEAIAAAADgAAABkcnMvZG93bnJldi54bWxQSwECFAAUAAAACACHTuJAfBFg58YBAABuAwAADgAA&#10;AAAAAAABACAAAAA6AQAAZHJzL2Uyb0RvYy54bWxQSwUGAAAAAAYABgBZAQAAcgUAAAAA&#10;">
                  <v:fill on="f" focussize="0,0"/>
                  <v:stroke color="#000000" joinstyle="round" endarrow="block"/>
                  <v:imagedata o:title=""/>
                  <o:lock v:ext="edit" aspectratio="f"/>
                </v:line>
                <v:rect id="Rectangle 10064" o:spid="_x0000_s1026" o:spt="1" style="position:absolute;left:1823085;top:1656715;height:198120;width:914400;" fillcolor="#FFFFFF" filled="t" stroked="t" coordsize="21600,21600" o:gfxdata="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6Qjtd1QAAAAUBAAAPAAAAAAAAAAEAIAAAADgAAABkcnMvZG93&#10;bnJldi54bWxQSwECFAAUAAAACACHTuJAv2veryYCAABJBAAADgAAAAAAAAABACAAAAA6AQAAZHJz&#10;L2Uyb0RvYy54bWxQSwUGAAAAAAYABgBZAQAA0gUAAAAA&#10;">
                  <v:fill on="t" focussize="0,0"/>
                  <v:stroke color="#000000" miterlimit="8" joinstyle="miter"/>
                  <v:imagedata o:title=""/>
                  <o:lock v:ext="edit" aspectratio="f"/>
                  <v:textbox inset="0mm,0mm,0mm,0mm">
                    <w:txbxContent>
                      <w:p>
                        <w:pPr>
                          <w:jc w:val="center"/>
                          <w:rPr>
                            <w:rFonts w:hint="eastAsia" w:eastAsia="宋体"/>
                            <w:szCs w:val="21"/>
                            <w:lang w:eastAsia="zh-CN"/>
                          </w:rPr>
                        </w:pPr>
                        <w:r>
                          <w:rPr>
                            <w:rFonts w:hint="eastAsia"/>
                            <w:szCs w:val="21"/>
                            <w:lang w:eastAsia="zh-CN"/>
                          </w:rPr>
                          <w:t>精馏</w:t>
                        </w:r>
                      </w:p>
                    </w:txbxContent>
                  </v:textbox>
                </v:rect>
                <v:line id="Line 10059" o:spid="_x0000_s1026" o:spt="20" style="position:absolute;left:1403985;top:1751965;flip:x y;height:3810;width:419100;" filled="f" stroked="t" coordsize="21600,21600" o:gfxdata="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u8uc&#10;9NUAAAAFAQAADwAAAAAAAAABACAAAAA4AAAAZHJzL2Rvd25yZXYueG1sUEsBAhQAFAAAAAgAh07i&#10;QNJegvHWAQAAgwMAAA4AAAAAAAAAAQAgAAAAOgEAAGRycy9lMm9Eb2MueG1sUEsFBgAAAAAGAAYA&#10;WQEAAIIFAAAAAA==&#10;">
                  <v:fill on="f" focussize="0,0"/>
                  <v:stroke color="#000000" joinstyle="round" endarrow="block"/>
                  <v:imagedata o:title=""/>
                  <o:lock v:ext="edit" aspectratio="f"/>
                </v:line>
                <v:line id="直接连接符 152" o:spid="_x0000_s1026" o:spt="20" style="position:absolute;left:1393190;top:500380;flip:y;height:1207770;width:0;" filled="f" stroked="t" coordsize="21600,21600" o:gfxdata="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VRzlAtUAAAAFAQAADwAAAAAAAAABACAAAAA4AAAAZHJzL2Rvd25yZXYueG1s&#10;UEsBAhQAFAAAAAgAh07iQFrcQW/lAQAAfwMAAA4AAAAAAAAAAQAgAAAAOgEAAGRycy9lMm9Eb2Mu&#10;eG1sUEsFBgAAAAAGAAYAWQEAAJEFAAAAAA==&#10;">
                  <v:fill on="f" focussize="0,0"/>
                  <v:stroke color="#000000" joinstyle="round" endarrow="block"/>
                  <v:imagedata o:title=""/>
                  <o:lock v:ext="edit" aspectratio="f"/>
                </v:line>
                <v:line id="Line 10059" o:spid="_x0000_s1026" o:spt="20" style="position:absolute;left:1381760;top:478790;flip:y;height:10795;width:864235;" filled="f" stroked="t" coordsize="21600,21600" o:gfxdata="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BVHOUC1QAAAAUB&#10;AAAPAAAAAAAAAAEAIAAAADgAAABkcnMvZG93bnJldi54bWxQSwECFAAUAAAACACHTuJAuy6PDs8B&#10;AAB5AwAADgAAAAAAAAABACAAAAA6AQAAZHJzL2Uyb0RvYy54bWxQSwUGAAAAAAYABgBZAQAAewUA&#10;AAAA&#10;">
                  <v:fill on="f" focussize="0,0"/>
                  <v:stroke color="#000000" joinstyle="round" endarrow="block"/>
                  <v:imagedata o:title=""/>
                  <o:lock v:ext="edit" aspectratio="f"/>
                </v:line>
                <v:line id="Line 10136" o:spid="_x0000_s1026" o:spt="20" style="position:absolute;left:2731770;top:1750695;height:635;width:339725;" filled="f" stroked="t" coordsize="21600,21600" o:gfxdata="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J10cFHVAAAABQEAAA8AAAAA&#10;AAAAAQAgAAAAOAAAAGRycy9kb3ducmV2LnhtbFBLAQIUABQAAAAIAIdO4kAm8xdzyAEAAG4DAAAO&#10;AAAAAAAAAAEAIAAAADoBAABkcnMvZTJvRG9jLnhtbFBLBQYAAAAABgAGAFkBAAB0BQAAAAA=&#10;">
                  <v:fill on="f" focussize="0,0"/>
                  <v:stroke color="#000000" joinstyle="round" endarrow="block"/>
                  <v:imagedata o:title=""/>
                  <o:lock v:ext="edit" aspectratio="f"/>
                </v:line>
                <v:rect id="Rectangle 10140" o:spid="_x0000_s1026" o:spt="1" style="position:absolute;left:3058795;top:1670050;height:196850;width:438150;" filled="f" stroked="f" coordsize="21600,21600" o:gfxdata="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N5v7zdMAAAAFAQAADwAAAAAAAAABACAAAAA4AAAA&#10;ZHJzL2Rvd25yZXYueG1sUEsBAhQAFAAAAAgAh07iQMPlsGz2AQAA1AMAAA4AAAAAAAAAAQAgAAAA&#10;OAEAAGRycy9lMm9Eb2MueG1sUEsFBgAAAAAGAAYAWQEAAKAFAAAAAA==&#10;">
                  <v:fill on="f" focussize="0,0"/>
                  <v:stroke on="f"/>
                  <v:imagedata o:title=""/>
                  <o:lock v:ext="edit" aspectratio="f"/>
                  <v:textbox inset="2.54mm,0mm,2.54mm,0mm">
                    <w:txbxContent>
                      <w:p>
                        <w:pPr>
                          <w:rPr>
                            <w:szCs w:val="21"/>
                          </w:rPr>
                        </w:pPr>
                        <w:r>
                          <w:rPr>
                            <w:rFonts w:hint="eastAsia"/>
                            <w:szCs w:val="21"/>
                          </w:rPr>
                          <w:t>G</w:t>
                        </w:r>
                        <w:r>
                          <w:rPr>
                            <w:rFonts w:hint="eastAsia"/>
                            <w:szCs w:val="21"/>
                            <w:vertAlign w:val="subscript"/>
                          </w:rPr>
                          <w:t>1-</w:t>
                        </w:r>
                        <w:r>
                          <w:rPr>
                            <w:rFonts w:hint="eastAsia"/>
                            <w:szCs w:val="21"/>
                            <w:vertAlign w:val="subscript"/>
                            <w:lang w:val="en-US" w:eastAsia="zh-CN"/>
                          </w:rPr>
                          <w:t>2</w:t>
                        </w:r>
                      </w:p>
                      <w:p>
                        <w:pPr>
                          <w:ind w:firstLine="105" w:firstLineChars="50"/>
                          <w:rPr>
                            <w:szCs w:val="21"/>
                          </w:rPr>
                        </w:pPr>
                      </w:p>
                    </w:txbxContent>
                  </v:textbox>
                </v:rect>
                <w10:wrap type="none"/>
                <w10:anchorlock/>
              </v:group>
            </w:pict>
          </mc:Fallback>
        </mc:AlternateContent>
      </w:r>
    </w:p>
    <w:p>
      <w:pPr>
        <w:pStyle w:val="36"/>
        <w:bidi w:val="0"/>
        <w:rPr>
          <w:color w:val="auto"/>
        </w:rPr>
      </w:pPr>
      <w:r>
        <w:rPr>
          <w:rFonts w:hint="eastAsia"/>
          <w:color w:val="auto"/>
        </w:rPr>
        <w:t>图</w:t>
      </w:r>
      <w:r>
        <w:rPr>
          <w:rFonts w:hint="eastAsia"/>
          <w:color w:val="auto"/>
          <w:lang w:val="en-US" w:eastAsia="zh-CN"/>
        </w:rPr>
        <w:t>3</w:t>
      </w:r>
      <w:r>
        <w:rPr>
          <w:rFonts w:hint="eastAsia"/>
          <w:color w:val="auto"/>
        </w:rPr>
        <w:t>.</w:t>
      </w:r>
      <w:r>
        <w:rPr>
          <w:rFonts w:hint="eastAsia"/>
          <w:color w:val="auto"/>
          <w:lang w:val="en-US" w:eastAsia="zh-CN"/>
        </w:rPr>
        <w:t>2</w:t>
      </w:r>
      <w:r>
        <w:rPr>
          <w:rFonts w:hint="eastAsia"/>
          <w:color w:val="auto"/>
        </w:rPr>
        <w:t>-1： 二氯丙烷工艺流程</w:t>
      </w:r>
      <w:r>
        <w:rPr>
          <w:rFonts w:hint="eastAsia"/>
          <w:color w:val="auto"/>
          <w:lang w:eastAsia="zh-CN"/>
        </w:rPr>
        <w:t>及产污环节</w:t>
      </w:r>
      <w:r>
        <w:rPr>
          <w:rFonts w:hint="eastAsia"/>
          <w:color w:val="auto"/>
        </w:rPr>
        <w:t>图</w:t>
      </w:r>
    </w:p>
    <w:p>
      <w:pPr>
        <w:pStyle w:val="33"/>
        <w:bidi w:val="0"/>
        <w:rPr>
          <w:color w:val="auto"/>
        </w:rPr>
      </w:pPr>
      <w:r>
        <w:rPr>
          <w:rFonts w:hint="eastAsia"/>
          <w:color w:val="auto"/>
        </w:rPr>
        <w:t>（2）产污环节</w:t>
      </w:r>
      <w:r>
        <w:rPr>
          <w:rFonts w:hint="eastAsia"/>
          <w:color w:val="auto"/>
          <w:lang w:eastAsia="zh-CN"/>
        </w:rPr>
        <w:t>及污染源分析</w:t>
      </w:r>
    </w:p>
    <w:p>
      <w:pPr>
        <w:pStyle w:val="33"/>
        <w:bidi w:val="0"/>
        <w:rPr>
          <w:rFonts w:hint="eastAsia"/>
          <w:color w:val="auto"/>
          <w:lang w:eastAsia="zh-CN"/>
        </w:rPr>
      </w:pPr>
      <w:r>
        <w:rPr>
          <w:rFonts w:hint="eastAsia"/>
          <w:color w:val="auto"/>
        </w:rPr>
        <w:t>①</w:t>
      </w:r>
      <w:r>
        <w:rPr>
          <w:rFonts w:hint="eastAsia"/>
          <w:color w:val="auto"/>
          <w:lang w:eastAsia="zh-CN"/>
        </w:rPr>
        <w:t>废水</w:t>
      </w:r>
      <w:r>
        <w:rPr>
          <w:rFonts w:hint="eastAsia"/>
          <w:color w:val="auto"/>
        </w:rPr>
        <w:t>W1-1</w:t>
      </w:r>
    </w:p>
    <w:p>
      <w:pPr>
        <w:pStyle w:val="33"/>
        <w:bidi w:val="0"/>
        <w:rPr>
          <w:color w:val="auto"/>
        </w:rPr>
      </w:pPr>
      <w:r>
        <w:rPr>
          <w:rFonts w:hint="eastAsia"/>
          <w:color w:val="auto"/>
          <w:lang w:eastAsia="zh-CN"/>
        </w:rPr>
        <w:t>初蒸</w:t>
      </w:r>
      <w:r>
        <w:rPr>
          <w:rFonts w:hint="eastAsia"/>
          <w:color w:val="auto"/>
        </w:rPr>
        <w:t>馏后</w:t>
      </w:r>
      <w:r>
        <w:rPr>
          <w:rFonts w:hint="eastAsia"/>
          <w:color w:val="auto"/>
          <w:lang w:eastAsia="zh-CN"/>
        </w:rPr>
        <w:t>冷凝液进入接受槽静置</w:t>
      </w:r>
      <w:r>
        <w:rPr>
          <w:rFonts w:hint="eastAsia"/>
          <w:color w:val="auto"/>
        </w:rPr>
        <w:t>分</w:t>
      </w:r>
      <w:r>
        <w:rPr>
          <w:rFonts w:hint="eastAsia"/>
          <w:color w:val="auto"/>
          <w:lang w:eastAsia="zh-CN"/>
        </w:rPr>
        <w:t>层，下层油相经检验合格作为产品直接出售，上层水相进入分水缸进一步分离废水，不合格产品返回精馏重新精馏。</w:t>
      </w:r>
      <w:r>
        <w:rPr>
          <w:rFonts w:hint="eastAsia"/>
          <w:color w:val="auto"/>
        </w:rPr>
        <w:t>产生的</w:t>
      </w:r>
      <w:r>
        <w:rPr>
          <w:rFonts w:hint="eastAsia"/>
          <w:color w:val="auto"/>
          <w:lang w:eastAsia="zh-CN"/>
        </w:rPr>
        <w:t>废水属于</w:t>
      </w:r>
      <w:r>
        <w:rPr>
          <w:rFonts w:hint="eastAsia"/>
          <w:color w:val="auto"/>
        </w:rPr>
        <w:t>高浓度有机废水，主要污染物为</w:t>
      </w:r>
      <w:r>
        <w:rPr>
          <w:rFonts w:hint="eastAsia"/>
          <w:color w:val="auto"/>
          <w:lang w:eastAsia="zh-CN"/>
        </w:rPr>
        <w:t>含盐量、</w:t>
      </w:r>
      <w:r>
        <w:rPr>
          <w:rFonts w:hint="eastAsia"/>
          <w:color w:val="auto"/>
        </w:rPr>
        <w:t>PH、COD、石油类、挥发酚、AOX等</w:t>
      </w:r>
      <w:r>
        <w:rPr>
          <w:rFonts w:hint="eastAsia"/>
          <w:color w:val="auto"/>
          <w:lang w:eastAsia="zh-CN"/>
        </w:rPr>
        <w:t>，废水经隔油池预处理后与其他废水混合稀释达标后排入云溪工业园污水处理站进一步处理</w:t>
      </w:r>
      <w:r>
        <w:rPr>
          <w:rFonts w:hint="eastAsia"/>
          <w:color w:val="auto"/>
        </w:rPr>
        <w:t>。</w:t>
      </w:r>
    </w:p>
    <w:p>
      <w:pPr>
        <w:pStyle w:val="33"/>
        <w:bidi w:val="0"/>
        <w:rPr>
          <w:rFonts w:hint="eastAsia"/>
          <w:color w:val="auto"/>
          <w:lang w:eastAsia="zh-CN"/>
        </w:rPr>
      </w:pPr>
      <w:r>
        <w:rPr>
          <w:rFonts w:hint="eastAsia"/>
          <w:color w:val="auto"/>
        </w:rPr>
        <w:t>②</w:t>
      </w:r>
      <w:r>
        <w:rPr>
          <w:rFonts w:hint="eastAsia"/>
          <w:color w:val="auto"/>
          <w:lang w:eastAsia="zh-CN"/>
        </w:rPr>
        <w:t>废气</w:t>
      </w:r>
      <w:r>
        <w:rPr>
          <w:rFonts w:hint="eastAsia"/>
          <w:color w:val="auto"/>
        </w:rPr>
        <w:t>G1-1</w:t>
      </w:r>
      <w:r>
        <w:rPr>
          <w:rFonts w:hint="eastAsia"/>
          <w:color w:val="auto"/>
          <w:lang w:eastAsia="zh-CN"/>
        </w:rPr>
        <w:t>、</w:t>
      </w:r>
      <w:r>
        <w:rPr>
          <w:rFonts w:hint="eastAsia"/>
          <w:color w:val="auto"/>
        </w:rPr>
        <w:t>G1-</w:t>
      </w:r>
      <w:r>
        <w:rPr>
          <w:rFonts w:hint="eastAsia"/>
          <w:color w:val="auto"/>
          <w:lang w:val="en-US" w:eastAsia="zh-CN"/>
        </w:rPr>
        <w:t>2</w:t>
      </w:r>
    </w:p>
    <w:p>
      <w:pPr>
        <w:pStyle w:val="33"/>
        <w:bidi w:val="0"/>
        <w:rPr>
          <w:color w:val="auto"/>
        </w:rPr>
      </w:pPr>
      <w:r>
        <w:rPr>
          <w:rFonts w:hint="eastAsia"/>
          <w:color w:val="auto"/>
          <w:lang w:eastAsia="zh-CN"/>
        </w:rPr>
        <w:t>原料高温蒸</w:t>
      </w:r>
      <w:r>
        <w:rPr>
          <w:rFonts w:hint="eastAsia"/>
          <w:color w:val="auto"/>
        </w:rPr>
        <w:t>馏</w:t>
      </w:r>
      <w:r>
        <w:rPr>
          <w:rFonts w:hint="eastAsia"/>
          <w:color w:val="auto"/>
          <w:lang w:eastAsia="zh-CN"/>
        </w:rPr>
        <w:t>会</w:t>
      </w:r>
      <w:r>
        <w:rPr>
          <w:rFonts w:hint="eastAsia"/>
          <w:color w:val="auto"/>
        </w:rPr>
        <w:t>分</w:t>
      </w:r>
      <w:r>
        <w:rPr>
          <w:rFonts w:hint="eastAsia"/>
          <w:color w:val="auto"/>
          <w:lang w:eastAsia="zh-CN"/>
        </w:rPr>
        <w:t>解</w:t>
      </w:r>
      <w:r>
        <w:rPr>
          <w:rFonts w:hint="eastAsia"/>
          <w:color w:val="auto"/>
        </w:rPr>
        <w:t>产生的氯化氢、</w:t>
      </w:r>
      <w:r>
        <w:rPr>
          <w:rFonts w:hint="eastAsia"/>
          <w:color w:val="auto"/>
          <w:lang w:eastAsia="zh-CN"/>
        </w:rPr>
        <w:t>二氯丙烷高温也会挥发，</w:t>
      </w:r>
      <w:r>
        <w:rPr>
          <w:color w:val="auto"/>
        </w:rPr>
        <w:t>通过初馏塔塔顶的液体经过冷凝塔进行冷凝回收，在回收过程中冷凝不下来的少量不凝尾气中仍存在残留二氯丙烷</w:t>
      </w:r>
      <w:r>
        <w:rPr>
          <w:rFonts w:hint="eastAsia"/>
          <w:color w:val="auto"/>
          <w:lang w:eastAsia="zh-CN"/>
        </w:rPr>
        <w:t>、氯化氢</w:t>
      </w:r>
      <w:r>
        <w:rPr>
          <w:color w:val="auto"/>
        </w:rPr>
        <w:t>气体，通过真空泵连接产生的挥发气体收集送往</w:t>
      </w:r>
      <w:r>
        <w:rPr>
          <w:rFonts w:hint="eastAsia"/>
          <w:color w:val="auto"/>
          <w:lang w:eastAsia="zh-CN"/>
        </w:rPr>
        <w:t>水封罐</w:t>
      </w:r>
      <w:r>
        <w:rPr>
          <w:color w:val="auto"/>
        </w:rPr>
        <w:t>吸</w:t>
      </w:r>
      <w:r>
        <w:rPr>
          <w:rFonts w:hint="eastAsia"/>
          <w:color w:val="auto"/>
          <w:lang w:eastAsia="zh-CN"/>
        </w:rPr>
        <w:t>收</w:t>
      </w:r>
      <w:r>
        <w:rPr>
          <w:color w:val="auto"/>
        </w:rPr>
        <w:t>装置进行吸</w:t>
      </w:r>
      <w:r>
        <w:rPr>
          <w:rFonts w:hint="eastAsia"/>
          <w:color w:val="auto"/>
          <w:lang w:eastAsia="zh-CN"/>
        </w:rPr>
        <w:t>收</w:t>
      </w:r>
      <w:r>
        <w:rPr>
          <w:color w:val="auto"/>
        </w:rPr>
        <w:t>处理后经</w:t>
      </w:r>
      <w:r>
        <w:rPr>
          <w:rFonts w:hint="eastAsia"/>
          <w:color w:val="auto"/>
          <w:lang w:val="en-US" w:eastAsia="zh-CN"/>
        </w:rPr>
        <w:t>20高</w:t>
      </w:r>
      <w:r>
        <w:rPr>
          <w:color w:val="auto"/>
        </w:rPr>
        <w:t>排气筒排放。</w:t>
      </w:r>
    </w:p>
    <w:p>
      <w:pPr>
        <w:pStyle w:val="33"/>
        <w:bidi w:val="0"/>
        <w:rPr>
          <w:rFonts w:hint="eastAsia"/>
          <w:color w:val="auto"/>
          <w:lang w:val="en-US" w:eastAsia="zh-CN"/>
        </w:rPr>
      </w:pPr>
      <w:r>
        <w:rPr>
          <w:color w:val="auto"/>
        </w:rPr>
        <w:t>溶剂储罐的大小呼吸会产生有机废气，呈无组织排放</w:t>
      </w:r>
      <w:r>
        <w:rPr>
          <w:rFonts w:hint="eastAsia"/>
          <w:color w:val="auto"/>
          <w:lang w:eastAsia="zh-CN"/>
        </w:rPr>
        <w:t>。</w:t>
      </w:r>
    </w:p>
    <w:p>
      <w:pPr>
        <w:pStyle w:val="33"/>
        <w:bidi w:val="0"/>
        <w:rPr>
          <w:rFonts w:hint="eastAsia"/>
          <w:color w:val="auto"/>
          <w:lang w:eastAsia="zh-CN"/>
        </w:rPr>
      </w:pPr>
      <w:r>
        <w:rPr>
          <w:rFonts w:hint="eastAsia"/>
          <w:color w:val="auto"/>
        </w:rPr>
        <w:t>③</w:t>
      </w:r>
      <w:r>
        <w:rPr>
          <w:rFonts w:hint="eastAsia"/>
          <w:color w:val="auto"/>
          <w:lang w:eastAsia="zh-CN"/>
        </w:rPr>
        <w:t>固废</w:t>
      </w:r>
      <w:r>
        <w:rPr>
          <w:rFonts w:hint="eastAsia"/>
          <w:color w:val="auto"/>
        </w:rPr>
        <w:t>S1-1</w:t>
      </w:r>
    </w:p>
    <w:p>
      <w:pPr>
        <w:pStyle w:val="33"/>
        <w:bidi w:val="0"/>
        <w:rPr>
          <w:rFonts w:hint="eastAsia"/>
          <w:color w:val="auto"/>
        </w:rPr>
      </w:pPr>
      <w:r>
        <w:rPr>
          <w:rFonts w:hint="eastAsia"/>
          <w:color w:val="auto"/>
        </w:rPr>
        <w:t>危险固废主要为精馏工序产生的精馏残渣，主要成分为二氯异丁烷和二氯异丁烯等多种卤代烃的混合物</w:t>
      </w:r>
      <w:r>
        <w:rPr>
          <w:rFonts w:hint="eastAsia"/>
          <w:color w:val="auto"/>
          <w:lang w:eastAsia="zh-CN"/>
        </w:rPr>
        <w:t>，采取铁桶盛装后暂存于危险废物暂存间</w:t>
      </w:r>
      <w:r>
        <w:rPr>
          <w:rFonts w:hint="eastAsia"/>
          <w:color w:val="auto"/>
        </w:rPr>
        <w:t>。</w:t>
      </w:r>
    </w:p>
    <w:p>
      <w:pPr>
        <w:pStyle w:val="33"/>
        <w:bidi w:val="0"/>
        <w:rPr>
          <w:rFonts w:hint="eastAsia"/>
          <w:color w:val="auto"/>
          <w:lang w:eastAsia="zh-CN"/>
        </w:rPr>
      </w:pPr>
      <w:r>
        <w:rPr>
          <w:rFonts w:hint="eastAsia"/>
          <w:color w:val="auto"/>
        </w:rPr>
        <w:t>④</w:t>
      </w:r>
      <w:r>
        <w:rPr>
          <w:rFonts w:hint="eastAsia"/>
          <w:color w:val="auto"/>
          <w:lang w:eastAsia="zh-CN"/>
        </w:rPr>
        <w:t>噪声</w:t>
      </w:r>
    </w:p>
    <w:p>
      <w:pPr>
        <w:pStyle w:val="33"/>
        <w:bidi w:val="0"/>
        <w:rPr>
          <w:rFonts w:hint="eastAsia"/>
          <w:color w:val="auto"/>
        </w:rPr>
      </w:pPr>
      <w:r>
        <w:rPr>
          <w:color w:val="auto"/>
        </w:rPr>
        <w:t>生产过程中物料输送泵和废气处理所用风机等会产生噪声，源强约为65~95dB（A）。</w:t>
      </w:r>
    </w:p>
    <w:p>
      <w:pPr>
        <w:pStyle w:val="36"/>
        <w:bidi w:val="0"/>
        <w:rPr>
          <w:color w:val="auto"/>
        </w:rPr>
      </w:pPr>
      <w:r>
        <w:rPr>
          <w:color w:val="auto"/>
        </w:rPr>
        <w:t>表</w:t>
      </w:r>
      <w:r>
        <w:rPr>
          <w:rFonts w:hint="eastAsia"/>
          <w:color w:val="auto"/>
          <w:lang w:val="en-US" w:eastAsia="zh-CN"/>
        </w:rPr>
        <w:t>3.2-1</w:t>
      </w:r>
      <w:r>
        <w:rPr>
          <w:color w:val="auto"/>
        </w:rPr>
        <w:t xml:space="preserve">  </w:t>
      </w:r>
      <w:r>
        <w:rPr>
          <w:rFonts w:hint="eastAsia"/>
          <w:color w:val="auto"/>
        </w:rPr>
        <w:t>二氯丙烷</w:t>
      </w:r>
      <w:r>
        <w:rPr>
          <w:color w:val="auto"/>
        </w:rPr>
        <w:t>产污环节一览表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43"/>
        <w:gridCol w:w="1625"/>
        <w:gridCol w:w="2177"/>
        <w:gridCol w:w="1309"/>
        <w:gridCol w:w="3156"/>
      </w:tblGrid>
      <w:tr>
        <w:trPr>
          <w:trHeight w:val="357" w:hRule="atLeast"/>
        </w:trPr>
        <w:tc>
          <w:tcPr>
            <w:tcW w:w="653" w:type="pct"/>
            <w:tcBorders>
              <w:tl2br w:val="nil"/>
              <w:tr2bl w:val="nil"/>
            </w:tcBorders>
            <w:noWrap w:val="0"/>
            <w:vAlign w:val="center"/>
          </w:tcPr>
          <w:p>
            <w:pPr>
              <w:pStyle w:val="35"/>
              <w:bidi w:val="0"/>
              <w:rPr>
                <w:b/>
                <w:bCs/>
                <w:color w:val="auto"/>
              </w:rPr>
            </w:pPr>
            <w:r>
              <w:rPr>
                <w:rFonts w:hint="eastAsia"/>
                <w:b/>
                <w:bCs/>
                <w:color w:val="auto"/>
              </w:rPr>
              <w:t>污染类型</w:t>
            </w:r>
          </w:p>
        </w:tc>
        <w:tc>
          <w:tcPr>
            <w:tcW w:w="854" w:type="pct"/>
            <w:tcBorders>
              <w:tl2br w:val="nil"/>
              <w:tr2bl w:val="nil"/>
            </w:tcBorders>
            <w:noWrap w:val="0"/>
            <w:vAlign w:val="center"/>
          </w:tcPr>
          <w:p>
            <w:pPr>
              <w:pStyle w:val="35"/>
              <w:bidi w:val="0"/>
              <w:rPr>
                <w:b/>
                <w:bCs/>
                <w:color w:val="auto"/>
              </w:rPr>
            </w:pPr>
            <w:r>
              <w:rPr>
                <w:rFonts w:hint="eastAsia"/>
                <w:b/>
                <w:bCs/>
                <w:color w:val="auto"/>
              </w:rPr>
              <w:t>产物环节</w:t>
            </w:r>
          </w:p>
        </w:tc>
        <w:tc>
          <w:tcPr>
            <w:tcW w:w="1144" w:type="pct"/>
            <w:tcBorders>
              <w:tl2br w:val="nil"/>
              <w:tr2bl w:val="nil"/>
            </w:tcBorders>
            <w:noWrap w:val="0"/>
            <w:vAlign w:val="center"/>
          </w:tcPr>
          <w:p>
            <w:pPr>
              <w:pStyle w:val="35"/>
              <w:bidi w:val="0"/>
              <w:rPr>
                <w:b/>
                <w:bCs/>
                <w:color w:val="auto"/>
              </w:rPr>
            </w:pPr>
            <w:r>
              <w:rPr>
                <w:rFonts w:hint="eastAsia"/>
                <w:b/>
                <w:bCs/>
                <w:color w:val="auto"/>
              </w:rPr>
              <w:t>产生污染物</w:t>
            </w:r>
          </w:p>
        </w:tc>
        <w:tc>
          <w:tcPr>
            <w:tcW w:w="688" w:type="pct"/>
            <w:tcBorders>
              <w:tl2br w:val="nil"/>
              <w:tr2bl w:val="nil"/>
            </w:tcBorders>
            <w:noWrap w:val="0"/>
            <w:vAlign w:val="center"/>
          </w:tcPr>
          <w:p>
            <w:pPr>
              <w:pStyle w:val="35"/>
              <w:bidi w:val="0"/>
              <w:rPr>
                <w:b/>
                <w:bCs/>
                <w:color w:val="auto"/>
              </w:rPr>
            </w:pPr>
            <w:r>
              <w:rPr>
                <w:rFonts w:hint="eastAsia"/>
                <w:b/>
                <w:bCs/>
                <w:color w:val="auto"/>
              </w:rPr>
              <w:t>产生特点</w:t>
            </w:r>
          </w:p>
        </w:tc>
        <w:tc>
          <w:tcPr>
            <w:tcW w:w="1658" w:type="pct"/>
            <w:tcBorders>
              <w:tl2br w:val="nil"/>
              <w:tr2bl w:val="nil"/>
            </w:tcBorders>
            <w:noWrap w:val="0"/>
            <w:vAlign w:val="center"/>
          </w:tcPr>
          <w:p>
            <w:pPr>
              <w:pStyle w:val="35"/>
              <w:bidi w:val="0"/>
              <w:rPr>
                <w:b/>
                <w:bCs/>
                <w:color w:val="auto"/>
              </w:rPr>
            </w:pPr>
            <w:r>
              <w:rPr>
                <w:rFonts w:hint="eastAsia"/>
                <w:b/>
                <w:bCs/>
                <w:color w:val="auto"/>
              </w:rPr>
              <w:t>去向</w:t>
            </w:r>
          </w:p>
        </w:tc>
      </w:tr>
      <w:tr>
        <w:trPr>
          <w:trHeight w:val="357" w:hRule="atLeast"/>
        </w:trPr>
        <w:tc>
          <w:tcPr>
            <w:tcW w:w="653" w:type="pct"/>
            <w:tcBorders>
              <w:tl2br w:val="nil"/>
              <w:tr2bl w:val="nil"/>
            </w:tcBorders>
            <w:noWrap w:val="0"/>
            <w:vAlign w:val="center"/>
          </w:tcPr>
          <w:p>
            <w:pPr>
              <w:pStyle w:val="35"/>
              <w:bidi w:val="0"/>
              <w:rPr>
                <w:color w:val="auto"/>
              </w:rPr>
            </w:pPr>
            <w:r>
              <w:rPr>
                <w:rFonts w:hint="eastAsia"/>
                <w:color w:val="auto"/>
              </w:rPr>
              <w:t>废水</w:t>
            </w:r>
          </w:p>
        </w:tc>
        <w:tc>
          <w:tcPr>
            <w:tcW w:w="854" w:type="pct"/>
            <w:tcBorders>
              <w:tl2br w:val="nil"/>
              <w:tr2bl w:val="nil"/>
            </w:tcBorders>
            <w:noWrap w:val="0"/>
            <w:vAlign w:val="center"/>
          </w:tcPr>
          <w:p>
            <w:pPr>
              <w:pStyle w:val="35"/>
              <w:bidi w:val="0"/>
              <w:rPr>
                <w:color w:val="auto"/>
              </w:rPr>
            </w:pPr>
            <w:r>
              <w:rPr>
                <w:rFonts w:hint="eastAsia"/>
                <w:color w:val="auto"/>
              </w:rPr>
              <w:t>油水分离W1-1</w:t>
            </w:r>
          </w:p>
        </w:tc>
        <w:tc>
          <w:tcPr>
            <w:tcW w:w="1144" w:type="pct"/>
            <w:tcBorders>
              <w:tl2br w:val="nil"/>
              <w:tr2bl w:val="nil"/>
            </w:tcBorders>
            <w:noWrap w:val="0"/>
            <w:vAlign w:val="center"/>
          </w:tcPr>
          <w:p>
            <w:pPr>
              <w:pStyle w:val="35"/>
              <w:bidi w:val="0"/>
              <w:rPr>
                <w:color w:val="auto"/>
              </w:rPr>
            </w:pPr>
            <w:r>
              <w:rPr>
                <w:rFonts w:hint="eastAsia"/>
                <w:color w:val="auto"/>
                <w:lang w:val="en-US" w:eastAsia="zh-CN"/>
              </w:rPr>
              <w:t>p</w:t>
            </w:r>
            <w:r>
              <w:rPr>
                <w:rFonts w:hint="eastAsia"/>
                <w:color w:val="auto"/>
              </w:rPr>
              <w:t>H、COD、石油类、挥发酚、AOX</w:t>
            </w:r>
          </w:p>
        </w:tc>
        <w:tc>
          <w:tcPr>
            <w:tcW w:w="688" w:type="pct"/>
            <w:tcBorders>
              <w:tl2br w:val="nil"/>
              <w:tr2bl w:val="nil"/>
            </w:tcBorders>
            <w:noWrap w:val="0"/>
            <w:vAlign w:val="center"/>
          </w:tcPr>
          <w:p>
            <w:pPr>
              <w:pStyle w:val="35"/>
              <w:bidi w:val="0"/>
              <w:rPr>
                <w:color w:val="auto"/>
              </w:rPr>
            </w:pPr>
            <w:r>
              <w:rPr>
                <w:rFonts w:hint="eastAsia"/>
                <w:color w:val="auto"/>
              </w:rPr>
              <w:t>间歇</w:t>
            </w:r>
          </w:p>
        </w:tc>
        <w:tc>
          <w:tcPr>
            <w:tcW w:w="1658" w:type="pct"/>
            <w:tcBorders>
              <w:tl2br w:val="nil"/>
              <w:tr2bl w:val="nil"/>
            </w:tcBorders>
            <w:noWrap w:val="0"/>
            <w:vAlign w:val="center"/>
          </w:tcPr>
          <w:p>
            <w:pPr>
              <w:pStyle w:val="35"/>
              <w:bidi w:val="0"/>
              <w:rPr>
                <w:color w:val="auto"/>
              </w:rPr>
            </w:pPr>
            <w:r>
              <w:rPr>
                <w:rFonts w:hint="eastAsia"/>
                <w:color w:val="auto"/>
              </w:rPr>
              <w:t>厂区内自建污水处理站</w:t>
            </w:r>
          </w:p>
        </w:tc>
      </w:tr>
      <w:tr>
        <w:trPr>
          <w:trHeight w:val="268" w:hRule="atLeast"/>
        </w:trPr>
        <w:tc>
          <w:tcPr>
            <w:tcW w:w="653" w:type="pct"/>
            <w:tcBorders>
              <w:tl2br w:val="nil"/>
              <w:tr2bl w:val="nil"/>
            </w:tcBorders>
            <w:noWrap w:val="0"/>
            <w:vAlign w:val="center"/>
          </w:tcPr>
          <w:p>
            <w:pPr>
              <w:pStyle w:val="35"/>
              <w:bidi w:val="0"/>
              <w:rPr>
                <w:color w:val="auto"/>
              </w:rPr>
            </w:pPr>
            <w:r>
              <w:rPr>
                <w:rFonts w:hint="eastAsia"/>
                <w:color w:val="auto"/>
              </w:rPr>
              <w:t>废气</w:t>
            </w:r>
          </w:p>
        </w:tc>
        <w:tc>
          <w:tcPr>
            <w:tcW w:w="854" w:type="pct"/>
            <w:tcBorders>
              <w:tl2br w:val="nil"/>
              <w:tr2bl w:val="nil"/>
            </w:tcBorders>
            <w:noWrap w:val="0"/>
            <w:vAlign w:val="center"/>
          </w:tcPr>
          <w:p>
            <w:pPr>
              <w:pStyle w:val="35"/>
              <w:bidi w:val="0"/>
              <w:rPr>
                <w:color w:val="auto"/>
              </w:rPr>
            </w:pPr>
            <w:r>
              <w:rPr>
                <w:rFonts w:hint="eastAsia"/>
                <w:color w:val="auto"/>
              </w:rPr>
              <w:t>减压精馏G1-1</w:t>
            </w:r>
            <w:r>
              <w:rPr>
                <w:rFonts w:hint="eastAsia"/>
                <w:color w:val="auto"/>
                <w:lang w:eastAsia="zh-CN"/>
              </w:rPr>
              <w:t>、</w:t>
            </w:r>
            <w:r>
              <w:rPr>
                <w:rFonts w:hint="eastAsia"/>
                <w:color w:val="auto"/>
              </w:rPr>
              <w:t>G1-</w:t>
            </w:r>
            <w:r>
              <w:rPr>
                <w:rFonts w:hint="eastAsia"/>
                <w:color w:val="auto"/>
                <w:lang w:val="en-US" w:eastAsia="zh-CN"/>
              </w:rPr>
              <w:t>2</w:t>
            </w:r>
          </w:p>
        </w:tc>
        <w:tc>
          <w:tcPr>
            <w:tcW w:w="1144" w:type="pct"/>
            <w:tcBorders>
              <w:tl2br w:val="nil"/>
              <w:tr2bl w:val="nil"/>
            </w:tcBorders>
            <w:noWrap w:val="0"/>
            <w:vAlign w:val="center"/>
          </w:tcPr>
          <w:p>
            <w:pPr>
              <w:pStyle w:val="35"/>
              <w:bidi w:val="0"/>
              <w:rPr>
                <w:color w:val="auto"/>
              </w:rPr>
            </w:pPr>
            <w:r>
              <w:rPr>
                <w:rFonts w:hint="eastAsia"/>
                <w:color w:val="auto"/>
              </w:rPr>
              <w:t>氯化氢</w:t>
            </w:r>
            <w:r>
              <w:rPr>
                <w:rFonts w:hint="eastAsia"/>
                <w:color w:val="auto"/>
                <w:lang w:eastAsia="zh-CN"/>
              </w:rPr>
              <w:t>、</w:t>
            </w:r>
            <w:r>
              <w:rPr>
                <w:rFonts w:hint="eastAsia"/>
                <w:color w:val="auto"/>
              </w:rPr>
              <w:t>1，2二氯丙烷</w:t>
            </w:r>
            <w:r>
              <w:rPr>
                <w:rFonts w:hint="eastAsia"/>
                <w:color w:val="auto"/>
                <w:lang w:eastAsia="zh-CN"/>
              </w:rPr>
              <w:t>、</w:t>
            </w:r>
            <w:r>
              <w:rPr>
                <w:rFonts w:hint="eastAsia"/>
                <w:color w:val="auto"/>
              </w:rPr>
              <w:t>非甲烷总烃</w:t>
            </w:r>
          </w:p>
        </w:tc>
        <w:tc>
          <w:tcPr>
            <w:tcW w:w="688" w:type="pct"/>
            <w:tcBorders>
              <w:tl2br w:val="nil"/>
              <w:tr2bl w:val="nil"/>
            </w:tcBorders>
            <w:noWrap w:val="0"/>
            <w:vAlign w:val="center"/>
          </w:tcPr>
          <w:p>
            <w:pPr>
              <w:pStyle w:val="35"/>
              <w:bidi w:val="0"/>
              <w:rPr>
                <w:color w:val="auto"/>
              </w:rPr>
            </w:pPr>
            <w:r>
              <w:rPr>
                <w:rFonts w:hint="eastAsia"/>
                <w:color w:val="auto"/>
              </w:rPr>
              <w:t>间歇</w:t>
            </w:r>
          </w:p>
        </w:tc>
        <w:tc>
          <w:tcPr>
            <w:tcW w:w="1658" w:type="pct"/>
            <w:tcBorders>
              <w:tl2br w:val="nil"/>
              <w:tr2bl w:val="nil"/>
            </w:tcBorders>
            <w:noWrap w:val="0"/>
            <w:vAlign w:val="center"/>
          </w:tcPr>
          <w:p>
            <w:pPr>
              <w:pStyle w:val="35"/>
              <w:bidi w:val="0"/>
              <w:rPr>
                <w:color w:val="auto"/>
              </w:rPr>
            </w:pPr>
            <w:r>
              <w:rPr>
                <w:rFonts w:hint="eastAsia"/>
                <w:color w:val="auto"/>
                <w:lang w:val="en-US" w:eastAsia="zh-CN"/>
              </w:rPr>
              <w:t>冷凝处理+碱液喷淋＋炭吸附+</w:t>
            </w:r>
            <w:r>
              <w:rPr>
                <w:rFonts w:hint="eastAsia"/>
                <w:color w:val="auto"/>
              </w:rPr>
              <w:t>20</w:t>
            </w:r>
            <w:r>
              <w:rPr>
                <w:rFonts w:hint="eastAsia"/>
                <w:color w:val="auto"/>
                <w:lang w:val="en-US" w:eastAsia="zh-CN"/>
              </w:rPr>
              <w:t>m</w:t>
            </w:r>
            <w:r>
              <w:rPr>
                <w:rFonts w:hint="eastAsia"/>
                <w:color w:val="auto"/>
              </w:rPr>
              <w:t>高排气筒</w:t>
            </w:r>
          </w:p>
        </w:tc>
      </w:tr>
      <w:tr>
        <w:trPr>
          <w:trHeight w:val="357" w:hRule="atLeast"/>
        </w:trPr>
        <w:tc>
          <w:tcPr>
            <w:tcW w:w="653" w:type="pct"/>
            <w:tcBorders>
              <w:tl2br w:val="nil"/>
              <w:tr2bl w:val="nil"/>
            </w:tcBorders>
            <w:noWrap w:val="0"/>
            <w:vAlign w:val="center"/>
          </w:tcPr>
          <w:p>
            <w:pPr>
              <w:pStyle w:val="35"/>
              <w:bidi w:val="0"/>
              <w:rPr>
                <w:color w:val="auto"/>
              </w:rPr>
            </w:pPr>
            <w:r>
              <w:rPr>
                <w:rFonts w:hint="eastAsia"/>
                <w:color w:val="auto"/>
              </w:rPr>
              <w:t>固废</w:t>
            </w:r>
          </w:p>
        </w:tc>
        <w:tc>
          <w:tcPr>
            <w:tcW w:w="854" w:type="pct"/>
            <w:tcBorders>
              <w:tl2br w:val="nil"/>
              <w:tr2bl w:val="nil"/>
            </w:tcBorders>
            <w:noWrap w:val="0"/>
            <w:vAlign w:val="center"/>
          </w:tcPr>
          <w:p>
            <w:pPr>
              <w:pStyle w:val="35"/>
              <w:bidi w:val="0"/>
              <w:rPr>
                <w:color w:val="auto"/>
              </w:rPr>
            </w:pPr>
            <w:r>
              <w:rPr>
                <w:rFonts w:hint="eastAsia"/>
                <w:color w:val="auto"/>
              </w:rPr>
              <w:t>精馏残渣S1-1</w:t>
            </w:r>
          </w:p>
        </w:tc>
        <w:tc>
          <w:tcPr>
            <w:tcW w:w="1144" w:type="pct"/>
            <w:tcBorders>
              <w:tl2br w:val="nil"/>
              <w:tr2bl w:val="nil"/>
            </w:tcBorders>
            <w:noWrap w:val="0"/>
            <w:vAlign w:val="center"/>
          </w:tcPr>
          <w:p>
            <w:pPr>
              <w:pStyle w:val="35"/>
              <w:bidi w:val="0"/>
              <w:rPr>
                <w:color w:val="auto"/>
              </w:rPr>
            </w:pPr>
            <w:r>
              <w:rPr>
                <w:rFonts w:hint="eastAsia"/>
                <w:color w:val="auto"/>
              </w:rPr>
              <w:t>有机物</w:t>
            </w:r>
          </w:p>
        </w:tc>
        <w:tc>
          <w:tcPr>
            <w:tcW w:w="688" w:type="pct"/>
            <w:tcBorders>
              <w:tl2br w:val="nil"/>
              <w:tr2bl w:val="nil"/>
            </w:tcBorders>
            <w:noWrap w:val="0"/>
            <w:vAlign w:val="center"/>
          </w:tcPr>
          <w:p>
            <w:pPr>
              <w:pStyle w:val="35"/>
              <w:bidi w:val="0"/>
              <w:rPr>
                <w:color w:val="auto"/>
              </w:rPr>
            </w:pPr>
            <w:r>
              <w:rPr>
                <w:rFonts w:hint="eastAsia"/>
                <w:color w:val="auto"/>
              </w:rPr>
              <w:t>间歇</w:t>
            </w:r>
          </w:p>
        </w:tc>
        <w:tc>
          <w:tcPr>
            <w:tcW w:w="1658" w:type="pct"/>
            <w:tcBorders>
              <w:tl2br w:val="nil"/>
              <w:tr2bl w:val="nil"/>
            </w:tcBorders>
            <w:noWrap w:val="0"/>
            <w:vAlign w:val="center"/>
          </w:tcPr>
          <w:p>
            <w:pPr>
              <w:pStyle w:val="35"/>
              <w:bidi w:val="0"/>
              <w:rPr>
                <w:color w:val="auto"/>
              </w:rPr>
            </w:pPr>
            <w:r>
              <w:rPr>
                <w:rFonts w:hint="eastAsia"/>
                <w:color w:val="auto"/>
              </w:rPr>
              <w:t>交由资质单位处置。</w:t>
            </w:r>
          </w:p>
        </w:tc>
      </w:tr>
    </w:tbl>
    <w:p>
      <w:pPr>
        <w:pStyle w:val="33"/>
        <w:bidi w:val="0"/>
        <w:rPr>
          <w:b/>
          <w:bCs/>
          <w:color w:val="auto"/>
          <w:lang w:val="de-DE"/>
        </w:rPr>
      </w:pPr>
      <w:r>
        <w:rPr>
          <w:rFonts w:hint="eastAsia"/>
          <w:b/>
          <w:bCs/>
          <w:color w:val="auto"/>
          <w:lang w:val="de-DE" w:eastAsia="zh-CN"/>
        </w:rPr>
        <w:t>（</w:t>
      </w:r>
      <w:r>
        <w:rPr>
          <w:rFonts w:hint="eastAsia"/>
          <w:b/>
          <w:bCs/>
          <w:color w:val="auto"/>
          <w:lang w:val="en-US" w:eastAsia="zh-CN"/>
        </w:rPr>
        <w:t>2</w:t>
      </w:r>
      <w:r>
        <w:rPr>
          <w:rFonts w:hint="eastAsia"/>
          <w:b/>
          <w:bCs/>
          <w:color w:val="auto"/>
          <w:lang w:val="de-DE" w:eastAsia="zh-CN"/>
        </w:rPr>
        <w:t>）</w:t>
      </w:r>
      <w:r>
        <w:rPr>
          <w:b/>
          <w:bCs/>
          <w:color w:val="auto"/>
          <w:lang w:val="de-DE"/>
        </w:rPr>
        <w:t>苯乙烯、环己酮、环己烷生产</w:t>
      </w:r>
      <w:r>
        <w:rPr>
          <w:rFonts w:hint="eastAsia"/>
          <w:b/>
          <w:bCs/>
          <w:color w:val="auto"/>
          <w:lang w:val="de-DE"/>
        </w:rPr>
        <w:t>工艺及产污环节</w:t>
      </w:r>
    </w:p>
    <w:p>
      <w:pPr>
        <w:pStyle w:val="33"/>
        <w:bidi w:val="0"/>
        <w:rPr>
          <w:color w:val="auto"/>
        </w:rPr>
      </w:pPr>
      <w:r>
        <w:rPr>
          <w:rFonts w:hint="eastAsia"/>
          <w:color w:val="auto"/>
        </w:rPr>
        <w:t>（1）生产工艺流程</w:t>
      </w:r>
    </w:p>
    <w:p>
      <w:pPr>
        <w:pStyle w:val="33"/>
        <w:bidi w:val="0"/>
        <w:rPr>
          <w:color w:val="auto"/>
        </w:rPr>
      </w:pPr>
      <w:r>
        <w:rPr>
          <w:color w:val="auto"/>
        </w:rPr>
        <w:t>外购的原料油（含苯乙烯约22.47%，环己烷44.94%，环己酮22.47%）进入原料油罐区储存，经原料油泵送入精馏塔，通过对温度的控制进行精馏，在81</w:t>
      </w:r>
      <w:r>
        <w:rPr>
          <w:rFonts w:hint="eastAsia"/>
          <w:color w:val="auto"/>
        </w:rPr>
        <w:t>℃</w:t>
      </w:r>
      <w:r>
        <w:rPr>
          <w:color w:val="auto"/>
        </w:rPr>
        <w:t>左右获得环己烷，在146</w:t>
      </w:r>
      <w:r>
        <w:rPr>
          <w:rFonts w:hint="eastAsia"/>
          <w:color w:val="auto"/>
        </w:rPr>
        <w:t>℃</w:t>
      </w:r>
      <w:r>
        <w:rPr>
          <w:color w:val="auto"/>
        </w:rPr>
        <w:t>左右获得苯乙烯，在156</w:t>
      </w:r>
      <w:r>
        <w:rPr>
          <w:rFonts w:hint="eastAsia"/>
          <w:color w:val="auto"/>
        </w:rPr>
        <w:t>℃</w:t>
      </w:r>
      <w:r>
        <w:rPr>
          <w:color w:val="auto"/>
        </w:rPr>
        <w:t>左右得到环己酮，经冷凝进入回流槽，回流槽的物料一部分回流，一部分经检验合格后产出符合标准的环己酮、苯乙烯、环己烷等。精馏系统采用负压工作状态，由水环式真空泵给精馏系统抽真空</w:t>
      </w:r>
      <w:r>
        <w:rPr>
          <w:rFonts w:hint="eastAsia"/>
          <w:color w:val="auto"/>
        </w:rPr>
        <w:t>，利用电导热油炉提供热源</w:t>
      </w:r>
      <w:r>
        <w:rPr>
          <w:color w:val="auto"/>
        </w:rPr>
        <w:t>。具体工艺流程和产污节点见图</w:t>
      </w:r>
      <w:r>
        <w:rPr>
          <w:rFonts w:hint="eastAsia"/>
          <w:color w:val="auto"/>
          <w:lang w:val="en-US" w:eastAsia="zh-CN"/>
        </w:rPr>
        <w:t>3</w:t>
      </w:r>
      <w:r>
        <w:rPr>
          <w:rFonts w:hint="eastAsia"/>
          <w:color w:val="auto"/>
        </w:rPr>
        <w:t>.2</w:t>
      </w:r>
      <w:r>
        <w:rPr>
          <w:color w:val="auto"/>
        </w:rPr>
        <w:t>-2。</w:t>
      </w:r>
    </w:p>
    <w:p>
      <w:pPr>
        <w:pStyle w:val="20"/>
        <w:spacing w:before="0" w:beforeAutospacing="0" w:after="0" w:afterAutospacing="0" w:line="360" w:lineRule="auto"/>
        <w:ind w:firstLine="480" w:firstLineChars="200"/>
        <w:jc w:val="both"/>
        <w:rPr>
          <w:rFonts w:ascii="Times New Roman" w:hAnsi="Times New Roman"/>
          <w:caps w:val="0"/>
          <w:smallCaps w:val="0"/>
          <w:color w:val="auto"/>
        </w:rPr>
      </w:pPr>
      <w:r>
        <w:rPr>
          <w:color w:val="auto"/>
        </w:rPr>
        <w:drawing>
          <wp:inline distT="0" distB="0" distL="114300" distR="114300">
            <wp:extent cx="4591050" cy="2724150"/>
            <wp:effectExtent l="0" t="0" r="0" b="0"/>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19"/>
                    <a:stretch>
                      <a:fillRect/>
                    </a:stretch>
                  </pic:blipFill>
                  <pic:spPr>
                    <a:xfrm>
                      <a:off x="0" y="0"/>
                      <a:ext cx="4591050" cy="2724150"/>
                    </a:xfrm>
                    <a:prstGeom prst="rect">
                      <a:avLst/>
                    </a:prstGeom>
                    <a:noFill/>
                    <a:ln>
                      <a:noFill/>
                    </a:ln>
                  </pic:spPr>
                </pic:pic>
              </a:graphicData>
            </a:graphic>
          </wp:inline>
        </w:drawing>
      </w:r>
    </w:p>
    <w:p>
      <w:pPr>
        <w:pStyle w:val="36"/>
        <w:bidi w:val="0"/>
        <w:rPr>
          <w:color w:val="auto"/>
        </w:rPr>
      </w:pPr>
      <w:r>
        <w:rPr>
          <w:color w:val="auto"/>
        </w:rPr>
        <w:t>图</w:t>
      </w:r>
      <w:r>
        <w:rPr>
          <w:rFonts w:hint="eastAsia"/>
          <w:color w:val="auto"/>
          <w:lang w:val="en-US" w:eastAsia="zh-CN"/>
        </w:rPr>
        <w:t>3</w:t>
      </w:r>
      <w:r>
        <w:rPr>
          <w:rFonts w:hint="eastAsia"/>
          <w:color w:val="auto"/>
        </w:rPr>
        <w:t>.2</w:t>
      </w:r>
      <w:r>
        <w:rPr>
          <w:color w:val="auto"/>
        </w:rPr>
        <w:t>-2  苯乙烯、环己酮、环己烷生产工艺流程及污染流程图</w:t>
      </w:r>
    </w:p>
    <w:p>
      <w:pPr>
        <w:pStyle w:val="33"/>
        <w:bidi w:val="0"/>
        <w:rPr>
          <w:color w:val="auto"/>
        </w:rPr>
      </w:pPr>
      <w:r>
        <w:rPr>
          <w:rFonts w:hint="eastAsia"/>
          <w:color w:val="auto"/>
        </w:rPr>
        <w:t>（2）</w:t>
      </w:r>
      <w:r>
        <w:rPr>
          <w:color w:val="auto"/>
        </w:rPr>
        <w:t>产污环节及污染源分析：</w:t>
      </w:r>
    </w:p>
    <w:p>
      <w:pPr>
        <w:pStyle w:val="33"/>
        <w:bidi w:val="0"/>
        <w:rPr>
          <w:rFonts w:ascii="Times New Roman" w:hAnsi="Times New Roman"/>
          <w:caps w:val="0"/>
          <w:smallCaps w:val="0"/>
          <w:color w:val="auto"/>
          <w:sz w:val="24"/>
        </w:rPr>
      </w:pPr>
      <w:r>
        <w:rPr>
          <w:rFonts w:hint="eastAsia" w:ascii="Times New Roman" w:hAnsi="Times New Roman"/>
          <w:caps w:val="0"/>
          <w:smallCaps w:val="0"/>
          <w:color w:val="auto"/>
          <w:sz w:val="24"/>
        </w:rPr>
        <w:t>①废气</w:t>
      </w:r>
      <w:r>
        <w:rPr>
          <w:rFonts w:hint="eastAsia" w:ascii="Times New Roman" w:hAnsi="Times New Roman"/>
          <w:caps w:val="0"/>
          <w:smallCaps w:val="0"/>
          <w:color w:val="auto"/>
          <w:szCs w:val="21"/>
        </w:rPr>
        <w:t>G</w:t>
      </w:r>
      <w:r>
        <w:rPr>
          <w:rFonts w:hint="eastAsia" w:ascii="Times New Roman" w:hAnsi="Times New Roman"/>
          <w:caps w:val="0"/>
          <w:smallCaps w:val="0"/>
          <w:color w:val="auto"/>
          <w:szCs w:val="21"/>
          <w:vertAlign w:val="subscript"/>
        </w:rPr>
        <w:t>2-1</w:t>
      </w:r>
      <w:r>
        <w:rPr>
          <w:rFonts w:hint="eastAsia" w:ascii="Times New Roman" w:hAnsi="Times New Roman"/>
          <w:caps w:val="0"/>
          <w:smallCaps w:val="0"/>
          <w:color w:val="auto"/>
          <w:szCs w:val="21"/>
          <w:vertAlign w:val="subscript"/>
          <w:lang w:eastAsia="zh-CN"/>
        </w:rPr>
        <w:t>、</w:t>
      </w:r>
      <w:r>
        <w:rPr>
          <w:rFonts w:ascii="Times New Roman" w:hAnsi="Times New Roman"/>
          <w:caps w:val="0"/>
          <w:smallCaps w:val="0"/>
          <w:color w:val="auto"/>
          <w:szCs w:val="21"/>
        </w:rPr>
        <w:t>G</w:t>
      </w:r>
      <w:r>
        <w:rPr>
          <w:rFonts w:hint="eastAsia" w:ascii="Times New Roman" w:hAnsi="Times New Roman"/>
          <w:caps w:val="0"/>
          <w:smallCaps w:val="0"/>
          <w:color w:val="auto"/>
          <w:szCs w:val="21"/>
          <w:vertAlign w:val="subscript"/>
        </w:rPr>
        <w:t>2-</w:t>
      </w:r>
      <w:r>
        <w:rPr>
          <w:rFonts w:ascii="Times New Roman" w:hAnsi="Times New Roman"/>
          <w:caps w:val="0"/>
          <w:smallCaps w:val="0"/>
          <w:color w:val="auto"/>
          <w:szCs w:val="21"/>
          <w:vertAlign w:val="subscript"/>
        </w:rPr>
        <w:t>2</w:t>
      </w:r>
      <w:r>
        <w:rPr>
          <w:rFonts w:hint="eastAsia" w:ascii="Times New Roman" w:hAnsi="Times New Roman"/>
          <w:caps w:val="0"/>
          <w:smallCaps w:val="0"/>
          <w:color w:val="auto"/>
          <w:szCs w:val="21"/>
          <w:vertAlign w:val="subscript"/>
          <w:lang w:eastAsia="zh-CN"/>
        </w:rPr>
        <w:t>、</w:t>
      </w:r>
      <w:r>
        <w:rPr>
          <w:rFonts w:ascii="Times New Roman" w:hAnsi="Times New Roman"/>
          <w:caps w:val="0"/>
          <w:smallCaps w:val="0"/>
          <w:color w:val="auto"/>
          <w:szCs w:val="21"/>
        </w:rPr>
        <w:t>G</w:t>
      </w:r>
      <w:r>
        <w:rPr>
          <w:rFonts w:hint="eastAsia" w:ascii="Times New Roman" w:hAnsi="Times New Roman"/>
          <w:caps w:val="0"/>
          <w:smallCaps w:val="0"/>
          <w:color w:val="auto"/>
          <w:szCs w:val="21"/>
          <w:vertAlign w:val="subscript"/>
        </w:rPr>
        <w:t>2-</w:t>
      </w:r>
      <w:r>
        <w:rPr>
          <w:rFonts w:hint="eastAsia" w:ascii="Times New Roman" w:hAnsi="Times New Roman"/>
          <w:caps w:val="0"/>
          <w:smallCaps w:val="0"/>
          <w:color w:val="auto"/>
          <w:szCs w:val="21"/>
          <w:vertAlign w:val="subscript"/>
          <w:lang w:val="en-US" w:eastAsia="zh-CN"/>
        </w:rPr>
        <w:t>3</w:t>
      </w:r>
    </w:p>
    <w:p>
      <w:pPr>
        <w:pStyle w:val="33"/>
        <w:bidi w:val="0"/>
        <w:rPr>
          <w:color w:val="auto"/>
        </w:rPr>
      </w:pPr>
      <w:r>
        <w:rPr>
          <w:rFonts w:hint="eastAsia"/>
          <w:color w:val="auto"/>
        </w:rPr>
        <w:t>废气主要产生于冷凝器顶部开口排放与减压真空泵尾气。</w:t>
      </w:r>
      <w:r>
        <w:rPr>
          <w:color w:val="auto"/>
        </w:rPr>
        <w:t>通过初馏塔塔顶的液体经过冷凝塔进行冷凝回收，在回收过程中冷凝不下来的少量不凝尾气中仍存在残留</w:t>
      </w:r>
      <w:r>
        <w:rPr>
          <w:rFonts w:hint="eastAsia"/>
          <w:color w:val="auto"/>
        </w:rPr>
        <w:t>环己烷、苯乙烯、环己酮等有机</w:t>
      </w:r>
      <w:r>
        <w:rPr>
          <w:color w:val="auto"/>
        </w:rPr>
        <w:t>气体，通过</w:t>
      </w:r>
      <w:r>
        <w:rPr>
          <w:rFonts w:hint="eastAsia"/>
          <w:color w:val="auto"/>
          <w:lang w:eastAsia="zh-CN"/>
        </w:rPr>
        <w:t>真空泵</w:t>
      </w:r>
      <w:r>
        <w:rPr>
          <w:color w:val="auto"/>
        </w:rPr>
        <w:t>连接产生的挥发气体收集送往</w:t>
      </w:r>
      <w:r>
        <w:rPr>
          <w:rFonts w:hint="eastAsia"/>
          <w:color w:val="auto"/>
        </w:rPr>
        <w:t>尾气吸收塔（冷凝+水封罐）</w:t>
      </w:r>
      <w:r>
        <w:rPr>
          <w:color w:val="auto"/>
        </w:rPr>
        <w:t>处理后经</w:t>
      </w:r>
      <w:r>
        <w:rPr>
          <w:rFonts w:hint="eastAsia"/>
          <w:color w:val="auto"/>
        </w:rPr>
        <w:t>20</w:t>
      </w:r>
      <w:r>
        <w:rPr>
          <w:rFonts w:hint="eastAsia"/>
          <w:color w:val="auto"/>
          <w:lang w:val="en-US" w:eastAsia="zh-CN"/>
        </w:rPr>
        <w:t>m</w:t>
      </w:r>
      <w:r>
        <w:rPr>
          <w:rFonts w:hint="eastAsia"/>
          <w:color w:val="auto"/>
        </w:rPr>
        <w:t>高</w:t>
      </w:r>
      <w:r>
        <w:rPr>
          <w:color w:val="auto"/>
        </w:rPr>
        <w:t>排气筒排放。</w:t>
      </w:r>
    </w:p>
    <w:p>
      <w:pPr>
        <w:pStyle w:val="33"/>
        <w:bidi w:val="0"/>
        <w:rPr>
          <w:color w:val="auto"/>
        </w:rPr>
      </w:pPr>
      <w:r>
        <w:rPr>
          <w:color w:val="auto"/>
        </w:rPr>
        <w:t>无组织排放废气</w:t>
      </w:r>
      <w:r>
        <w:rPr>
          <w:rFonts w:hint="eastAsia"/>
          <w:color w:val="auto"/>
        </w:rPr>
        <w:t>主要为储罐</w:t>
      </w:r>
      <w:r>
        <w:rPr>
          <w:color w:val="auto"/>
        </w:rPr>
        <w:t>大小呼吸</w:t>
      </w:r>
      <w:r>
        <w:rPr>
          <w:rFonts w:hint="eastAsia"/>
          <w:color w:val="auto"/>
        </w:rPr>
        <w:t>以及物料输送泵、管道阀门泄</w:t>
      </w:r>
      <w:r>
        <w:rPr>
          <w:rFonts w:hint="eastAsia"/>
          <w:color w:val="auto"/>
          <w:lang w:val="en-US" w:eastAsia="zh-CN"/>
        </w:rPr>
        <w:t>漏</w:t>
      </w:r>
      <w:r>
        <w:rPr>
          <w:rFonts w:hint="eastAsia"/>
          <w:color w:val="auto"/>
        </w:rPr>
        <w:t>产生</w:t>
      </w:r>
      <w:r>
        <w:rPr>
          <w:color w:val="auto"/>
        </w:rPr>
        <w:t>有机</w:t>
      </w:r>
      <w:r>
        <w:rPr>
          <w:rFonts w:hint="eastAsia"/>
          <w:color w:val="auto"/>
        </w:rPr>
        <w:t>废气</w:t>
      </w:r>
      <w:r>
        <w:rPr>
          <w:color w:val="auto"/>
        </w:rPr>
        <w:t>。</w:t>
      </w:r>
    </w:p>
    <w:p>
      <w:pPr>
        <w:pStyle w:val="33"/>
        <w:bidi w:val="0"/>
        <w:rPr>
          <w:rFonts w:ascii="Times New Roman" w:hAnsi="Times New Roman"/>
          <w:caps w:val="0"/>
          <w:smallCaps w:val="0"/>
          <w:color w:val="auto"/>
        </w:rPr>
      </w:pPr>
      <w:r>
        <w:rPr>
          <w:rStyle w:val="26"/>
          <w:rFonts w:hint="eastAsia" w:ascii="Times New Roman" w:hAnsi="Times New Roman"/>
          <w:caps w:val="0"/>
          <w:smallCaps w:val="0"/>
          <w:color w:val="auto"/>
          <w:sz w:val="24"/>
        </w:rPr>
        <w:t>②</w:t>
      </w:r>
      <w:r>
        <w:rPr>
          <w:rFonts w:hint="eastAsia" w:ascii="Times New Roman" w:hAnsi="Times New Roman"/>
          <w:caps w:val="0"/>
          <w:smallCaps w:val="0"/>
          <w:color w:val="auto"/>
        </w:rPr>
        <w:t>固体废物</w:t>
      </w:r>
      <w:r>
        <w:rPr>
          <w:rFonts w:ascii="Times New Roman" w:hAnsi="Times New Roman"/>
          <w:caps w:val="0"/>
          <w:smallCaps w:val="0"/>
          <w:color w:val="auto"/>
          <w:szCs w:val="21"/>
        </w:rPr>
        <w:t>S</w:t>
      </w:r>
      <w:r>
        <w:rPr>
          <w:rFonts w:hint="eastAsia" w:ascii="Times New Roman" w:hAnsi="Times New Roman"/>
          <w:caps w:val="0"/>
          <w:smallCaps w:val="0"/>
          <w:color w:val="auto"/>
          <w:szCs w:val="21"/>
          <w:vertAlign w:val="subscript"/>
        </w:rPr>
        <w:t>2-</w:t>
      </w:r>
      <w:r>
        <w:rPr>
          <w:rFonts w:ascii="Times New Roman" w:hAnsi="Times New Roman"/>
          <w:caps w:val="0"/>
          <w:smallCaps w:val="0"/>
          <w:color w:val="auto"/>
          <w:szCs w:val="21"/>
          <w:vertAlign w:val="subscript"/>
        </w:rPr>
        <w:t>1</w:t>
      </w:r>
    </w:p>
    <w:p>
      <w:pPr>
        <w:pStyle w:val="33"/>
        <w:bidi w:val="0"/>
        <w:rPr>
          <w:color w:val="auto"/>
        </w:rPr>
      </w:pPr>
      <w:r>
        <w:rPr>
          <w:color w:val="auto"/>
        </w:rPr>
        <w:t>初馏</w:t>
      </w:r>
      <w:r>
        <w:rPr>
          <w:rFonts w:hint="eastAsia"/>
          <w:color w:val="auto"/>
        </w:rPr>
        <w:t>、精馏</w:t>
      </w:r>
      <w:r>
        <w:rPr>
          <w:color w:val="auto"/>
        </w:rPr>
        <w:t>过程中产生釜</w:t>
      </w:r>
      <w:r>
        <w:rPr>
          <w:rFonts w:hint="eastAsia"/>
          <w:color w:val="auto"/>
        </w:rPr>
        <w:t>残</w:t>
      </w:r>
      <w:r>
        <w:rPr>
          <w:color w:val="auto"/>
        </w:rPr>
        <w:t>，</w:t>
      </w:r>
      <w:r>
        <w:rPr>
          <w:rFonts w:hint="eastAsia"/>
          <w:color w:val="auto"/>
        </w:rPr>
        <w:t>属于危险废物（废物类别HW</w:t>
      </w:r>
      <w:r>
        <w:rPr>
          <w:rFonts w:hint="eastAsia"/>
          <w:color w:val="auto"/>
          <w:lang w:val="en-US" w:eastAsia="zh-CN"/>
        </w:rPr>
        <w:t>06</w:t>
      </w:r>
      <w:r>
        <w:rPr>
          <w:rFonts w:hint="eastAsia"/>
          <w:color w:val="auto"/>
        </w:rPr>
        <w:t>）,</w:t>
      </w:r>
      <w:r>
        <w:rPr>
          <w:color w:val="auto"/>
        </w:rPr>
        <w:t>该部分釜液入库暂存，然后外售</w:t>
      </w:r>
      <w:r>
        <w:rPr>
          <w:rFonts w:hint="eastAsia"/>
          <w:color w:val="auto"/>
        </w:rPr>
        <w:t>有资质单位</w:t>
      </w:r>
      <w:r>
        <w:rPr>
          <w:color w:val="auto"/>
        </w:rPr>
        <w:t>。</w:t>
      </w:r>
    </w:p>
    <w:p>
      <w:pPr>
        <w:pStyle w:val="33"/>
        <w:bidi w:val="0"/>
        <w:rPr>
          <w:color w:val="auto"/>
        </w:rPr>
      </w:pPr>
      <w:r>
        <w:rPr>
          <w:rFonts w:hint="eastAsia"/>
          <w:color w:val="auto"/>
        </w:rPr>
        <w:t>③噪声</w:t>
      </w:r>
    </w:p>
    <w:p>
      <w:pPr>
        <w:pStyle w:val="33"/>
        <w:bidi w:val="0"/>
        <w:rPr>
          <w:color w:val="auto"/>
        </w:rPr>
      </w:pPr>
      <w:r>
        <w:rPr>
          <w:color w:val="auto"/>
        </w:rPr>
        <w:t>生产过程中物料输送泵和废气处理所用风机等会产生噪声，源强约为65~95dB（A）。</w:t>
      </w:r>
    </w:p>
    <w:p>
      <w:pPr>
        <w:pStyle w:val="36"/>
        <w:bidi w:val="0"/>
        <w:rPr>
          <w:color w:val="auto"/>
        </w:rPr>
      </w:pPr>
      <w:r>
        <w:rPr>
          <w:rFonts w:hint="eastAsia"/>
          <w:color w:val="auto"/>
        </w:rPr>
        <w:t>表</w:t>
      </w:r>
      <w:r>
        <w:rPr>
          <w:rFonts w:hint="eastAsia"/>
          <w:color w:val="auto"/>
          <w:lang w:val="en-US" w:eastAsia="zh-CN"/>
        </w:rPr>
        <w:t>3</w:t>
      </w:r>
      <w:r>
        <w:rPr>
          <w:rFonts w:hint="eastAsia"/>
          <w:color w:val="auto"/>
        </w:rPr>
        <w:t>.2-2  环己烷、苯乙烯、环己酮生产排放节点一览表</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755"/>
        <w:gridCol w:w="724"/>
        <w:gridCol w:w="1452"/>
        <w:gridCol w:w="2058"/>
        <w:gridCol w:w="1268"/>
        <w:gridCol w:w="30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04" w:type="pct"/>
            <w:tcBorders>
              <w:tl2br w:val="nil"/>
              <w:tr2bl w:val="nil"/>
            </w:tcBorders>
            <w:noWrap w:val="0"/>
            <w:vAlign w:val="center"/>
          </w:tcPr>
          <w:p>
            <w:pPr>
              <w:pStyle w:val="35"/>
              <w:bidi w:val="0"/>
              <w:jc w:val="center"/>
              <w:rPr>
                <w:b/>
                <w:bCs/>
                <w:color w:val="auto"/>
              </w:rPr>
            </w:pPr>
            <w:r>
              <w:rPr>
                <w:b/>
                <w:bCs/>
                <w:color w:val="auto"/>
              </w:rPr>
              <w:t>类别</w:t>
            </w:r>
          </w:p>
        </w:tc>
        <w:tc>
          <w:tcPr>
            <w:tcW w:w="387" w:type="pct"/>
            <w:tcBorders>
              <w:tl2br w:val="nil"/>
              <w:tr2bl w:val="nil"/>
            </w:tcBorders>
            <w:noWrap w:val="0"/>
            <w:vAlign w:val="center"/>
          </w:tcPr>
          <w:p>
            <w:pPr>
              <w:pStyle w:val="35"/>
              <w:bidi w:val="0"/>
              <w:jc w:val="center"/>
              <w:rPr>
                <w:b/>
                <w:bCs/>
                <w:color w:val="auto"/>
              </w:rPr>
            </w:pPr>
            <w:r>
              <w:rPr>
                <w:rFonts w:hint="eastAsia"/>
                <w:b/>
                <w:bCs/>
                <w:color w:val="auto"/>
              </w:rPr>
              <w:t>序号</w:t>
            </w:r>
          </w:p>
        </w:tc>
        <w:tc>
          <w:tcPr>
            <w:tcW w:w="776" w:type="pct"/>
            <w:tcBorders>
              <w:tl2br w:val="nil"/>
              <w:tr2bl w:val="nil"/>
            </w:tcBorders>
            <w:noWrap w:val="0"/>
            <w:vAlign w:val="center"/>
          </w:tcPr>
          <w:p>
            <w:pPr>
              <w:pStyle w:val="35"/>
              <w:bidi w:val="0"/>
              <w:jc w:val="center"/>
              <w:rPr>
                <w:b/>
                <w:bCs/>
                <w:color w:val="auto"/>
              </w:rPr>
            </w:pPr>
            <w:r>
              <w:rPr>
                <w:b/>
                <w:bCs/>
                <w:color w:val="auto"/>
              </w:rPr>
              <w:t>产生</w:t>
            </w:r>
            <w:r>
              <w:rPr>
                <w:rFonts w:hint="eastAsia"/>
                <w:b/>
                <w:bCs/>
                <w:color w:val="auto"/>
              </w:rPr>
              <w:t>源</w:t>
            </w:r>
          </w:p>
        </w:tc>
        <w:tc>
          <w:tcPr>
            <w:tcW w:w="1100" w:type="pct"/>
            <w:tcBorders>
              <w:tl2br w:val="nil"/>
              <w:tr2bl w:val="nil"/>
            </w:tcBorders>
            <w:noWrap w:val="0"/>
            <w:vAlign w:val="center"/>
          </w:tcPr>
          <w:p>
            <w:pPr>
              <w:pStyle w:val="35"/>
              <w:bidi w:val="0"/>
              <w:jc w:val="center"/>
              <w:rPr>
                <w:b/>
                <w:bCs/>
                <w:color w:val="auto"/>
              </w:rPr>
            </w:pPr>
            <w:r>
              <w:rPr>
                <w:b/>
                <w:bCs/>
                <w:color w:val="auto"/>
              </w:rPr>
              <w:t>主要污染物</w:t>
            </w:r>
          </w:p>
        </w:tc>
        <w:tc>
          <w:tcPr>
            <w:tcW w:w="678" w:type="pct"/>
            <w:tcBorders>
              <w:tl2br w:val="nil"/>
              <w:tr2bl w:val="nil"/>
            </w:tcBorders>
            <w:noWrap w:val="0"/>
            <w:vAlign w:val="center"/>
          </w:tcPr>
          <w:p>
            <w:pPr>
              <w:pStyle w:val="35"/>
              <w:bidi w:val="0"/>
              <w:jc w:val="center"/>
              <w:rPr>
                <w:b/>
                <w:bCs/>
                <w:color w:val="auto"/>
              </w:rPr>
            </w:pPr>
            <w:r>
              <w:rPr>
                <w:b/>
                <w:bCs/>
                <w:color w:val="auto"/>
              </w:rPr>
              <w:t>产生特点</w:t>
            </w:r>
          </w:p>
        </w:tc>
        <w:tc>
          <w:tcPr>
            <w:tcW w:w="1652" w:type="pct"/>
            <w:tcBorders>
              <w:tl2br w:val="nil"/>
              <w:tr2bl w:val="nil"/>
            </w:tcBorders>
            <w:noWrap w:val="0"/>
            <w:vAlign w:val="center"/>
          </w:tcPr>
          <w:p>
            <w:pPr>
              <w:pStyle w:val="35"/>
              <w:bidi w:val="0"/>
              <w:jc w:val="center"/>
              <w:rPr>
                <w:b/>
                <w:bCs/>
                <w:color w:val="auto"/>
              </w:rPr>
            </w:pPr>
            <w:r>
              <w:rPr>
                <w:b/>
                <w:bCs/>
                <w:color w:val="auto"/>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04" w:type="pct"/>
            <w:vMerge w:val="restart"/>
            <w:tcBorders>
              <w:tl2br w:val="nil"/>
              <w:tr2bl w:val="nil"/>
            </w:tcBorders>
            <w:noWrap w:val="0"/>
            <w:vAlign w:val="center"/>
          </w:tcPr>
          <w:p>
            <w:pPr>
              <w:pStyle w:val="35"/>
              <w:bidi w:val="0"/>
              <w:jc w:val="center"/>
              <w:rPr>
                <w:color w:val="auto"/>
              </w:rPr>
            </w:pPr>
            <w:r>
              <w:rPr>
                <w:color w:val="auto"/>
              </w:rPr>
              <w:t>废气</w:t>
            </w:r>
          </w:p>
        </w:tc>
        <w:tc>
          <w:tcPr>
            <w:tcW w:w="387" w:type="pct"/>
            <w:tcBorders>
              <w:tl2br w:val="nil"/>
              <w:tr2bl w:val="nil"/>
            </w:tcBorders>
            <w:noWrap w:val="0"/>
            <w:vAlign w:val="center"/>
          </w:tcPr>
          <w:p>
            <w:pPr>
              <w:pStyle w:val="35"/>
              <w:bidi w:val="0"/>
              <w:jc w:val="center"/>
              <w:rPr>
                <w:color w:val="auto"/>
              </w:rPr>
            </w:pPr>
            <w:r>
              <w:rPr>
                <w:rFonts w:hint="eastAsia"/>
                <w:color w:val="auto"/>
              </w:rPr>
              <w:t>G2-1</w:t>
            </w:r>
          </w:p>
        </w:tc>
        <w:tc>
          <w:tcPr>
            <w:tcW w:w="776" w:type="pct"/>
            <w:tcBorders>
              <w:tl2br w:val="nil"/>
              <w:tr2bl w:val="nil"/>
            </w:tcBorders>
            <w:noWrap w:val="0"/>
            <w:vAlign w:val="center"/>
          </w:tcPr>
          <w:p>
            <w:pPr>
              <w:pStyle w:val="35"/>
              <w:bidi w:val="0"/>
              <w:jc w:val="center"/>
              <w:rPr>
                <w:color w:val="auto"/>
              </w:rPr>
            </w:pPr>
            <w:r>
              <w:rPr>
                <w:rFonts w:hint="eastAsia"/>
                <w:color w:val="auto"/>
              </w:rPr>
              <w:t>一次减压精馏</w:t>
            </w:r>
          </w:p>
        </w:tc>
        <w:tc>
          <w:tcPr>
            <w:tcW w:w="1100" w:type="pct"/>
            <w:tcBorders>
              <w:tl2br w:val="nil"/>
              <w:tr2bl w:val="nil"/>
            </w:tcBorders>
            <w:noWrap w:val="0"/>
            <w:vAlign w:val="center"/>
          </w:tcPr>
          <w:p>
            <w:pPr>
              <w:pStyle w:val="35"/>
              <w:bidi w:val="0"/>
              <w:jc w:val="center"/>
              <w:rPr>
                <w:rFonts w:hint="default" w:eastAsia="宋体"/>
                <w:color w:val="auto"/>
                <w:lang w:val="en-US" w:eastAsia="zh-CN"/>
              </w:rPr>
            </w:pPr>
            <w:r>
              <w:rPr>
                <w:rFonts w:hint="eastAsia"/>
                <w:color w:val="auto"/>
                <w:lang w:val="en-US" w:eastAsia="zh-CN"/>
              </w:rPr>
              <w:t>VOCs、环己烷</w:t>
            </w:r>
          </w:p>
        </w:tc>
        <w:tc>
          <w:tcPr>
            <w:tcW w:w="678" w:type="pct"/>
            <w:tcBorders>
              <w:tl2br w:val="nil"/>
              <w:tr2bl w:val="nil"/>
            </w:tcBorders>
            <w:noWrap w:val="0"/>
            <w:vAlign w:val="center"/>
          </w:tcPr>
          <w:p>
            <w:pPr>
              <w:pStyle w:val="35"/>
              <w:bidi w:val="0"/>
              <w:jc w:val="center"/>
              <w:rPr>
                <w:color w:val="auto"/>
              </w:rPr>
            </w:pPr>
            <w:r>
              <w:rPr>
                <w:rFonts w:hint="eastAsia"/>
                <w:color w:val="auto"/>
              </w:rPr>
              <w:t>间断</w:t>
            </w:r>
          </w:p>
        </w:tc>
        <w:tc>
          <w:tcPr>
            <w:tcW w:w="1652" w:type="pct"/>
            <w:vMerge w:val="restart"/>
            <w:tcBorders>
              <w:tl2br w:val="nil"/>
              <w:tr2bl w:val="nil"/>
            </w:tcBorders>
            <w:noWrap w:val="0"/>
            <w:vAlign w:val="center"/>
          </w:tcPr>
          <w:p>
            <w:pPr>
              <w:pStyle w:val="35"/>
              <w:bidi w:val="0"/>
              <w:jc w:val="center"/>
              <w:rPr>
                <w:color w:val="auto"/>
              </w:rPr>
            </w:pPr>
            <w:r>
              <w:rPr>
                <w:rFonts w:hint="eastAsia" w:ascii="Times New Roman" w:hAnsi="Times New Roman" w:cs="Times New Roman"/>
                <w:color w:val="auto"/>
                <w:u w:val="single"/>
                <w:lang w:val="en-US" w:eastAsia="zh-CN"/>
              </w:rPr>
              <w:t>冷凝处理+碱液喷淋＋炭吸附＋</w:t>
            </w:r>
            <w:r>
              <w:rPr>
                <w:rFonts w:ascii="Times New Roman" w:hAnsi="Times New Roman" w:cs="Times New Roman"/>
                <w:color w:val="auto"/>
                <w:u w:val="single"/>
              </w:rPr>
              <w:t>2</w:t>
            </w:r>
            <w:r>
              <w:rPr>
                <w:rFonts w:hint="eastAsia" w:ascii="Times New Roman" w:hAnsi="Times New Roman" w:cs="Times New Roman"/>
                <w:color w:val="auto"/>
                <w:u w:val="single"/>
                <w:lang w:val="en-US" w:eastAsia="zh-CN"/>
              </w:rPr>
              <w:t>0</w:t>
            </w:r>
            <w:r>
              <w:rPr>
                <w:rFonts w:ascii="Times New Roman" w:hAnsi="Times New Roman" w:cs="Times New Roman"/>
                <w:color w:val="auto"/>
                <w:u w:val="single"/>
              </w:rPr>
              <w:t>m排气筒进行排放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jc w:val="center"/>
        </w:trPr>
        <w:tc>
          <w:tcPr>
            <w:tcW w:w="404" w:type="pct"/>
            <w:vMerge w:val="continue"/>
            <w:tcBorders>
              <w:tl2br w:val="nil"/>
              <w:tr2bl w:val="nil"/>
            </w:tcBorders>
            <w:noWrap w:val="0"/>
            <w:vAlign w:val="center"/>
          </w:tcPr>
          <w:p>
            <w:pPr>
              <w:pStyle w:val="35"/>
              <w:bidi w:val="0"/>
              <w:jc w:val="center"/>
              <w:rPr>
                <w:color w:val="auto"/>
              </w:rPr>
            </w:pPr>
          </w:p>
        </w:tc>
        <w:tc>
          <w:tcPr>
            <w:tcW w:w="387" w:type="pct"/>
            <w:tcBorders>
              <w:tl2br w:val="nil"/>
              <w:tr2bl w:val="nil"/>
            </w:tcBorders>
            <w:noWrap w:val="0"/>
            <w:vAlign w:val="center"/>
          </w:tcPr>
          <w:p>
            <w:pPr>
              <w:pStyle w:val="35"/>
              <w:bidi w:val="0"/>
              <w:jc w:val="center"/>
              <w:rPr>
                <w:color w:val="auto"/>
              </w:rPr>
            </w:pPr>
            <w:r>
              <w:rPr>
                <w:color w:val="auto"/>
              </w:rPr>
              <w:t>G</w:t>
            </w:r>
            <w:r>
              <w:rPr>
                <w:rFonts w:hint="eastAsia"/>
                <w:color w:val="auto"/>
              </w:rPr>
              <w:t>2-</w:t>
            </w:r>
            <w:r>
              <w:rPr>
                <w:color w:val="auto"/>
              </w:rPr>
              <w:t>2</w:t>
            </w:r>
          </w:p>
        </w:tc>
        <w:tc>
          <w:tcPr>
            <w:tcW w:w="776" w:type="pct"/>
            <w:tcBorders>
              <w:tl2br w:val="nil"/>
              <w:tr2bl w:val="nil"/>
            </w:tcBorders>
            <w:noWrap w:val="0"/>
            <w:vAlign w:val="center"/>
          </w:tcPr>
          <w:p>
            <w:pPr>
              <w:pStyle w:val="35"/>
              <w:bidi w:val="0"/>
              <w:jc w:val="center"/>
              <w:rPr>
                <w:color w:val="auto"/>
              </w:rPr>
            </w:pPr>
            <w:r>
              <w:rPr>
                <w:rFonts w:hint="eastAsia"/>
                <w:color w:val="auto"/>
              </w:rPr>
              <w:t>二次减压精馏</w:t>
            </w:r>
          </w:p>
        </w:tc>
        <w:tc>
          <w:tcPr>
            <w:tcW w:w="1100"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VOCs、苯乙烯</w:t>
            </w:r>
          </w:p>
        </w:tc>
        <w:tc>
          <w:tcPr>
            <w:tcW w:w="678" w:type="pct"/>
            <w:tcBorders>
              <w:tl2br w:val="nil"/>
              <w:tr2bl w:val="nil"/>
            </w:tcBorders>
            <w:noWrap w:val="0"/>
            <w:vAlign w:val="center"/>
          </w:tcPr>
          <w:p>
            <w:pPr>
              <w:pStyle w:val="35"/>
              <w:bidi w:val="0"/>
              <w:jc w:val="center"/>
              <w:rPr>
                <w:color w:val="auto"/>
              </w:rPr>
            </w:pPr>
            <w:r>
              <w:rPr>
                <w:rFonts w:hint="eastAsia"/>
                <w:color w:val="auto"/>
              </w:rPr>
              <w:t>间断</w:t>
            </w:r>
          </w:p>
        </w:tc>
        <w:tc>
          <w:tcPr>
            <w:tcW w:w="1652" w:type="pct"/>
            <w:vMerge w:val="continue"/>
            <w:tcBorders>
              <w:tl2br w:val="nil"/>
              <w:tr2bl w:val="nil"/>
            </w:tcBorders>
            <w:noWrap w:val="0"/>
            <w:vAlign w:val="center"/>
          </w:tcPr>
          <w:p>
            <w:pPr>
              <w:pStyle w:val="35"/>
              <w:bidi w:val="0"/>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0" w:hRule="atLeast"/>
          <w:jc w:val="center"/>
        </w:trPr>
        <w:tc>
          <w:tcPr>
            <w:tcW w:w="404" w:type="pct"/>
            <w:vMerge w:val="continue"/>
            <w:tcBorders>
              <w:tl2br w:val="nil"/>
              <w:tr2bl w:val="nil"/>
            </w:tcBorders>
            <w:noWrap w:val="0"/>
            <w:vAlign w:val="center"/>
          </w:tcPr>
          <w:p>
            <w:pPr>
              <w:pStyle w:val="35"/>
              <w:bidi w:val="0"/>
              <w:jc w:val="center"/>
              <w:rPr>
                <w:color w:val="auto"/>
              </w:rPr>
            </w:pPr>
          </w:p>
        </w:tc>
        <w:tc>
          <w:tcPr>
            <w:tcW w:w="387" w:type="pct"/>
            <w:tcBorders>
              <w:tl2br w:val="nil"/>
              <w:tr2bl w:val="nil"/>
            </w:tcBorders>
            <w:noWrap w:val="0"/>
            <w:vAlign w:val="center"/>
          </w:tcPr>
          <w:p>
            <w:pPr>
              <w:pStyle w:val="35"/>
              <w:bidi w:val="0"/>
              <w:jc w:val="center"/>
              <w:rPr>
                <w:color w:val="auto"/>
              </w:rPr>
            </w:pPr>
            <w:r>
              <w:rPr>
                <w:rFonts w:hint="eastAsia"/>
                <w:color w:val="auto"/>
              </w:rPr>
              <w:t>G2-3</w:t>
            </w:r>
          </w:p>
        </w:tc>
        <w:tc>
          <w:tcPr>
            <w:tcW w:w="776" w:type="pct"/>
            <w:tcBorders>
              <w:tl2br w:val="nil"/>
              <w:tr2bl w:val="nil"/>
            </w:tcBorders>
            <w:noWrap w:val="0"/>
            <w:vAlign w:val="center"/>
          </w:tcPr>
          <w:p>
            <w:pPr>
              <w:pStyle w:val="35"/>
              <w:bidi w:val="0"/>
              <w:jc w:val="center"/>
              <w:rPr>
                <w:color w:val="auto"/>
              </w:rPr>
            </w:pPr>
            <w:r>
              <w:rPr>
                <w:rFonts w:hint="eastAsia"/>
                <w:color w:val="auto"/>
              </w:rPr>
              <w:t>三次减压精馏</w:t>
            </w:r>
          </w:p>
        </w:tc>
        <w:tc>
          <w:tcPr>
            <w:tcW w:w="1100"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VOCs、环己酮</w:t>
            </w:r>
          </w:p>
        </w:tc>
        <w:tc>
          <w:tcPr>
            <w:tcW w:w="678" w:type="pct"/>
            <w:tcBorders>
              <w:tl2br w:val="nil"/>
              <w:tr2bl w:val="nil"/>
            </w:tcBorders>
            <w:noWrap w:val="0"/>
            <w:vAlign w:val="center"/>
          </w:tcPr>
          <w:p>
            <w:pPr>
              <w:pStyle w:val="35"/>
              <w:bidi w:val="0"/>
              <w:jc w:val="center"/>
              <w:rPr>
                <w:color w:val="auto"/>
              </w:rPr>
            </w:pPr>
            <w:r>
              <w:rPr>
                <w:rFonts w:hint="eastAsia"/>
                <w:color w:val="auto"/>
              </w:rPr>
              <w:t>间断</w:t>
            </w:r>
          </w:p>
        </w:tc>
        <w:tc>
          <w:tcPr>
            <w:tcW w:w="1652" w:type="pct"/>
            <w:vMerge w:val="continue"/>
            <w:tcBorders>
              <w:tl2br w:val="nil"/>
              <w:tr2bl w:val="nil"/>
            </w:tcBorders>
            <w:noWrap w:val="0"/>
            <w:vAlign w:val="center"/>
          </w:tcPr>
          <w:p>
            <w:pPr>
              <w:pStyle w:val="35"/>
              <w:bidi w:val="0"/>
              <w:jc w:val="center"/>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04" w:type="pct"/>
            <w:tcBorders>
              <w:tl2br w:val="nil"/>
              <w:tr2bl w:val="nil"/>
            </w:tcBorders>
            <w:noWrap w:val="0"/>
            <w:vAlign w:val="center"/>
          </w:tcPr>
          <w:p>
            <w:pPr>
              <w:pStyle w:val="35"/>
              <w:bidi w:val="0"/>
              <w:jc w:val="center"/>
              <w:rPr>
                <w:color w:val="auto"/>
              </w:rPr>
            </w:pPr>
            <w:r>
              <w:rPr>
                <w:color w:val="auto"/>
              </w:rPr>
              <w:t>固废</w:t>
            </w:r>
          </w:p>
        </w:tc>
        <w:tc>
          <w:tcPr>
            <w:tcW w:w="387" w:type="pct"/>
            <w:tcBorders>
              <w:tl2br w:val="nil"/>
              <w:tr2bl w:val="nil"/>
            </w:tcBorders>
            <w:noWrap w:val="0"/>
            <w:vAlign w:val="center"/>
          </w:tcPr>
          <w:p>
            <w:pPr>
              <w:pStyle w:val="35"/>
              <w:bidi w:val="0"/>
              <w:jc w:val="center"/>
              <w:rPr>
                <w:color w:val="auto"/>
              </w:rPr>
            </w:pPr>
            <w:r>
              <w:rPr>
                <w:color w:val="auto"/>
              </w:rPr>
              <w:t>S</w:t>
            </w:r>
            <w:r>
              <w:rPr>
                <w:rFonts w:hint="eastAsia"/>
                <w:color w:val="auto"/>
              </w:rPr>
              <w:t>2-</w:t>
            </w:r>
            <w:r>
              <w:rPr>
                <w:color w:val="auto"/>
              </w:rPr>
              <w:t>1</w:t>
            </w:r>
          </w:p>
        </w:tc>
        <w:tc>
          <w:tcPr>
            <w:tcW w:w="776" w:type="pct"/>
            <w:tcBorders>
              <w:tl2br w:val="nil"/>
              <w:tr2bl w:val="nil"/>
            </w:tcBorders>
            <w:noWrap w:val="0"/>
            <w:vAlign w:val="center"/>
          </w:tcPr>
          <w:p>
            <w:pPr>
              <w:pStyle w:val="35"/>
              <w:bidi w:val="0"/>
              <w:jc w:val="center"/>
              <w:rPr>
                <w:color w:val="auto"/>
              </w:rPr>
            </w:pPr>
            <w:r>
              <w:rPr>
                <w:rFonts w:hint="eastAsia"/>
                <w:color w:val="auto"/>
              </w:rPr>
              <w:t>蒸馏釜残</w:t>
            </w:r>
          </w:p>
        </w:tc>
        <w:tc>
          <w:tcPr>
            <w:tcW w:w="1100" w:type="pct"/>
            <w:tcBorders>
              <w:tl2br w:val="nil"/>
              <w:tr2bl w:val="nil"/>
            </w:tcBorders>
            <w:noWrap w:val="0"/>
            <w:vAlign w:val="center"/>
          </w:tcPr>
          <w:p>
            <w:pPr>
              <w:pStyle w:val="35"/>
              <w:bidi w:val="0"/>
              <w:jc w:val="center"/>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有机物</w:t>
            </w:r>
          </w:p>
        </w:tc>
        <w:tc>
          <w:tcPr>
            <w:tcW w:w="678" w:type="pct"/>
            <w:tcBorders>
              <w:tl2br w:val="nil"/>
              <w:tr2bl w:val="nil"/>
            </w:tcBorders>
            <w:noWrap w:val="0"/>
            <w:vAlign w:val="center"/>
          </w:tcPr>
          <w:p>
            <w:pPr>
              <w:pStyle w:val="35"/>
              <w:bidi w:val="0"/>
              <w:jc w:val="center"/>
              <w:rPr>
                <w:color w:val="auto"/>
              </w:rPr>
            </w:pPr>
            <w:r>
              <w:rPr>
                <w:rFonts w:hint="eastAsia"/>
                <w:color w:val="auto"/>
              </w:rPr>
              <w:t>间断</w:t>
            </w:r>
          </w:p>
        </w:tc>
        <w:tc>
          <w:tcPr>
            <w:tcW w:w="1652" w:type="pct"/>
            <w:tcBorders>
              <w:tl2br w:val="nil"/>
              <w:tr2bl w:val="nil"/>
            </w:tcBorders>
            <w:noWrap w:val="0"/>
            <w:vAlign w:val="center"/>
          </w:tcPr>
          <w:p>
            <w:pPr>
              <w:pStyle w:val="35"/>
              <w:bidi w:val="0"/>
              <w:jc w:val="center"/>
              <w:rPr>
                <w:color w:val="auto"/>
              </w:rPr>
            </w:pPr>
            <w:r>
              <w:rPr>
                <w:rFonts w:hint="eastAsia"/>
                <w:color w:val="auto"/>
              </w:rPr>
              <w:t>出售给有资质单位</w:t>
            </w:r>
          </w:p>
        </w:tc>
      </w:tr>
    </w:tbl>
    <w:p>
      <w:pPr>
        <w:pStyle w:val="33"/>
        <w:bidi w:val="0"/>
        <w:rPr>
          <w:b/>
          <w:bCs/>
          <w:color w:val="auto"/>
          <w:lang w:val="de-DE"/>
        </w:rPr>
      </w:pPr>
      <w:r>
        <w:rPr>
          <w:rFonts w:hint="eastAsia"/>
          <w:b/>
          <w:bCs/>
          <w:color w:val="auto"/>
          <w:lang w:val="de-DE" w:eastAsia="zh-CN"/>
        </w:rPr>
        <w:t>（</w:t>
      </w:r>
      <w:r>
        <w:rPr>
          <w:rFonts w:hint="eastAsia"/>
          <w:b/>
          <w:bCs/>
          <w:color w:val="auto"/>
          <w:lang w:val="en-US" w:eastAsia="zh-CN"/>
        </w:rPr>
        <w:t>3</w:t>
      </w:r>
      <w:r>
        <w:rPr>
          <w:rFonts w:hint="eastAsia"/>
          <w:b/>
          <w:bCs/>
          <w:color w:val="auto"/>
          <w:lang w:val="de-DE" w:eastAsia="zh-CN"/>
        </w:rPr>
        <w:t>）</w:t>
      </w:r>
      <w:r>
        <w:rPr>
          <w:rFonts w:hint="eastAsia"/>
          <w:b/>
          <w:bCs/>
          <w:color w:val="auto"/>
          <w:lang w:val="de-DE"/>
        </w:rPr>
        <w:t>燃料油</w:t>
      </w:r>
      <w:r>
        <w:rPr>
          <w:b/>
          <w:bCs/>
          <w:color w:val="auto"/>
          <w:lang w:val="de-DE"/>
        </w:rPr>
        <w:t>生产</w:t>
      </w:r>
      <w:r>
        <w:rPr>
          <w:rFonts w:hint="eastAsia"/>
          <w:b/>
          <w:bCs/>
          <w:color w:val="auto"/>
          <w:lang w:val="de-DE"/>
        </w:rPr>
        <w:t>工艺及产污环节</w:t>
      </w:r>
    </w:p>
    <w:p>
      <w:pPr>
        <w:pStyle w:val="33"/>
        <w:bidi w:val="0"/>
        <w:rPr>
          <w:color w:val="auto"/>
        </w:rPr>
      </w:pPr>
      <w:r>
        <w:rPr>
          <w:rFonts w:hint="eastAsia"/>
          <w:color w:val="auto"/>
        </w:rPr>
        <w:t>（1）生产工艺简介</w:t>
      </w:r>
    </w:p>
    <w:p>
      <w:pPr>
        <w:pStyle w:val="33"/>
        <w:bidi w:val="0"/>
        <w:rPr>
          <w:color w:val="auto"/>
        </w:rPr>
      </w:pPr>
      <w:r>
        <w:rPr>
          <w:color w:val="auto"/>
        </w:rPr>
        <w:t>外购的原料油（X油、煤焦油、工业重油、溶剂油等）通过</w:t>
      </w:r>
      <w:r>
        <w:rPr>
          <w:rFonts w:hint="eastAsia"/>
          <w:color w:val="auto"/>
          <w:lang w:eastAsia="zh-CN"/>
        </w:rPr>
        <w:t>“</w:t>
      </w:r>
      <w:r>
        <w:rPr>
          <w:color w:val="auto"/>
        </w:rPr>
        <w:t>储罐—管道—生产设备—管道—储罐</w:t>
      </w:r>
      <w:r>
        <w:rPr>
          <w:rFonts w:hint="eastAsia"/>
          <w:color w:val="auto"/>
          <w:lang w:eastAsia="zh-CN"/>
        </w:rPr>
        <w:t>”</w:t>
      </w:r>
      <w:r>
        <w:rPr>
          <w:color w:val="auto"/>
        </w:rPr>
        <w:t>全封闭式的方式生产燃料油，原料油通过管道进入配料罐中以一定的比例混合后，经预加热器加热后送入搅拌装置进行搅拌调制。待经检验合格后产出符合标准的燃料油。</w:t>
      </w:r>
    </w:p>
    <w:p>
      <w:pPr>
        <w:pStyle w:val="33"/>
        <w:bidi w:val="0"/>
        <w:rPr>
          <w:rFonts w:hint="eastAsia"/>
          <w:color w:val="auto"/>
          <w:lang w:eastAsia="zh-CN"/>
        </w:rPr>
      </w:pPr>
      <w:r>
        <w:rPr>
          <w:rFonts w:hint="eastAsia"/>
          <w:color w:val="auto"/>
          <w:lang w:eastAsia="zh-CN"/>
        </w:rPr>
        <w:t>燃料油接纳方对产品的要求不高，生产过程不需要过滤、精馏分离等工序，整过生产过程只是简单的混装过程，没有固废产生。</w:t>
      </w:r>
    </w:p>
    <w:p>
      <w:pPr>
        <w:pStyle w:val="33"/>
        <w:bidi w:val="0"/>
        <w:rPr>
          <w:color w:val="auto"/>
        </w:rPr>
      </w:pPr>
      <w:r>
        <w:rPr>
          <w:rFonts w:hint="eastAsia"/>
          <w:color w:val="auto"/>
        </w:rPr>
        <w:t>（2）</w:t>
      </w:r>
      <w:r>
        <w:rPr>
          <w:color w:val="auto"/>
        </w:rPr>
        <w:t>产污环节及污染源分析：</w:t>
      </w:r>
    </w:p>
    <w:p>
      <w:pPr>
        <w:pStyle w:val="33"/>
        <w:bidi w:val="0"/>
        <w:rPr>
          <w:color w:val="auto"/>
        </w:rPr>
      </w:pPr>
      <w:r>
        <w:rPr>
          <w:rFonts w:hint="eastAsia"/>
          <w:color w:val="auto"/>
        </w:rPr>
        <w:t>废水：燃料油生产过程中无废水产生。</w:t>
      </w:r>
    </w:p>
    <w:p>
      <w:pPr>
        <w:pStyle w:val="33"/>
        <w:bidi w:val="0"/>
        <w:rPr>
          <w:rFonts w:hint="eastAsia"/>
          <w:color w:val="auto"/>
        </w:rPr>
      </w:pPr>
      <w:r>
        <w:rPr>
          <w:rFonts w:hint="eastAsia"/>
          <w:color w:val="auto"/>
        </w:rPr>
        <w:t>废气：燃料油生产主要为搅拌工序产生的废气，主要污染物为非甲烷总烃。</w:t>
      </w:r>
    </w:p>
    <w:p>
      <w:pPr>
        <w:pStyle w:val="33"/>
        <w:bidi w:val="0"/>
        <w:rPr>
          <w:rFonts w:hint="eastAsia"/>
          <w:color w:val="auto"/>
        </w:rPr>
      </w:pPr>
      <w:r>
        <w:rPr>
          <w:rFonts w:hint="eastAsia"/>
          <w:color w:val="auto"/>
          <w:lang w:val="en-US" w:eastAsia="zh-CN"/>
        </w:rPr>
        <w:t>噪</w:t>
      </w:r>
      <w:r>
        <w:rPr>
          <w:rFonts w:hint="eastAsia"/>
          <w:color w:val="auto"/>
        </w:rPr>
        <w:t>声：物料输送泵及搅拌设备的机械噪声。</w:t>
      </w:r>
    </w:p>
    <w:p>
      <w:pPr>
        <w:pStyle w:val="4"/>
        <w:ind w:firstLine="0" w:firstLineChars="0"/>
        <w:jc w:val="center"/>
        <w:rPr>
          <w:rFonts w:ascii="Times New Roman" w:hAnsi="Times New Roman"/>
          <w:caps w:val="0"/>
          <w:smallCaps w:val="0"/>
          <w:color w:val="auto"/>
        </w:rPr>
      </w:pPr>
      <w:r>
        <w:rPr>
          <w:rFonts w:ascii="Times New Roman" w:hAnsi="Times New Roman"/>
          <w:caps w:val="0"/>
          <w:smallCaps w:val="0"/>
          <w:color w:val="auto"/>
        </w:rPr>
        <w:object>
          <v:shape id="_x0000_i1026" o:spt="75" type="#_x0000_t75" style="height:131.2pt;width:352.15pt;" o:ole="t" filled="f" o:preferrelative="t" stroked="f" coordsize="21600,21600">
            <v:path/>
            <v:fill on="f" focussize="0,0"/>
            <v:stroke on="f"/>
            <v:imagedata r:id="rId21" o:title=""/>
            <o:lock v:ext="edit" aspectratio="f"/>
            <w10:wrap type="none"/>
            <w10:anchorlock/>
          </v:shape>
          <o:OLEObject Type="Embed" ProgID="Visio.Drawing.11" ShapeID="_x0000_i1026" DrawAspect="Content" ObjectID="_1468075726" r:id="rId20">
            <o:LockedField>false</o:LockedField>
          </o:OLEObject>
        </w:object>
      </w:r>
    </w:p>
    <w:p>
      <w:pPr>
        <w:pStyle w:val="36"/>
        <w:bidi w:val="0"/>
        <w:rPr>
          <w:color w:val="auto"/>
        </w:rPr>
      </w:pPr>
      <w:r>
        <w:rPr>
          <w:color w:val="auto"/>
        </w:rPr>
        <w:t>图</w:t>
      </w:r>
      <w:r>
        <w:rPr>
          <w:rFonts w:hint="eastAsia"/>
          <w:color w:val="auto"/>
          <w:lang w:val="en-US" w:eastAsia="zh-CN"/>
        </w:rPr>
        <w:t>3</w:t>
      </w:r>
      <w:r>
        <w:rPr>
          <w:rFonts w:hint="eastAsia"/>
          <w:color w:val="auto"/>
        </w:rPr>
        <w:t>.2</w:t>
      </w:r>
      <w:r>
        <w:rPr>
          <w:color w:val="auto"/>
        </w:rPr>
        <w:t>-3  燃料油生产工艺流程及污染流程图</w:t>
      </w:r>
    </w:p>
    <w:p>
      <w:pPr>
        <w:pStyle w:val="32"/>
        <w:bidi w:val="0"/>
        <w:rPr>
          <w:rFonts w:hint="eastAsia"/>
          <w:color w:val="auto"/>
          <w:lang w:val="en-US" w:eastAsia="zh-CN"/>
        </w:rPr>
      </w:pPr>
      <w:bookmarkStart w:id="48" w:name="_Toc32670"/>
      <w:r>
        <w:rPr>
          <w:rFonts w:hint="eastAsia"/>
          <w:color w:val="auto"/>
          <w:lang w:val="en-US" w:eastAsia="zh-CN"/>
        </w:rPr>
        <w:t>3.2.2现有二期项目（在建）</w:t>
      </w:r>
      <w:bookmarkEnd w:id="48"/>
    </w:p>
    <w:p>
      <w:pPr>
        <w:pStyle w:val="33"/>
        <w:bidi w:val="0"/>
        <w:rPr>
          <w:rFonts w:hint="default"/>
          <w:color w:val="auto"/>
          <w:lang w:val="en-US" w:eastAsia="zh-CN"/>
        </w:rPr>
      </w:pPr>
      <w:r>
        <w:rPr>
          <w:rFonts w:hint="eastAsia"/>
          <w:color w:val="auto"/>
          <w:lang w:val="en-US" w:eastAsia="zh-CN"/>
        </w:rPr>
        <w:t>岳阳市凌峰化工有限公司二期工程于2018年7月取得环评批复，岳环评批【2018】63号，目前正在建设，暂未验收和生产，二期项目工艺生产工艺及产污环节如下：</w:t>
      </w:r>
    </w:p>
    <w:p>
      <w:pPr>
        <w:pStyle w:val="33"/>
        <w:bidi w:val="0"/>
        <w:rPr>
          <w:b/>
          <w:bCs/>
          <w:color w:val="auto"/>
          <w:lang w:val="de-DE"/>
        </w:rPr>
      </w:pPr>
      <w:r>
        <w:rPr>
          <w:rFonts w:hint="eastAsia"/>
          <w:b/>
          <w:bCs/>
          <w:color w:val="auto"/>
        </w:rPr>
        <w:t>（1）二氯丙烷</w:t>
      </w:r>
      <w:r>
        <w:rPr>
          <w:rFonts w:hint="eastAsia"/>
          <w:b/>
          <w:bCs/>
          <w:color w:val="auto"/>
          <w:lang w:val="de-DE"/>
        </w:rPr>
        <w:t>生产工艺及产污环节</w:t>
      </w:r>
    </w:p>
    <w:p>
      <w:pPr>
        <w:pStyle w:val="33"/>
        <w:bidi w:val="0"/>
        <w:rPr>
          <w:color w:val="auto"/>
        </w:rPr>
      </w:pPr>
      <w:r>
        <w:rPr>
          <w:rFonts w:hint="eastAsia"/>
          <w:color w:val="auto"/>
          <w:lang w:val="en-US" w:eastAsia="zh-CN"/>
        </w:rPr>
        <w:t>在现有一期厂区生产车间内扩建，现有二氯丙烷生产工艺不变，仅新增一套精馏塔扩大生产规模</w:t>
      </w:r>
      <w:r>
        <w:rPr>
          <w:rFonts w:hint="eastAsia"/>
          <w:color w:val="auto"/>
        </w:rPr>
        <w:t>，</w:t>
      </w:r>
      <w:r>
        <w:rPr>
          <w:rFonts w:hint="eastAsia"/>
          <w:color w:val="auto"/>
          <w:lang w:eastAsia="zh-CN"/>
        </w:rPr>
        <w:t>将现有</w:t>
      </w:r>
      <w:r>
        <w:rPr>
          <w:rFonts w:hint="eastAsia"/>
          <w:color w:val="auto"/>
          <w:lang w:val="en-US" w:eastAsia="zh-CN"/>
        </w:rPr>
        <w:t>1000t/a年的规模扩大至3000t/a，</w:t>
      </w:r>
      <w:r>
        <w:rPr>
          <w:rFonts w:hint="eastAsia"/>
          <w:color w:val="auto"/>
          <w:lang w:eastAsia="zh-CN"/>
        </w:rPr>
        <w:t>具体</w:t>
      </w:r>
      <w:r>
        <w:rPr>
          <w:rFonts w:hint="eastAsia"/>
          <w:color w:val="auto"/>
        </w:rPr>
        <w:t>工艺流程如下：</w:t>
      </w:r>
    </w:p>
    <w:p>
      <w:pPr>
        <w:pStyle w:val="33"/>
        <w:bidi w:val="0"/>
        <w:rPr>
          <w:color w:val="auto"/>
          <w:lang w:val="de-DE"/>
        </w:rPr>
      </w:pPr>
      <w:r>
        <w:rPr>
          <w:rFonts w:hint="eastAsia"/>
          <w:color w:val="auto"/>
        </w:rPr>
        <w:t>外购</w:t>
      </w:r>
      <w:r>
        <w:rPr>
          <w:rFonts w:hint="eastAsia"/>
          <w:color w:val="auto"/>
          <w:lang w:eastAsia="zh-CN"/>
        </w:rPr>
        <w:t>工业用二氯丙烷</w:t>
      </w:r>
      <w:r>
        <w:rPr>
          <w:color w:val="auto"/>
        </w:rPr>
        <w:t>进入原料油罐区储存，经原料泵送入</w:t>
      </w:r>
      <w:r>
        <w:rPr>
          <w:rFonts w:hint="eastAsia"/>
          <w:color w:val="auto"/>
        </w:rPr>
        <w:t>反应釜后，再进入送</w:t>
      </w:r>
      <w:r>
        <w:rPr>
          <w:color w:val="auto"/>
        </w:rPr>
        <w:t>初馏塔塔釜，在负压状态下，并对温度进行控制</w:t>
      </w:r>
      <w:r>
        <w:rPr>
          <w:rFonts w:hint="eastAsia"/>
          <w:color w:val="auto"/>
        </w:rPr>
        <w:t>进行分馏</w:t>
      </w:r>
      <w:r>
        <w:rPr>
          <w:color w:val="auto"/>
        </w:rPr>
        <w:t>，</w:t>
      </w:r>
      <w:r>
        <w:rPr>
          <w:rFonts w:hint="eastAsia"/>
          <w:color w:val="auto"/>
        </w:rPr>
        <w:t>1号初馏塔顶温控制在</w:t>
      </w:r>
      <w:r>
        <w:rPr>
          <w:rFonts w:hint="eastAsia"/>
          <w:color w:val="auto"/>
          <w:lang w:val="en-US" w:eastAsia="zh-CN"/>
        </w:rPr>
        <w:t>90</w:t>
      </w:r>
      <w:r>
        <w:rPr>
          <w:rFonts w:hint="eastAsia"/>
          <w:color w:val="auto"/>
        </w:rPr>
        <w:t>℃</w:t>
      </w:r>
      <w:r>
        <w:rPr>
          <w:color w:val="auto"/>
        </w:rPr>
        <w:t>～</w:t>
      </w:r>
      <w:r>
        <w:rPr>
          <w:rFonts w:hint="eastAsia"/>
          <w:color w:val="auto"/>
          <w:lang w:val="en-US" w:eastAsia="zh-CN"/>
        </w:rPr>
        <w:t>105</w:t>
      </w:r>
      <w:r>
        <w:rPr>
          <w:rFonts w:hint="eastAsia"/>
          <w:color w:val="auto"/>
        </w:rPr>
        <w:t>℃</w:t>
      </w:r>
      <w:r>
        <w:rPr>
          <w:color w:val="auto"/>
        </w:rPr>
        <w:t>温度范围内的</w:t>
      </w:r>
      <w:r>
        <w:rPr>
          <w:rFonts w:hint="eastAsia"/>
          <w:color w:val="auto"/>
        </w:rPr>
        <w:t>分</w:t>
      </w:r>
      <w:r>
        <w:rPr>
          <w:color w:val="auto"/>
        </w:rPr>
        <w:t>馏产物作为轻组分</w:t>
      </w:r>
      <w:r>
        <w:rPr>
          <w:rFonts w:hint="eastAsia"/>
          <w:color w:val="auto"/>
        </w:rPr>
        <w:t>1，2</w:t>
      </w:r>
      <w:r>
        <w:rPr>
          <w:color w:val="auto"/>
        </w:rPr>
        <w:t>二氯丙烷，</w:t>
      </w:r>
      <w:r>
        <w:rPr>
          <w:rFonts w:hint="eastAsia"/>
          <w:color w:val="auto"/>
        </w:rPr>
        <w:t>顶温控制在</w:t>
      </w:r>
      <w:r>
        <w:rPr>
          <w:rFonts w:hint="eastAsia"/>
          <w:color w:val="auto"/>
          <w:lang w:val="en-US" w:eastAsia="zh-CN"/>
        </w:rPr>
        <w:t>105</w:t>
      </w:r>
      <w:r>
        <w:rPr>
          <w:rFonts w:hint="eastAsia"/>
          <w:color w:val="auto"/>
        </w:rPr>
        <w:t>℃</w:t>
      </w:r>
      <w:r>
        <w:rPr>
          <w:color w:val="auto"/>
        </w:rPr>
        <w:t>～</w:t>
      </w:r>
      <w:r>
        <w:rPr>
          <w:rFonts w:hint="eastAsia"/>
          <w:color w:val="auto"/>
          <w:lang w:val="en-US" w:eastAsia="zh-CN"/>
        </w:rPr>
        <w:t>170</w:t>
      </w:r>
      <w:r>
        <w:rPr>
          <w:rFonts w:hint="eastAsia"/>
          <w:color w:val="auto"/>
        </w:rPr>
        <w:t>℃</w:t>
      </w:r>
      <w:r>
        <w:rPr>
          <w:color w:val="auto"/>
        </w:rPr>
        <w:t>温度范围内的</w:t>
      </w:r>
      <w:r>
        <w:rPr>
          <w:rFonts w:hint="eastAsia"/>
          <w:color w:val="auto"/>
        </w:rPr>
        <w:t>分</w:t>
      </w:r>
      <w:r>
        <w:rPr>
          <w:color w:val="auto"/>
        </w:rPr>
        <w:t>馏产物二氯丙烷</w:t>
      </w:r>
      <w:r>
        <w:rPr>
          <w:rFonts w:hint="eastAsia"/>
          <w:color w:val="auto"/>
        </w:rPr>
        <w:t>；每一级精馏分经冷凝进入回流槽，回流槽的物料一部分回流，一部份经检验合格后产出符合标准产品。精馏过程采取连续精馏，精馏塔供热采用蒸汽提供。</w:t>
      </w:r>
      <w:r>
        <w:rPr>
          <w:color w:val="auto"/>
        </w:rPr>
        <w:t>具体工艺流程和产污节点见图</w:t>
      </w:r>
      <w:r>
        <w:rPr>
          <w:rFonts w:hint="eastAsia"/>
          <w:color w:val="auto"/>
        </w:rPr>
        <w:t>3.2</w:t>
      </w:r>
      <w:r>
        <w:rPr>
          <w:color w:val="auto"/>
        </w:rPr>
        <w:t>-</w:t>
      </w:r>
      <w:r>
        <w:rPr>
          <w:rFonts w:hint="eastAsia"/>
          <w:color w:val="auto"/>
        </w:rPr>
        <w:t>1</w:t>
      </w:r>
      <w:r>
        <w:rPr>
          <w:color w:val="auto"/>
          <w:lang w:val="de-DE"/>
        </w:rPr>
        <w:t>。</w:t>
      </w:r>
    </w:p>
    <w:p>
      <w:pPr>
        <w:spacing w:line="360" w:lineRule="auto"/>
        <w:ind w:firstLine="480"/>
        <w:jc w:val="center"/>
        <w:rPr>
          <w:rFonts w:ascii="Times New Roman" w:hAnsi="Times New Roman"/>
          <w:caps w:val="0"/>
          <w:smallCaps w:val="0"/>
          <w:color w:val="auto"/>
          <w:sz w:val="24"/>
          <w:szCs w:val="24"/>
        </w:rPr>
      </w:pPr>
      <w:r>
        <w:rPr>
          <w:rFonts w:ascii="Times New Roman" w:hAnsi="Times New Roman"/>
          <w:caps w:val="0"/>
          <w:smallCaps w:val="0"/>
          <w:color w:val="auto"/>
          <w:sz w:val="24"/>
          <w:szCs w:val="24"/>
        </w:rPr>
        <mc:AlternateContent>
          <mc:Choice Requires="wpc">
            <w:drawing>
              <wp:inline distT="0" distB="0" distL="0" distR="0">
                <wp:extent cx="5334000" cy="2769870"/>
                <wp:effectExtent l="0" t="0" r="0" b="0"/>
                <wp:docPr id="2" name="画布 6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 name="Rectangle 10050"/>
                        <wps:cNvSpPr>
                          <a:spLocks noChangeArrowheads="1"/>
                        </wps:cNvSpPr>
                        <wps:spPr bwMode="auto">
                          <a:xfrm>
                            <a:off x="1792815" y="36005"/>
                            <a:ext cx="988808" cy="218413"/>
                          </a:xfrm>
                          <a:prstGeom prst="rect">
                            <a:avLst/>
                          </a:prstGeom>
                          <a:noFill/>
                          <a:ln>
                            <a:noFill/>
                          </a:ln>
                          <a:effectLst/>
                        </wps:spPr>
                        <wps:txbx>
                          <w:txbxContent>
                            <w:p>
                              <w:pPr>
                                <w:rPr>
                                  <w:rFonts w:hint="eastAsia" w:eastAsia="宋体"/>
                                  <w:szCs w:val="21"/>
                                  <w:lang w:eastAsia="zh-CN"/>
                                </w:rPr>
                              </w:pPr>
                              <w:r>
                                <w:rPr>
                                  <w:rFonts w:hint="eastAsia"/>
                                  <w:szCs w:val="21"/>
                                  <w:lang w:eastAsia="zh-CN"/>
                                </w:rPr>
                                <w:t>工业用二氯丙烷</w:t>
                              </w:r>
                            </w:p>
                            <w:p>
                              <w:pPr>
                                <w:rPr>
                                  <w:szCs w:val="21"/>
                                </w:rPr>
                              </w:pPr>
                            </w:p>
                          </w:txbxContent>
                        </wps:txbx>
                        <wps:bodyPr rot="0" vert="horz" wrap="square" lIns="0" tIns="0" rIns="0" bIns="0" anchor="t" anchorCtr="0" upright="1">
                          <a:noAutofit/>
                        </wps:bodyPr>
                      </wps:wsp>
                      <wps:wsp>
                        <wps:cNvPr id="61" name="Line 10056"/>
                        <wps:cNvCnPr/>
                        <wps:spPr bwMode="auto">
                          <a:xfrm>
                            <a:off x="2231219" y="220015"/>
                            <a:ext cx="800" cy="324019"/>
                          </a:xfrm>
                          <a:prstGeom prst="line">
                            <a:avLst/>
                          </a:prstGeom>
                          <a:noFill/>
                          <a:ln w="9525">
                            <a:solidFill>
                              <a:srgbClr val="000000"/>
                            </a:solidFill>
                            <a:round/>
                            <a:tailEnd type="triangle" w="med" len="med"/>
                          </a:ln>
                          <a:effectLst/>
                        </wps:spPr>
                        <wps:bodyPr/>
                      </wps:wsp>
                      <wps:wsp>
                        <wps:cNvPr id="62" name="Rectangle 10057"/>
                        <wps:cNvSpPr>
                          <a:spLocks noChangeArrowheads="1"/>
                        </wps:cNvSpPr>
                        <wps:spPr bwMode="auto">
                          <a:xfrm>
                            <a:off x="1764815" y="574435"/>
                            <a:ext cx="900008" cy="198411"/>
                          </a:xfrm>
                          <a:prstGeom prst="rect">
                            <a:avLst/>
                          </a:prstGeom>
                          <a:solidFill>
                            <a:srgbClr val="FFFFFF"/>
                          </a:solidFill>
                          <a:ln w="9525">
                            <a:solidFill>
                              <a:srgbClr val="000000"/>
                            </a:solidFill>
                            <a:miter lim="800000"/>
                          </a:ln>
                          <a:effectLst/>
                        </wps:spPr>
                        <wps:txbx>
                          <w:txbxContent>
                            <w:p>
                              <w:pPr>
                                <w:jc w:val="center"/>
                                <w:rPr>
                                  <w:szCs w:val="21"/>
                                </w:rPr>
                              </w:pPr>
                              <w:r>
                                <w:rPr>
                                  <w:rFonts w:hint="eastAsia"/>
                                  <w:lang w:eastAsia="zh-CN"/>
                                </w:rPr>
                                <w:t>初</w:t>
                              </w:r>
                              <w:r>
                                <w:rPr>
                                  <w:rFonts w:hint="eastAsia"/>
                                </w:rPr>
                                <w:t>蒸馏</w:t>
                              </w:r>
                            </w:p>
                          </w:txbxContent>
                        </wps:txbx>
                        <wps:bodyPr rot="0" vert="horz" wrap="square" lIns="0" tIns="0" rIns="0" bIns="0" anchor="t" anchorCtr="0" upright="1">
                          <a:noAutofit/>
                        </wps:bodyPr>
                      </wps:wsp>
                      <wps:wsp>
                        <wps:cNvPr id="65" name="Line 10059"/>
                        <wps:cNvCnPr/>
                        <wps:spPr bwMode="auto">
                          <a:xfrm>
                            <a:off x="2232819" y="800848"/>
                            <a:ext cx="800" cy="324019"/>
                          </a:xfrm>
                          <a:prstGeom prst="line">
                            <a:avLst/>
                          </a:prstGeom>
                          <a:noFill/>
                          <a:ln w="9525">
                            <a:solidFill>
                              <a:srgbClr val="000000"/>
                            </a:solidFill>
                            <a:round/>
                            <a:tailEnd type="triangle" w="med" len="med"/>
                          </a:ln>
                          <a:effectLst/>
                        </wps:spPr>
                        <wps:bodyPr/>
                      </wps:wsp>
                      <wps:wsp>
                        <wps:cNvPr id="66" name="Line 10061"/>
                        <wps:cNvCnPr/>
                        <wps:spPr bwMode="auto">
                          <a:xfrm>
                            <a:off x="2232819" y="1348080"/>
                            <a:ext cx="0" cy="326419"/>
                          </a:xfrm>
                          <a:prstGeom prst="line">
                            <a:avLst/>
                          </a:prstGeom>
                          <a:noFill/>
                          <a:ln w="9525">
                            <a:solidFill>
                              <a:srgbClr val="000000"/>
                            </a:solidFill>
                            <a:round/>
                            <a:tailEnd type="triangle" w="med" len="med"/>
                          </a:ln>
                          <a:effectLst/>
                        </wps:spPr>
                        <wps:bodyPr/>
                      </wps:wsp>
                      <wps:wsp>
                        <wps:cNvPr id="67" name="Rectangle 10064"/>
                        <wps:cNvSpPr>
                          <a:spLocks noChangeArrowheads="1"/>
                        </wps:cNvSpPr>
                        <wps:spPr bwMode="auto">
                          <a:xfrm>
                            <a:off x="1767215" y="1124918"/>
                            <a:ext cx="914408" cy="198411"/>
                          </a:xfrm>
                          <a:prstGeom prst="rect">
                            <a:avLst/>
                          </a:prstGeom>
                          <a:solidFill>
                            <a:srgbClr val="FFFFFF"/>
                          </a:solidFill>
                          <a:ln w="9525" algn="ctr">
                            <a:solidFill>
                              <a:srgbClr val="000000"/>
                            </a:solidFill>
                            <a:miter lim="800000"/>
                          </a:ln>
                          <a:effectLst/>
                        </wps:spPr>
                        <wps:txbx>
                          <w:txbxContent>
                            <w:p>
                              <w:pPr>
                                <w:jc w:val="center"/>
                                <w:rPr>
                                  <w:rFonts w:hint="eastAsia" w:eastAsia="宋体"/>
                                  <w:szCs w:val="21"/>
                                  <w:lang w:eastAsia="zh-CN"/>
                                </w:rPr>
                              </w:pPr>
                              <w:r>
                                <w:rPr>
                                  <w:rFonts w:hint="eastAsia"/>
                                  <w:szCs w:val="21"/>
                                  <w:lang w:eastAsia="zh-CN"/>
                                </w:rPr>
                                <w:t>油水分层</w:t>
                              </w:r>
                            </w:p>
                          </w:txbxContent>
                        </wps:txbx>
                        <wps:bodyPr rot="0" vert="horz" wrap="square" lIns="0" tIns="0" rIns="0" bIns="0" anchor="t" anchorCtr="0" upright="1">
                          <a:noAutofit/>
                        </wps:bodyPr>
                      </wps:wsp>
                      <wps:wsp>
                        <wps:cNvPr id="69" name="Rectangle 10119"/>
                        <wps:cNvSpPr>
                          <a:spLocks noChangeArrowheads="1"/>
                        </wps:cNvSpPr>
                        <wps:spPr bwMode="auto">
                          <a:xfrm>
                            <a:off x="3021625" y="1092656"/>
                            <a:ext cx="511204" cy="197611"/>
                          </a:xfrm>
                          <a:prstGeom prst="rect">
                            <a:avLst/>
                          </a:prstGeom>
                          <a:noFill/>
                          <a:ln>
                            <a:noFill/>
                          </a:ln>
                          <a:effectLst/>
                        </wps:spPr>
                        <wps:txbx>
                          <w:txbxContent>
                            <w:p>
                              <w:pPr>
                                <w:rPr>
                                  <w:szCs w:val="21"/>
                                </w:rPr>
                              </w:pPr>
                              <w:r>
                                <w:rPr>
                                  <w:rFonts w:hint="eastAsia"/>
                                  <w:szCs w:val="21"/>
                                </w:rPr>
                                <w:t>W</w:t>
                              </w:r>
                              <w:r>
                                <w:rPr>
                                  <w:rFonts w:hint="eastAsia"/>
                                  <w:szCs w:val="21"/>
                                  <w:vertAlign w:val="subscript"/>
                                </w:rPr>
                                <w:t xml:space="preserve">1-1 </w:t>
                              </w:r>
                            </w:p>
                            <w:p>
                              <w:pPr>
                                <w:ind w:firstLine="105" w:firstLineChars="50"/>
                                <w:rPr>
                                  <w:szCs w:val="21"/>
                                </w:rPr>
                              </w:pPr>
                            </w:p>
                          </w:txbxContent>
                        </wps:txbx>
                        <wps:bodyPr rot="0" vert="horz" wrap="square" lIns="91440" tIns="0" rIns="91440" bIns="0" anchor="t" anchorCtr="0" upright="1">
                          <a:noAutofit/>
                        </wps:bodyPr>
                      </wps:wsp>
                      <wps:wsp>
                        <wps:cNvPr id="70" name="Rectangle 10129"/>
                        <wps:cNvSpPr>
                          <a:spLocks noChangeArrowheads="1"/>
                        </wps:cNvSpPr>
                        <wps:spPr bwMode="auto">
                          <a:xfrm>
                            <a:off x="1257935" y="1951355"/>
                            <a:ext cx="942340" cy="199390"/>
                          </a:xfrm>
                          <a:prstGeom prst="rect">
                            <a:avLst/>
                          </a:prstGeom>
                          <a:noFill/>
                          <a:ln>
                            <a:noFill/>
                          </a:ln>
                          <a:effectLst/>
                        </wps:spPr>
                        <wps:txbx>
                          <w:txbxContent>
                            <w:p>
                              <w:pPr>
                                <w:rPr>
                                  <w:szCs w:val="21"/>
                                </w:rPr>
                              </w:pPr>
                              <w:r>
                                <w:rPr>
                                  <w:rFonts w:hint="eastAsia"/>
                                  <w:szCs w:val="21"/>
                                </w:rPr>
                                <w:t>精馏釜残S</w:t>
                              </w:r>
                              <w:r>
                                <w:rPr>
                                  <w:rFonts w:hint="eastAsia"/>
                                  <w:szCs w:val="21"/>
                                  <w:vertAlign w:val="subscript"/>
                                </w:rPr>
                                <w:t>1-1</w:t>
                              </w:r>
                            </w:p>
                            <w:p>
                              <w:pPr>
                                <w:ind w:firstLine="105" w:firstLineChars="50"/>
                                <w:rPr>
                                  <w:szCs w:val="21"/>
                                </w:rPr>
                              </w:pPr>
                            </w:p>
                          </w:txbxContent>
                        </wps:txbx>
                        <wps:bodyPr rot="0" vert="horz" wrap="square" lIns="91440" tIns="0" rIns="91440" bIns="0" anchor="t" anchorCtr="0" upright="1">
                          <a:noAutofit/>
                        </wps:bodyPr>
                      </wps:wsp>
                      <wps:wsp>
                        <wps:cNvPr id="133" name="Rectangle 10140"/>
                        <wps:cNvSpPr>
                          <a:spLocks noChangeArrowheads="1"/>
                        </wps:cNvSpPr>
                        <wps:spPr bwMode="auto">
                          <a:xfrm>
                            <a:off x="3047365" y="595630"/>
                            <a:ext cx="438150" cy="196850"/>
                          </a:xfrm>
                          <a:prstGeom prst="rect">
                            <a:avLst/>
                          </a:prstGeom>
                          <a:noFill/>
                          <a:ln>
                            <a:noFill/>
                          </a:ln>
                          <a:effectLst/>
                        </wps:spPr>
                        <wps:txbx>
                          <w:txbxContent>
                            <w:p>
                              <w:pPr>
                                <w:rPr>
                                  <w:szCs w:val="21"/>
                                </w:rPr>
                              </w:pPr>
                              <w:r>
                                <w:rPr>
                                  <w:rFonts w:hint="eastAsia"/>
                                  <w:szCs w:val="21"/>
                                </w:rPr>
                                <w:t>G</w:t>
                              </w:r>
                              <w:r>
                                <w:rPr>
                                  <w:rFonts w:hint="eastAsia"/>
                                  <w:szCs w:val="21"/>
                                  <w:vertAlign w:val="subscript"/>
                                </w:rPr>
                                <w:t>1-1</w:t>
                              </w:r>
                            </w:p>
                            <w:p>
                              <w:pPr>
                                <w:ind w:firstLine="105" w:firstLineChars="50"/>
                                <w:rPr>
                                  <w:szCs w:val="21"/>
                                </w:rPr>
                              </w:pPr>
                            </w:p>
                          </w:txbxContent>
                        </wps:txbx>
                        <wps:bodyPr rot="0" vert="horz" wrap="square" lIns="91440" tIns="0" rIns="91440" bIns="0" anchor="t" anchorCtr="0" upright="1">
                          <a:noAutofit/>
                        </wps:bodyPr>
                      </wps:wsp>
                      <wps:wsp>
                        <wps:cNvPr id="134" name="Rectangle 10123"/>
                        <wps:cNvSpPr>
                          <a:spLocks noChangeArrowheads="1"/>
                        </wps:cNvSpPr>
                        <wps:spPr bwMode="auto">
                          <a:xfrm>
                            <a:off x="1610360" y="2388870"/>
                            <a:ext cx="1415415" cy="179070"/>
                          </a:xfrm>
                          <a:prstGeom prst="rect">
                            <a:avLst/>
                          </a:prstGeom>
                          <a:noFill/>
                          <a:ln>
                            <a:noFill/>
                          </a:ln>
                          <a:effectLst/>
                        </wps:spPr>
                        <wps:txbx>
                          <w:txbxContent>
                            <w:p>
                              <w:pPr>
                                <w:jc w:val="center"/>
                                <w:rPr>
                                  <w:szCs w:val="21"/>
                                </w:rPr>
                              </w:pPr>
                              <w:r>
                                <w:rPr>
                                  <w:rFonts w:hint="eastAsia"/>
                                  <w:szCs w:val="21"/>
                                </w:rPr>
                                <w:t>二氯丙烷（产品）</w:t>
                              </w:r>
                            </w:p>
                            <w:p>
                              <w:pPr>
                                <w:rPr>
                                  <w:szCs w:val="21"/>
                                </w:rPr>
                              </w:pPr>
                            </w:p>
                          </w:txbxContent>
                        </wps:txbx>
                        <wps:bodyPr rot="0" vert="horz" wrap="square" lIns="0" tIns="0" rIns="0" bIns="0" anchor="t" anchorCtr="0" upright="1">
                          <a:noAutofit/>
                        </wps:bodyPr>
                      </wps:wsp>
                      <wps:wsp>
                        <wps:cNvPr id="136" name="Line 10059"/>
                        <wps:cNvCnPr/>
                        <wps:spPr bwMode="auto">
                          <a:xfrm>
                            <a:off x="1951355" y="1845945"/>
                            <a:ext cx="635" cy="135255"/>
                          </a:xfrm>
                          <a:prstGeom prst="line">
                            <a:avLst/>
                          </a:prstGeom>
                          <a:noFill/>
                          <a:ln w="9525">
                            <a:solidFill>
                              <a:srgbClr val="000000"/>
                            </a:solidFill>
                            <a:round/>
                            <a:tailEnd type="triangle" w="med" len="med"/>
                          </a:ln>
                          <a:effectLst/>
                        </wps:spPr>
                        <wps:bodyPr/>
                      </wps:wsp>
                      <wps:wsp>
                        <wps:cNvPr id="137" name="Line 10136"/>
                        <wps:cNvCnPr/>
                        <wps:spPr bwMode="auto">
                          <a:xfrm>
                            <a:off x="2681623" y="1207272"/>
                            <a:ext cx="340003" cy="1600"/>
                          </a:xfrm>
                          <a:prstGeom prst="line">
                            <a:avLst/>
                          </a:prstGeom>
                          <a:noFill/>
                          <a:ln w="9525">
                            <a:solidFill>
                              <a:srgbClr val="000000"/>
                            </a:solidFill>
                            <a:round/>
                            <a:tailEnd type="triangle" w="med" len="med"/>
                          </a:ln>
                          <a:effectLst/>
                        </wps:spPr>
                        <wps:bodyPr/>
                      </wps:wsp>
                      <wps:wsp>
                        <wps:cNvPr id="139" name="Line 10136"/>
                        <wps:cNvCnPr/>
                        <wps:spPr bwMode="auto">
                          <a:xfrm>
                            <a:off x="2664823" y="687851"/>
                            <a:ext cx="340003" cy="800"/>
                          </a:xfrm>
                          <a:prstGeom prst="line">
                            <a:avLst/>
                          </a:prstGeom>
                          <a:noFill/>
                          <a:ln w="9525">
                            <a:solidFill>
                              <a:srgbClr val="000000"/>
                            </a:solidFill>
                            <a:round/>
                            <a:tailEnd type="triangle" w="med" len="med"/>
                          </a:ln>
                          <a:effectLst/>
                        </wps:spPr>
                        <wps:bodyPr/>
                      </wps:wsp>
                      <wps:wsp>
                        <wps:cNvPr id="140" name="Rectangle 10119"/>
                        <wps:cNvSpPr>
                          <a:spLocks noChangeArrowheads="1"/>
                        </wps:cNvSpPr>
                        <wps:spPr bwMode="auto">
                          <a:xfrm>
                            <a:off x="2680970" y="975995"/>
                            <a:ext cx="511175" cy="197485"/>
                          </a:xfrm>
                          <a:prstGeom prst="rect">
                            <a:avLst/>
                          </a:prstGeom>
                          <a:noFill/>
                          <a:ln>
                            <a:noFill/>
                          </a:ln>
                          <a:effectLst/>
                        </wps:spPr>
                        <wps:txbx>
                          <w:txbxContent>
                            <w:p>
                              <w:pPr>
                                <w:rPr>
                                  <w:rFonts w:hint="eastAsia" w:eastAsia="宋体"/>
                                  <w:szCs w:val="21"/>
                                  <w:lang w:eastAsia="zh-CN"/>
                                </w:rPr>
                              </w:pPr>
                              <w:r>
                                <w:rPr>
                                  <w:rFonts w:hint="eastAsia"/>
                                  <w:szCs w:val="21"/>
                                  <w:lang w:eastAsia="zh-CN"/>
                                </w:rPr>
                                <w:t>水相</w:t>
                              </w:r>
                            </w:p>
                          </w:txbxContent>
                        </wps:txbx>
                        <wps:bodyPr rot="0" vert="horz" wrap="square" lIns="91440" tIns="0" rIns="91440" bIns="0" anchor="t" anchorCtr="0" upright="1">
                          <a:noAutofit/>
                        </wps:bodyPr>
                      </wps:wsp>
                      <wps:wsp>
                        <wps:cNvPr id="141" name="Rectangle 10119"/>
                        <wps:cNvSpPr>
                          <a:spLocks noChangeArrowheads="1"/>
                        </wps:cNvSpPr>
                        <wps:spPr bwMode="auto">
                          <a:xfrm>
                            <a:off x="2204720" y="1407160"/>
                            <a:ext cx="511175" cy="197485"/>
                          </a:xfrm>
                          <a:prstGeom prst="rect">
                            <a:avLst/>
                          </a:prstGeom>
                          <a:noFill/>
                          <a:ln>
                            <a:noFill/>
                          </a:ln>
                          <a:effectLst/>
                        </wps:spPr>
                        <wps:txbx>
                          <w:txbxContent>
                            <w:p>
                              <w:pPr>
                                <w:rPr>
                                  <w:rFonts w:hint="eastAsia" w:eastAsia="宋体"/>
                                  <w:szCs w:val="21"/>
                                  <w:lang w:eastAsia="zh-CN"/>
                                </w:rPr>
                              </w:pPr>
                              <w:r>
                                <w:rPr>
                                  <w:rFonts w:hint="eastAsia"/>
                                  <w:szCs w:val="21"/>
                                  <w:lang w:eastAsia="zh-CN"/>
                                </w:rPr>
                                <w:t>油相</w:t>
                              </w:r>
                            </w:p>
                          </w:txbxContent>
                        </wps:txbx>
                        <wps:bodyPr rot="0" vert="horz" wrap="square" lIns="91440" tIns="0" rIns="91440" bIns="0" anchor="t" anchorCtr="0" upright="1">
                          <a:noAutofit/>
                        </wps:bodyPr>
                      </wps:wsp>
                      <wps:wsp>
                        <wps:cNvPr id="16" name="Line 10056"/>
                        <wps:cNvCnPr/>
                        <wps:spPr bwMode="auto">
                          <a:xfrm>
                            <a:off x="2252980" y="1892935"/>
                            <a:ext cx="635" cy="323850"/>
                          </a:xfrm>
                          <a:prstGeom prst="line">
                            <a:avLst/>
                          </a:prstGeom>
                          <a:noFill/>
                          <a:ln w="9525">
                            <a:solidFill>
                              <a:srgbClr val="000000"/>
                            </a:solidFill>
                            <a:round/>
                            <a:tailEnd type="triangle" w="med" len="med"/>
                          </a:ln>
                          <a:effectLst/>
                        </wps:spPr>
                        <wps:bodyPr/>
                      </wps:wsp>
                      <wps:wsp>
                        <wps:cNvPr id="150" name="Rectangle 10064"/>
                        <wps:cNvSpPr>
                          <a:spLocks noChangeArrowheads="1"/>
                        </wps:cNvSpPr>
                        <wps:spPr bwMode="auto">
                          <a:xfrm>
                            <a:off x="1823085" y="1656715"/>
                            <a:ext cx="914400" cy="198120"/>
                          </a:xfrm>
                          <a:prstGeom prst="rect">
                            <a:avLst/>
                          </a:prstGeom>
                          <a:solidFill>
                            <a:srgbClr val="FFFFFF"/>
                          </a:solidFill>
                          <a:ln w="9525" algn="ctr">
                            <a:solidFill>
                              <a:srgbClr val="000000"/>
                            </a:solidFill>
                            <a:miter lim="800000"/>
                          </a:ln>
                          <a:effectLst/>
                        </wps:spPr>
                        <wps:txbx>
                          <w:txbxContent>
                            <w:p>
                              <w:pPr>
                                <w:jc w:val="center"/>
                                <w:rPr>
                                  <w:rFonts w:hint="eastAsia" w:eastAsia="宋体"/>
                                  <w:szCs w:val="21"/>
                                  <w:lang w:eastAsia="zh-CN"/>
                                </w:rPr>
                              </w:pPr>
                              <w:r>
                                <w:rPr>
                                  <w:rFonts w:hint="eastAsia"/>
                                  <w:szCs w:val="21"/>
                                  <w:lang w:eastAsia="zh-CN"/>
                                </w:rPr>
                                <w:t>精馏</w:t>
                              </w:r>
                            </w:p>
                          </w:txbxContent>
                        </wps:txbx>
                        <wps:bodyPr rot="0" vert="horz" wrap="square" lIns="0" tIns="0" rIns="0" bIns="0" anchor="t" anchorCtr="0" upright="1">
                          <a:noAutofit/>
                        </wps:bodyPr>
                      </wps:wsp>
                      <wps:wsp>
                        <wps:cNvPr id="151" name="Line 10059"/>
                        <wps:cNvCnPr/>
                        <wps:spPr bwMode="auto">
                          <a:xfrm flipH="1" flipV="1">
                            <a:off x="1403985" y="1751965"/>
                            <a:ext cx="419100" cy="3810"/>
                          </a:xfrm>
                          <a:prstGeom prst="line">
                            <a:avLst/>
                          </a:prstGeom>
                          <a:noFill/>
                          <a:ln w="9525">
                            <a:solidFill>
                              <a:srgbClr val="000000"/>
                            </a:solidFill>
                            <a:round/>
                            <a:tailEnd type="triangle" w="med" len="med"/>
                          </a:ln>
                          <a:effectLst/>
                        </wps:spPr>
                        <wps:bodyPr/>
                      </wps:wsp>
                      <wps:wsp>
                        <wps:cNvPr id="152" name="直接连接符 152"/>
                        <wps:cNvCnPr/>
                        <wps:spPr bwMode="auto">
                          <a:xfrm flipV="1">
                            <a:off x="1393190" y="500380"/>
                            <a:ext cx="0" cy="1207770"/>
                          </a:xfrm>
                          <a:prstGeom prst="line">
                            <a:avLst/>
                          </a:prstGeom>
                          <a:noFill/>
                          <a:ln w="9525">
                            <a:solidFill>
                              <a:srgbClr val="000000"/>
                            </a:solidFill>
                            <a:round/>
                            <a:tailEnd type="triangle" w="med" len="med"/>
                          </a:ln>
                          <a:effectLst/>
                        </wps:spPr>
                        <wps:bodyPr/>
                      </wps:wsp>
                      <wps:wsp>
                        <wps:cNvPr id="153" name="Line 10059"/>
                        <wps:cNvCnPr/>
                        <wps:spPr bwMode="auto">
                          <a:xfrm flipV="1">
                            <a:off x="1381760" y="478790"/>
                            <a:ext cx="864235" cy="10795"/>
                          </a:xfrm>
                          <a:prstGeom prst="line">
                            <a:avLst/>
                          </a:prstGeom>
                          <a:noFill/>
                          <a:ln w="9525">
                            <a:solidFill>
                              <a:srgbClr val="000000"/>
                            </a:solidFill>
                            <a:round/>
                            <a:tailEnd type="triangle" w="med" len="med"/>
                          </a:ln>
                          <a:effectLst/>
                        </wps:spPr>
                        <wps:bodyPr/>
                      </wps:wsp>
                      <wps:wsp>
                        <wps:cNvPr id="154" name="Line 10136"/>
                        <wps:cNvCnPr/>
                        <wps:spPr bwMode="auto">
                          <a:xfrm>
                            <a:off x="2731770" y="1750695"/>
                            <a:ext cx="339725" cy="635"/>
                          </a:xfrm>
                          <a:prstGeom prst="line">
                            <a:avLst/>
                          </a:prstGeom>
                          <a:noFill/>
                          <a:ln w="9525">
                            <a:solidFill>
                              <a:srgbClr val="000000"/>
                            </a:solidFill>
                            <a:round/>
                            <a:tailEnd type="triangle" w="med" len="med"/>
                          </a:ln>
                          <a:effectLst/>
                        </wps:spPr>
                        <wps:bodyPr/>
                      </wps:wsp>
                      <wps:wsp>
                        <wps:cNvPr id="155" name="Rectangle 10140"/>
                        <wps:cNvSpPr>
                          <a:spLocks noChangeArrowheads="1"/>
                        </wps:cNvSpPr>
                        <wps:spPr bwMode="auto">
                          <a:xfrm>
                            <a:off x="3058795" y="1670050"/>
                            <a:ext cx="438150" cy="196850"/>
                          </a:xfrm>
                          <a:prstGeom prst="rect">
                            <a:avLst/>
                          </a:prstGeom>
                          <a:noFill/>
                          <a:ln>
                            <a:noFill/>
                          </a:ln>
                          <a:effectLst/>
                        </wps:spPr>
                        <wps:txbx>
                          <w:txbxContent>
                            <w:p>
                              <w:pPr>
                                <w:rPr>
                                  <w:szCs w:val="21"/>
                                </w:rPr>
                              </w:pPr>
                              <w:r>
                                <w:rPr>
                                  <w:rFonts w:hint="eastAsia"/>
                                  <w:szCs w:val="21"/>
                                </w:rPr>
                                <w:t>G</w:t>
                              </w:r>
                              <w:r>
                                <w:rPr>
                                  <w:rFonts w:hint="eastAsia"/>
                                  <w:szCs w:val="21"/>
                                  <w:vertAlign w:val="subscript"/>
                                </w:rPr>
                                <w:t>1-</w:t>
                              </w:r>
                              <w:r>
                                <w:rPr>
                                  <w:rFonts w:hint="eastAsia"/>
                                  <w:szCs w:val="21"/>
                                  <w:vertAlign w:val="subscript"/>
                                  <w:lang w:val="en-US" w:eastAsia="zh-CN"/>
                                </w:rPr>
                                <w:t>2</w:t>
                              </w:r>
                            </w:p>
                            <w:p>
                              <w:pPr>
                                <w:ind w:firstLine="105" w:firstLineChars="50"/>
                                <w:rPr>
                                  <w:szCs w:val="21"/>
                                </w:rPr>
                              </w:pPr>
                            </w:p>
                          </w:txbxContent>
                        </wps:txbx>
                        <wps:bodyPr rot="0" vert="horz" wrap="square" lIns="91440" tIns="0" rIns="91440" bIns="0" anchor="t" anchorCtr="0" upright="1">
                          <a:noAutofit/>
                        </wps:bodyPr>
                      </wps:wsp>
                    </wpc:wpc>
                  </a:graphicData>
                </a:graphic>
              </wp:inline>
            </w:drawing>
          </mc:Choice>
          <mc:Fallback>
            <w:pict>
              <v:group id="画布 646" o:spid="_x0000_s1026" o:spt="203" style="height:218.1pt;width:420pt;" coordsize="5334000,2769870" editas="canvas" o:gfxdata="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FgAAAGRycy9QSwECFAAUAAAACACHTuJA8ppHSNcA&#10;AAAFAQAADwAAAAAAAAABACAAAAA4AAAAZHJzL2Rvd25yZXYueG1sUEsBAhQAFAAAAAgAh07iQEYX&#10;lcd+BgAAnTEAAA4AAAAAAAAAAQAgAAAAPAEAAGRycy9lMm9Eb2MueG1sUEsFBgAAAAAGAAYAWQEA&#10;ACwKAAAAAA==&#10;">
                <o:lock v:ext="edit" aspectratio="f"/>
                <v:shape id="画布 646" o:spid="_x0000_s1026" style="position:absolute;left:0;top:0;height:2769870;width:5334000;" filled="f" stroked="f" coordsize="21600,21600" o:gfxdata="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">
                  <v:fill on="f" focussize="0,0"/>
                  <v:stroke on="f"/>
                  <v:imagedata o:title=""/>
                  <o:lock v:ext="edit" aspectratio="t"/>
                </v:shape>
                <v:rect id="Rectangle 10050" o:spid="_x0000_s1026" o:spt="1" style="position:absolute;left:1792815;top:36005;height:218413;width:988808;" filled="f" stroked="f" coordsize="21600,21600" o:gfxdata="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c/EQvtcAAAAFAQAADwAAAAAAAAABACAAAAA4AAAAZHJz&#10;L2Rvd25yZXYueG1sUEsBAhQAFAAAAAgAh07iQOqb25PvAQAAyQMAAA4AAAAAAAAAAQAgAAAAPAEA&#10;AGRycy9lMm9Eb2MueG1sUEsFBgAAAAAGAAYAWQEAAJ0FAAAAAA==&#10;">
                  <v:fill on="f" focussize="0,0"/>
                  <v:stroke on="f"/>
                  <v:imagedata o:title=""/>
                  <o:lock v:ext="edit" aspectratio="f"/>
                  <v:textbox inset="0mm,0mm,0mm,0mm">
                    <w:txbxContent>
                      <w:p>
                        <w:pPr>
                          <w:rPr>
                            <w:rFonts w:hint="eastAsia" w:eastAsia="宋体"/>
                            <w:szCs w:val="21"/>
                            <w:lang w:eastAsia="zh-CN"/>
                          </w:rPr>
                        </w:pPr>
                        <w:r>
                          <w:rPr>
                            <w:rFonts w:hint="eastAsia"/>
                            <w:szCs w:val="21"/>
                            <w:lang w:eastAsia="zh-CN"/>
                          </w:rPr>
                          <w:t>工业用二氯丙烷</w:t>
                        </w:r>
                      </w:p>
                      <w:p>
                        <w:pPr>
                          <w:rPr>
                            <w:szCs w:val="21"/>
                          </w:rPr>
                        </w:pPr>
                      </w:p>
                    </w:txbxContent>
                  </v:textbox>
                </v:rect>
                <v:line id="Line 10056" o:spid="_x0000_s1026" o:spt="20" style="position:absolute;left:2231219;top:220015;height:324019;width:800;" filled="f" stroked="t" coordsize="21600,21600" o:gfxdata="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B/6tpX1gAAAAUBAAAPAAAAAAAA&#10;AAEAIAAAADgAAABkcnMvZG93bnJldi54bWxQSwECFAAUAAAACACHTuJAVq69mcUBAABsAwAADgAA&#10;AAAAAAABACAAAAA7AQAAZHJzL2Uyb0RvYy54bWxQSwUGAAAAAAYABgBZAQAAcgUAAAAA&#10;">
                  <v:fill on="f" focussize="0,0"/>
                  <v:stroke color="#000000" joinstyle="round" endarrow="block"/>
                  <v:imagedata o:title=""/>
                  <o:lock v:ext="edit" aspectratio="f"/>
                </v:line>
                <v:rect id="Rectangle 10057" o:spid="_x0000_s1026" o:spt="1" style="position:absolute;left:1764815;top:574435;height:198411;width:900008;" fillcolor="#FFFFFF" filled="t" stroked="t" coordsize="21600,21600" o:gfxdata="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JjckVvWAAAABQEAAA8AAAAAAAAAAQAgAAAAOAAAAGRycy9kb3ducmV2&#10;LnhtbFBLAQIUABQAAAAIAIdO4kDHbjkxIQIAADwEAAAOAAAAAAAAAAEAIAAAADsBAABkcnMvZTJv&#10;RG9jLnhtbFBLBQYAAAAABgAGAFkBAADOBQAAAAA=&#10;">
                  <v:fill on="t" focussize="0,0"/>
                  <v:stroke color="#000000" miterlimit="8" joinstyle="miter"/>
                  <v:imagedata o:title=""/>
                  <o:lock v:ext="edit" aspectratio="f"/>
                  <v:textbox inset="0mm,0mm,0mm,0mm">
                    <w:txbxContent>
                      <w:p>
                        <w:pPr>
                          <w:jc w:val="center"/>
                          <w:rPr>
                            <w:szCs w:val="21"/>
                          </w:rPr>
                        </w:pPr>
                        <w:r>
                          <w:rPr>
                            <w:rFonts w:hint="eastAsia"/>
                            <w:lang w:eastAsia="zh-CN"/>
                          </w:rPr>
                          <w:t>初</w:t>
                        </w:r>
                        <w:r>
                          <w:rPr>
                            <w:rFonts w:hint="eastAsia"/>
                          </w:rPr>
                          <w:t>蒸馏</w:t>
                        </w:r>
                      </w:p>
                    </w:txbxContent>
                  </v:textbox>
                </v:rect>
                <v:line id="Line 10059" o:spid="_x0000_s1026" o:spt="20" style="position:absolute;left:2232819;top:800848;height:324019;width:800;" filled="f" stroked="t" coordsize="21600,21600" o:gfxdata="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f+raV9YAAAAFAQAADwAAAAAA&#10;AAABACAAAAA4AAAAZHJzL2Rvd25yZXYueG1sUEsBAhQAFAAAAAgAh07iQHUDeaTGAQAAbAMAAA4A&#10;AAAAAAAAAQAgAAAAOwEAAGRycy9lMm9Eb2MueG1sUEsFBgAAAAAGAAYAWQEAAHMFAAAAAA==&#10;">
                  <v:fill on="f" focussize="0,0"/>
                  <v:stroke color="#000000" joinstyle="round" endarrow="block"/>
                  <v:imagedata o:title=""/>
                  <o:lock v:ext="edit" aspectratio="f"/>
                </v:line>
                <v:line id="Line 10061" o:spid="_x0000_s1026" o:spt="20" style="position:absolute;left:2232819;top:1348080;height:326419;width:0;" filled="f" stroked="t" coordsize="21600,21600" o:gfxdata="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B/6tpX1gAAAAUBAAAPAAAAAAAA&#10;AAEAIAAAADgAAABkcnMvZG93bnJldi54bWxQSwECFAAUAAAACACHTuJAfQwIqsUBAABrAwAADgAA&#10;AAAAAAABACAAAAA7AQAAZHJzL2Uyb0RvYy54bWxQSwUGAAAAAAYABgBZAQAAcgUAAAAA&#10;">
                  <v:fill on="f" focussize="0,0"/>
                  <v:stroke color="#000000" joinstyle="round" endarrow="block"/>
                  <v:imagedata o:title=""/>
                  <o:lock v:ext="edit" aspectratio="f"/>
                </v:line>
                <v:rect id="Rectangle 10064" o:spid="_x0000_s1026" o:spt="1" style="position:absolute;left:1767215;top:1124918;height:198411;width:914408;" fillcolor="#FFFFFF" filled="t" stroked="t" coordsize="21600,21600" o:gfxdata="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JjckVvWAAAABQEAAA8AAAAAAAAAAQAgAAAAOAAAAGRycy9kb3du&#10;cmV2LnhtbFBLAQIUABQAAAAIAIdO4kBD9DJdJAIAAEgEAAAOAAAAAAAAAAEAIAAAADsBAABkcnMv&#10;ZTJvRG9jLnhtbFBLBQYAAAAABgAGAFkBAADRBQAAAAA=&#10;">
                  <v:fill on="t" focussize="0,0"/>
                  <v:stroke color="#000000" miterlimit="8" joinstyle="miter"/>
                  <v:imagedata o:title=""/>
                  <o:lock v:ext="edit" aspectratio="f"/>
                  <v:textbox inset="0mm,0mm,0mm,0mm">
                    <w:txbxContent>
                      <w:p>
                        <w:pPr>
                          <w:jc w:val="center"/>
                          <w:rPr>
                            <w:rFonts w:hint="eastAsia" w:eastAsia="宋体"/>
                            <w:szCs w:val="21"/>
                            <w:lang w:eastAsia="zh-CN"/>
                          </w:rPr>
                        </w:pPr>
                        <w:r>
                          <w:rPr>
                            <w:rFonts w:hint="eastAsia"/>
                            <w:szCs w:val="21"/>
                            <w:lang w:eastAsia="zh-CN"/>
                          </w:rPr>
                          <w:t>油水分层</w:t>
                        </w:r>
                      </w:p>
                    </w:txbxContent>
                  </v:textbox>
                </v:rect>
                <v:rect id="Rectangle 10119" o:spid="_x0000_s1026" o:spt="1" style="position:absolute;left:3021625;top:1092656;height:197611;width:511204;" filled="f" stroked="f" coordsize="21600,21600" o:gfxdata="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NUFUcvUAAAABQEAAA8AAAAAAAAAAQAgAAAAOAAA&#10;AGRycy9kb3ducmV2LnhtbFBLAQIUABQAAAAIAIdO4kA/fFDD9gEAANMDAAAOAAAAAAAAAAEAIAAA&#10;ADkBAABkcnMvZTJvRG9jLnhtbFBLBQYAAAAABgAGAFkBAAChBQAAAAA=&#10;">
                  <v:fill on="f" focussize="0,0"/>
                  <v:stroke on="f"/>
                  <v:imagedata o:title=""/>
                  <o:lock v:ext="edit" aspectratio="f"/>
                  <v:textbox inset="2.54mm,0mm,2.54mm,0mm">
                    <w:txbxContent>
                      <w:p>
                        <w:pPr>
                          <w:rPr>
                            <w:szCs w:val="21"/>
                          </w:rPr>
                        </w:pPr>
                        <w:r>
                          <w:rPr>
                            <w:rFonts w:hint="eastAsia"/>
                            <w:szCs w:val="21"/>
                          </w:rPr>
                          <w:t>W</w:t>
                        </w:r>
                        <w:r>
                          <w:rPr>
                            <w:rFonts w:hint="eastAsia"/>
                            <w:szCs w:val="21"/>
                            <w:vertAlign w:val="subscript"/>
                          </w:rPr>
                          <w:t xml:space="preserve">1-1 </w:t>
                        </w:r>
                      </w:p>
                      <w:p>
                        <w:pPr>
                          <w:ind w:firstLine="105" w:firstLineChars="50"/>
                          <w:rPr>
                            <w:szCs w:val="21"/>
                          </w:rPr>
                        </w:pPr>
                      </w:p>
                    </w:txbxContent>
                  </v:textbox>
                </v:rect>
                <v:rect id="Rectangle 10129" o:spid="_x0000_s1026" o:spt="1" style="position:absolute;left:1257935;top:1951355;height:199390;width:942340;" filled="f" stroked="f" coordsize="21600,21600" o:gfxdata="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NUFUcvUAAAABQEAAA8AAAAAAAAAAQAgAAAAOAAA&#10;AGRycy9kb3ducmV2LnhtbFBLAQIUABQAAAAIAIdO4kAvtKq/9gEAANMDAAAOAAAAAAAAAAEAIAAA&#10;ADkBAABkcnMvZTJvRG9jLnhtbFBLBQYAAAAABgAGAFkBAAChBQAAAAA=&#10;">
                  <v:fill on="f" focussize="0,0"/>
                  <v:stroke on="f"/>
                  <v:imagedata o:title=""/>
                  <o:lock v:ext="edit" aspectratio="f"/>
                  <v:textbox inset="2.54mm,0mm,2.54mm,0mm">
                    <w:txbxContent>
                      <w:p>
                        <w:pPr>
                          <w:rPr>
                            <w:szCs w:val="21"/>
                          </w:rPr>
                        </w:pPr>
                        <w:r>
                          <w:rPr>
                            <w:rFonts w:hint="eastAsia"/>
                            <w:szCs w:val="21"/>
                          </w:rPr>
                          <w:t>精馏釜残S</w:t>
                        </w:r>
                        <w:r>
                          <w:rPr>
                            <w:rFonts w:hint="eastAsia"/>
                            <w:szCs w:val="21"/>
                            <w:vertAlign w:val="subscript"/>
                          </w:rPr>
                          <w:t>1-1</w:t>
                        </w:r>
                      </w:p>
                      <w:p>
                        <w:pPr>
                          <w:ind w:firstLine="105" w:firstLineChars="50"/>
                          <w:rPr>
                            <w:szCs w:val="21"/>
                          </w:rPr>
                        </w:pPr>
                      </w:p>
                    </w:txbxContent>
                  </v:textbox>
                </v:rect>
                <v:rect id="Rectangle 10140" o:spid="_x0000_s1026" o:spt="1" style="position:absolute;left:3047365;top:595630;height:196850;width:438150;" filled="f" stroked="f" coordsize="21600,21600" o:gfxdata="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VBVHL1AAAAAUBAAAPAAAAAAAAAAEAIAAAADgA&#10;AABkcnMvZG93bnJldi54bWxQSwECFAAUAAAACACHTuJAj6ndNPcBAADTAwAADgAAAAAAAAABACAA&#10;AAA5AQAAZHJzL2Uyb0RvYy54bWxQSwUGAAAAAAYABgBZAQAAogUAAAAA&#10;">
                  <v:fill on="f" focussize="0,0"/>
                  <v:stroke on="f"/>
                  <v:imagedata o:title=""/>
                  <o:lock v:ext="edit" aspectratio="f"/>
                  <v:textbox inset="2.54mm,0mm,2.54mm,0mm">
                    <w:txbxContent>
                      <w:p>
                        <w:pPr>
                          <w:rPr>
                            <w:szCs w:val="21"/>
                          </w:rPr>
                        </w:pPr>
                        <w:r>
                          <w:rPr>
                            <w:rFonts w:hint="eastAsia"/>
                            <w:szCs w:val="21"/>
                          </w:rPr>
                          <w:t>G</w:t>
                        </w:r>
                        <w:r>
                          <w:rPr>
                            <w:rFonts w:hint="eastAsia"/>
                            <w:szCs w:val="21"/>
                            <w:vertAlign w:val="subscript"/>
                          </w:rPr>
                          <w:t>1-1</w:t>
                        </w:r>
                      </w:p>
                      <w:p>
                        <w:pPr>
                          <w:ind w:firstLine="105" w:firstLineChars="50"/>
                          <w:rPr>
                            <w:szCs w:val="21"/>
                          </w:rPr>
                        </w:pPr>
                      </w:p>
                    </w:txbxContent>
                  </v:textbox>
                </v:rect>
                <v:rect id="Rectangle 10123" o:spid="_x0000_s1026" o:spt="1" style="position:absolute;left:1610360;top:2388870;height:179070;width:1415415;" filled="f" stroked="f" coordsize="21600,21600" o:gfxdata="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&#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z8RC+1wAAAAUBAAAPAAAAAAAAAAEAIAAAADgAAABk&#10;cnMvZG93bnJldi54bWxQSwECFAAUAAAACACHTuJAA8AgtfEBAADNAwAADgAAAAAAAAABACAAAAA8&#10;AQAAZHJzL2Uyb0RvYy54bWxQSwUGAAAAAAYABgBZAQAAnwUAAAAA&#10;">
                  <v:fill on="f" focussize="0,0"/>
                  <v:stroke on="f"/>
                  <v:imagedata o:title=""/>
                  <o:lock v:ext="edit" aspectratio="f"/>
                  <v:textbox inset="0mm,0mm,0mm,0mm">
                    <w:txbxContent>
                      <w:p>
                        <w:pPr>
                          <w:jc w:val="center"/>
                          <w:rPr>
                            <w:szCs w:val="21"/>
                          </w:rPr>
                        </w:pPr>
                        <w:r>
                          <w:rPr>
                            <w:rFonts w:hint="eastAsia"/>
                            <w:szCs w:val="21"/>
                          </w:rPr>
                          <w:t>二氯丙烷（产品）</w:t>
                        </w:r>
                      </w:p>
                      <w:p>
                        <w:pPr>
                          <w:rPr>
                            <w:szCs w:val="21"/>
                          </w:rPr>
                        </w:pPr>
                      </w:p>
                    </w:txbxContent>
                  </v:textbox>
                </v:rect>
                <v:line id="Line 10059" o:spid="_x0000_s1026" o:spt="20" style="position:absolute;left:1951355;top:1845945;height:135255;width:635;" filled="f" stroked="t" coordsize="21600,21600" o:gfxdata="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B/6tpX1gAAAAUBAAAPAAAAAAAA&#10;AAEAIAAAADgAAABkcnMvZG93bnJldi54bWxQSwECFAAUAAAACACHTuJAYPtT58UBAABuAwAADgAA&#10;AAAAAAABACAAAAA7AQAAZHJzL2Uyb0RvYy54bWxQSwUGAAAAAAYABgBZAQAAcgUAAAAA&#10;">
                  <v:fill on="f" focussize="0,0"/>
                  <v:stroke color="#000000" joinstyle="round" endarrow="block"/>
                  <v:imagedata o:title=""/>
                  <o:lock v:ext="edit" aspectratio="f"/>
                </v:line>
                <v:line id="Line 10136" o:spid="_x0000_s1026" o:spt="20" style="position:absolute;left:2681623;top:1207272;height:1600;width:340003;" filled="f" stroked="t" coordsize="21600,21600" o:gfxdata="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f+raV9YAAAAFAQAADwAA&#10;AAAAAAABACAAAAA4AAAAZHJzL2Rvd25yZXYueG1sUEsBAhQAFAAAAAgAh07iQEtERe/JAQAAbwMA&#10;AA4AAAAAAAAAAQAgAAAAOwEAAGRycy9lMm9Eb2MueG1sUEsFBgAAAAAGAAYAWQEAAHYFAAAAAA==&#10;">
                  <v:fill on="f" focussize="0,0"/>
                  <v:stroke color="#000000" joinstyle="round" endarrow="block"/>
                  <v:imagedata o:title=""/>
                  <o:lock v:ext="edit" aspectratio="f"/>
                </v:line>
                <v:line id="Line 10136" o:spid="_x0000_s1026" o:spt="20" style="position:absolute;left:2664823;top:687851;height:800;width:340003;" filled="f" stroked="t" coordsize="21600,21600" o:gfxdata="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f+raV9YAAAAFAQAADwAA&#10;AAAAAAABACAAAAA4AAAAZHJzL2Rvd25yZXYueG1sUEsBAhQAFAAAAAgAh07iQPAAFkDJAQAAbQMA&#10;AA4AAAAAAAAAAQAgAAAAOwEAAGRycy9lMm9Eb2MueG1sUEsFBgAAAAAGAAYAWQEAAHYFAAAAAA==&#10;">
                  <v:fill on="f" focussize="0,0"/>
                  <v:stroke color="#000000" joinstyle="round" endarrow="block"/>
                  <v:imagedata o:title=""/>
                  <o:lock v:ext="edit" aspectratio="f"/>
                </v:line>
                <v:rect id="Rectangle 10119" o:spid="_x0000_s1026" o:spt="1" style="position:absolute;left:2680970;top:975995;height:197485;width:511175;" filled="f" stroked="f" coordsize="21600,21600" o:gfxdata="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VBVHL1AAAAAUBAAAPAAAAAAAAAAEAIAAAADgA&#10;AABkcnMvZG93bnJldi54bWxQSwECFAAUAAAACACHTuJAeNEzn/cBAADTAwAADgAAAAAAAAABACAA&#10;AAA5AQAAZHJzL2Uyb0RvYy54bWxQSwUGAAAAAAYABgBZAQAAogUAAAAA&#10;">
                  <v:fill on="f" focussize="0,0"/>
                  <v:stroke on="f"/>
                  <v:imagedata o:title=""/>
                  <o:lock v:ext="edit" aspectratio="f"/>
                  <v:textbox inset="2.54mm,0mm,2.54mm,0mm">
                    <w:txbxContent>
                      <w:p>
                        <w:pPr>
                          <w:rPr>
                            <w:rFonts w:hint="eastAsia" w:eastAsia="宋体"/>
                            <w:szCs w:val="21"/>
                            <w:lang w:eastAsia="zh-CN"/>
                          </w:rPr>
                        </w:pPr>
                        <w:r>
                          <w:rPr>
                            <w:rFonts w:hint="eastAsia"/>
                            <w:szCs w:val="21"/>
                            <w:lang w:eastAsia="zh-CN"/>
                          </w:rPr>
                          <w:t>水相</w:t>
                        </w:r>
                      </w:p>
                    </w:txbxContent>
                  </v:textbox>
                </v:rect>
                <v:rect id="Rectangle 10119" o:spid="_x0000_s1026" o:spt="1" style="position:absolute;left:2204720;top:1407160;height:197485;width:511175;" filled="f" stroked="f" coordsize="21600,21600" o:gfxdata="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NUFUcvUAAAABQEAAA8AAAAAAAAAAQAgAAAAOAAA&#10;AGRycy9kb3ducmV2LnhtbFBLAQIUABQAAAAIAIdO4kDkqCKW9gEAANQDAAAOAAAAAAAAAAEAIAAA&#10;ADkBAABkcnMvZTJvRG9jLnhtbFBLBQYAAAAABgAGAFkBAAChBQAAAAA=&#10;">
                  <v:fill on="f" focussize="0,0"/>
                  <v:stroke on="f"/>
                  <v:imagedata o:title=""/>
                  <o:lock v:ext="edit" aspectratio="f"/>
                  <v:textbox inset="2.54mm,0mm,2.54mm,0mm">
                    <w:txbxContent>
                      <w:p>
                        <w:pPr>
                          <w:rPr>
                            <w:rFonts w:hint="eastAsia" w:eastAsia="宋体"/>
                            <w:szCs w:val="21"/>
                            <w:lang w:eastAsia="zh-CN"/>
                          </w:rPr>
                        </w:pPr>
                        <w:r>
                          <w:rPr>
                            <w:rFonts w:hint="eastAsia"/>
                            <w:szCs w:val="21"/>
                            <w:lang w:eastAsia="zh-CN"/>
                          </w:rPr>
                          <w:t>油相</w:t>
                        </w:r>
                      </w:p>
                    </w:txbxContent>
                  </v:textbox>
                </v:rect>
                <v:line id="Line 10056" o:spid="_x0000_s1026" o:spt="20" style="position:absolute;left:2252980;top:1892935;height:323850;width:635;" filled="f" stroked="t" coordsize="21600,21600" o:gfxdata="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H/q2lfWAAAABQEAAA8AAAAA&#10;AAAAAQAgAAAAOAAAAGRycy9kb3ducmV2LnhtbFBLAQIUABQAAAAIAIdO4kBWdN7txwEAAG0DAAAO&#10;AAAAAAAAAAEAIAAAADsBAABkcnMvZTJvRG9jLnhtbFBLBQYAAAAABgAGAFkBAAB0BQAAAAA=&#10;">
                  <v:fill on="f" focussize="0,0"/>
                  <v:stroke color="#000000" joinstyle="round" endarrow="block"/>
                  <v:imagedata o:title=""/>
                  <o:lock v:ext="edit" aspectratio="f"/>
                </v:line>
                <v:rect id="Rectangle 10064" o:spid="_x0000_s1026" o:spt="1" style="position:absolute;left:1823085;top:1656715;height:198120;width:914400;" fillcolor="#FFFFFF" filled="t" stroked="t" coordsize="21600,21600" o:gfxdata="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Y3JFb1gAAAAUBAAAPAAAAAAAAAAEAIAAAADgAAABkcnMvZG93&#10;bnJldi54bWxQSwECFAAUAAAACACHTuJA//wIGCUCAABJBAAADgAAAAAAAAABACAAAAA7AQAAZHJz&#10;L2Uyb0RvYy54bWxQSwUGAAAAAAYABgBZAQAA0gUAAAAA&#10;">
                  <v:fill on="t" focussize="0,0"/>
                  <v:stroke color="#000000" miterlimit="8" joinstyle="miter"/>
                  <v:imagedata o:title=""/>
                  <o:lock v:ext="edit" aspectratio="f"/>
                  <v:textbox inset="0mm,0mm,0mm,0mm">
                    <w:txbxContent>
                      <w:p>
                        <w:pPr>
                          <w:jc w:val="center"/>
                          <w:rPr>
                            <w:rFonts w:hint="eastAsia" w:eastAsia="宋体"/>
                            <w:szCs w:val="21"/>
                            <w:lang w:eastAsia="zh-CN"/>
                          </w:rPr>
                        </w:pPr>
                        <w:r>
                          <w:rPr>
                            <w:rFonts w:hint="eastAsia"/>
                            <w:szCs w:val="21"/>
                            <w:lang w:eastAsia="zh-CN"/>
                          </w:rPr>
                          <w:t>精馏</w:t>
                        </w:r>
                      </w:p>
                    </w:txbxContent>
                  </v:textbox>
                </v:rect>
                <v:line id="Line 10059" o:spid="_x0000_s1026" o:spt="20" style="position:absolute;left:1403985;top:1751965;flip:x y;height:3810;width:419100;" filled="f" stroked="t" coordsize="21600,21600" o:gfxdata="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BZVTby&#10;1QAAAAUBAAAPAAAAAAAAAAEAIAAAADgAAABkcnMvZG93bnJldi54bWxQSwECFAAUAAAACACHTuJA&#10;Lr/KJ9UBAACDAwAADgAAAAAAAAABACAAAAA6AQAAZHJzL2Uyb0RvYy54bWxQSwUGAAAAAAYABgBZ&#10;AQAAgQUAAAAA&#10;">
                  <v:fill on="f" focussize="0,0"/>
                  <v:stroke color="#000000" joinstyle="round" endarrow="block"/>
                  <v:imagedata o:title=""/>
                  <o:lock v:ext="edit" aspectratio="f"/>
                </v:line>
                <v:line id="_x0000_s1026" o:spid="_x0000_s1026" o:spt="20" style="position:absolute;left:1393190;top:500380;flip:y;height:1207770;width:0;" filled="f" stroked="t" coordsize="21600,21600" o:gfxdata="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LeCTwTWAAAABQEAAA8AAAAAAAAAAQAgAAAAOAAAAGRycy9kb3ducmV2Lnht&#10;bFBLAQIUABQAAAAIAIdO4kCbf9QO5QEAAH8DAAAOAAAAAAAAAAEAIAAAADsBAABkcnMvZTJvRG9j&#10;LnhtbFBLBQYAAAAABgAGAFkBAACSBQAAAAA=&#10;">
                  <v:fill on="f" focussize="0,0"/>
                  <v:stroke color="#000000" joinstyle="round" endarrow="block"/>
                  <v:imagedata o:title=""/>
                  <o:lock v:ext="edit" aspectratio="f"/>
                </v:line>
                <v:line id="Line 10059" o:spid="_x0000_s1026" o:spt="20" style="position:absolute;left:1381760;top:478790;flip:y;height:10795;width:864235;" filled="f" stroked="t" coordsize="21600,21600" o:gfxdata="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t4JPBNYAAAAF&#10;AQAADwAAAAAAAAABACAAAAA4AAAAZHJzL2Rvd25yZXYueG1sUEsBAhQAFAAAAAgAh07iQJqkgRTP&#10;AQAAeQMAAA4AAAAAAAAAAQAgAAAAOwEAAGRycy9lMm9Eb2MueG1sUEsFBgAAAAAGAAYAWQEAAHwF&#10;AAAAAA==&#10;">
                  <v:fill on="f" focussize="0,0"/>
                  <v:stroke color="#000000" joinstyle="round" endarrow="block"/>
                  <v:imagedata o:title=""/>
                  <o:lock v:ext="edit" aspectratio="f"/>
                </v:line>
                <v:line id="Line 10136" o:spid="_x0000_s1026" o:spt="20" style="position:absolute;left:2731770;top:1750695;height:635;width:339725;" filled="f" stroked="t" coordsize="21600,21600" o:gfxdata="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f+raV9YAAAAFAQAADwAA&#10;AAAAAAABACAAAAA4AAAAZHJzL2Rvd25yZXYueG1sUEsBAhQAFAAAAAgAh07iQE4Owt/JAQAAbgMA&#10;AA4AAAAAAAAAAQAgAAAAOwEAAGRycy9lMm9Eb2MueG1sUEsFBgAAAAAGAAYAWQEAAHYFAAAAAA==&#10;">
                  <v:fill on="f" focussize="0,0"/>
                  <v:stroke color="#000000" joinstyle="round" endarrow="block"/>
                  <v:imagedata o:title=""/>
                  <o:lock v:ext="edit" aspectratio="f"/>
                </v:line>
                <v:rect id="Rectangle 10140" o:spid="_x0000_s1026" o:spt="1" style="position:absolute;left:3058795;top:1670050;height:196850;width:438150;" filled="f" stroked="f" coordsize="21600,21600" o:gfxdata="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VBVHL1AAAAAUBAAAPAAAAAAAAAAEAIAAAADgA&#10;AABkcnMvZG93bnJldi54bWxQSwECFAAUAAAACACHTuJApinrrvcBAADUAwAADgAAAAAAAAABACAA&#10;AAA5AQAAZHJzL2Uyb0RvYy54bWxQSwUGAAAAAAYABgBZAQAAogUAAAAA&#10;">
                  <v:fill on="f" focussize="0,0"/>
                  <v:stroke on="f"/>
                  <v:imagedata o:title=""/>
                  <o:lock v:ext="edit" aspectratio="f"/>
                  <v:textbox inset="2.54mm,0mm,2.54mm,0mm">
                    <w:txbxContent>
                      <w:p>
                        <w:pPr>
                          <w:rPr>
                            <w:szCs w:val="21"/>
                          </w:rPr>
                        </w:pPr>
                        <w:r>
                          <w:rPr>
                            <w:rFonts w:hint="eastAsia"/>
                            <w:szCs w:val="21"/>
                          </w:rPr>
                          <w:t>G</w:t>
                        </w:r>
                        <w:r>
                          <w:rPr>
                            <w:rFonts w:hint="eastAsia"/>
                            <w:szCs w:val="21"/>
                            <w:vertAlign w:val="subscript"/>
                          </w:rPr>
                          <w:t>1-</w:t>
                        </w:r>
                        <w:r>
                          <w:rPr>
                            <w:rFonts w:hint="eastAsia"/>
                            <w:szCs w:val="21"/>
                            <w:vertAlign w:val="subscript"/>
                            <w:lang w:val="en-US" w:eastAsia="zh-CN"/>
                          </w:rPr>
                          <w:t>2</w:t>
                        </w:r>
                      </w:p>
                      <w:p>
                        <w:pPr>
                          <w:ind w:firstLine="105" w:firstLineChars="50"/>
                          <w:rPr>
                            <w:szCs w:val="21"/>
                          </w:rPr>
                        </w:pPr>
                      </w:p>
                    </w:txbxContent>
                  </v:textbox>
                </v:rect>
                <w10:wrap type="none"/>
                <w10:anchorlock/>
              </v:group>
            </w:pict>
          </mc:Fallback>
        </mc:AlternateContent>
      </w:r>
    </w:p>
    <w:p>
      <w:pPr>
        <w:pStyle w:val="36"/>
        <w:bidi w:val="0"/>
        <w:rPr>
          <w:color w:val="auto"/>
        </w:rPr>
      </w:pPr>
      <w:r>
        <w:rPr>
          <w:rFonts w:hint="eastAsia"/>
          <w:color w:val="auto"/>
        </w:rPr>
        <w:t>图</w:t>
      </w:r>
      <w:r>
        <w:rPr>
          <w:rFonts w:hint="eastAsia"/>
          <w:color w:val="auto"/>
          <w:lang w:val="en-US" w:eastAsia="zh-CN"/>
        </w:rPr>
        <w:t>3</w:t>
      </w:r>
      <w:r>
        <w:rPr>
          <w:rFonts w:hint="eastAsia"/>
          <w:color w:val="auto"/>
        </w:rPr>
        <w:t>.</w:t>
      </w:r>
      <w:r>
        <w:rPr>
          <w:rFonts w:hint="eastAsia"/>
          <w:color w:val="auto"/>
          <w:lang w:val="en-US" w:eastAsia="zh-CN"/>
        </w:rPr>
        <w:t>2</w:t>
      </w:r>
      <w:r>
        <w:rPr>
          <w:rFonts w:hint="eastAsia"/>
          <w:color w:val="auto"/>
        </w:rPr>
        <w:t>-</w:t>
      </w:r>
      <w:r>
        <w:rPr>
          <w:rFonts w:hint="eastAsia"/>
          <w:color w:val="auto"/>
          <w:lang w:val="en-US" w:eastAsia="zh-CN"/>
        </w:rPr>
        <w:t>4</w:t>
      </w:r>
      <w:r>
        <w:rPr>
          <w:rFonts w:hint="eastAsia"/>
          <w:color w:val="auto"/>
        </w:rPr>
        <w:t>： 二氯丙烷工艺流程</w:t>
      </w:r>
      <w:r>
        <w:rPr>
          <w:rFonts w:hint="eastAsia"/>
          <w:color w:val="auto"/>
          <w:lang w:eastAsia="zh-CN"/>
        </w:rPr>
        <w:t>及产污环节</w:t>
      </w:r>
      <w:r>
        <w:rPr>
          <w:rFonts w:hint="eastAsia"/>
          <w:color w:val="auto"/>
        </w:rPr>
        <w:t>图</w:t>
      </w:r>
    </w:p>
    <w:p>
      <w:pPr>
        <w:pStyle w:val="33"/>
        <w:bidi w:val="0"/>
        <w:rPr>
          <w:color w:val="auto"/>
        </w:rPr>
      </w:pPr>
      <w:r>
        <w:rPr>
          <w:rFonts w:hint="eastAsia"/>
          <w:color w:val="auto"/>
        </w:rPr>
        <w:t>（2）产污环节</w:t>
      </w:r>
      <w:r>
        <w:rPr>
          <w:rFonts w:hint="eastAsia"/>
          <w:color w:val="auto"/>
          <w:lang w:eastAsia="zh-CN"/>
        </w:rPr>
        <w:t>分析</w:t>
      </w:r>
    </w:p>
    <w:p>
      <w:pPr>
        <w:pStyle w:val="33"/>
        <w:bidi w:val="0"/>
        <w:rPr>
          <w:rFonts w:hint="eastAsia"/>
          <w:color w:val="auto"/>
          <w:lang w:eastAsia="zh-CN"/>
        </w:rPr>
      </w:pPr>
      <w:r>
        <w:rPr>
          <w:rFonts w:hint="eastAsia"/>
          <w:color w:val="auto"/>
        </w:rPr>
        <w:t>①</w:t>
      </w:r>
      <w:r>
        <w:rPr>
          <w:rFonts w:hint="eastAsia"/>
          <w:color w:val="auto"/>
          <w:lang w:eastAsia="zh-CN"/>
        </w:rPr>
        <w:t>废水</w:t>
      </w:r>
    </w:p>
    <w:p>
      <w:pPr>
        <w:pStyle w:val="33"/>
        <w:bidi w:val="0"/>
        <w:rPr>
          <w:color w:val="auto"/>
        </w:rPr>
      </w:pPr>
      <w:r>
        <w:rPr>
          <w:rFonts w:hint="eastAsia"/>
          <w:color w:val="auto"/>
          <w:lang w:eastAsia="zh-CN"/>
        </w:rPr>
        <w:t>蒸</w:t>
      </w:r>
      <w:r>
        <w:rPr>
          <w:rFonts w:hint="eastAsia"/>
          <w:color w:val="auto"/>
        </w:rPr>
        <w:t>馏后</w:t>
      </w:r>
      <w:r>
        <w:rPr>
          <w:rFonts w:hint="eastAsia"/>
          <w:color w:val="auto"/>
          <w:lang w:eastAsia="zh-CN"/>
        </w:rPr>
        <w:t>冷凝液进入接受槽静置</w:t>
      </w:r>
      <w:r>
        <w:rPr>
          <w:rFonts w:hint="eastAsia"/>
          <w:color w:val="auto"/>
        </w:rPr>
        <w:t>分</w:t>
      </w:r>
      <w:r>
        <w:rPr>
          <w:rFonts w:hint="eastAsia"/>
          <w:color w:val="auto"/>
          <w:lang w:eastAsia="zh-CN"/>
        </w:rPr>
        <w:t>层，下层油相经检验合格作为产品直接出售，上层水相进入分水缸进一步分离废水，不合格产品返回精馏重新精馏。</w:t>
      </w:r>
      <w:r>
        <w:rPr>
          <w:rFonts w:hint="eastAsia"/>
          <w:color w:val="auto"/>
        </w:rPr>
        <w:t>产生的</w:t>
      </w:r>
      <w:r>
        <w:rPr>
          <w:rFonts w:hint="eastAsia"/>
          <w:color w:val="auto"/>
          <w:lang w:eastAsia="zh-CN"/>
        </w:rPr>
        <w:t>废水属于</w:t>
      </w:r>
      <w:r>
        <w:rPr>
          <w:rFonts w:hint="eastAsia"/>
          <w:color w:val="auto"/>
        </w:rPr>
        <w:t>高浓度有机废水，主要污染物为</w:t>
      </w:r>
      <w:r>
        <w:rPr>
          <w:rFonts w:hint="eastAsia"/>
          <w:color w:val="auto"/>
          <w:lang w:val="en-US" w:eastAsia="zh-CN"/>
        </w:rPr>
        <w:t>p</w:t>
      </w:r>
      <w:r>
        <w:rPr>
          <w:rFonts w:hint="eastAsia"/>
          <w:color w:val="auto"/>
        </w:rPr>
        <w:t>H、COD、石油类、挥发酚、AOX等</w:t>
      </w:r>
      <w:r>
        <w:rPr>
          <w:rFonts w:hint="eastAsia"/>
          <w:color w:val="auto"/>
          <w:lang w:eastAsia="zh-CN"/>
        </w:rPr>
        <w:t>，进厂区内新建一体化高浓度有机废水处理装置处理达标后排入工业园污水处理站</w:t>
      </w:r>
      <w:r>
        <w:rPr>
          <w:rFonts w:hint="eastAsia"/>
          <w:color w:val="auto"/>
        </w:rPr>
        <w:t>。</w:t>
      </w:r>
    </w:p>
    <w:p>
      <w:pPr>
        <w:pStyle w:val="33"/>
        <w:bidi w:val="0"/>
        <w:rPr>
          <w:rFonts w:hint="eastAsia"/>
          <w:color w:val="auto"/>
          <w:lang w:eastAsia="zh-CN"/>
        </w:rPr>
      </w:pPr>
      <w:r>
        <w:rPr>
          <w:rFonts w:hint="eastAsia"/>
          <w:color w:val="auto"/>
        </w:rPr>
        <w:t>②</w:t>
      </w:r>
      <w:r>
        <w:rPr>
          <w:rFonts w:hint="eastAsia"/>
          <w:color w:val="auto"/>
          <w:lang w:eastAsia="zh-CN"/>
        </w:rPr>
        <w:t>废气</w:t>
      </w:r>
    </w:p>
    <w:p>
      <w:pPr>
        <w:pStyle w:val="33"/>
        <w:bidi w:val="0"/>
        <w:rPr>
          <w:color w:val="auto"/>
        </w:rPr>
      </w:pPr>
      <w:r>
        <w:rPr>
          <w:rFonts w:hint="eastAsia"/>
          <w:color w:val="auto"/>
          <w:lang w:eastAsia="zh-CN"/>
        </w:rPr>
        <w:t>原料高温蒸</w:t>
      </w:r>
      <w:r>
        <w:rPr>
          <w:rFonts w:hint="eastAsia"/>
          <w:color w:val="auto"/>
        </w:rPr>
        <w:t>馏</w:t>
      </w:r>
      <w:r>
        <w:rPr>
          <w:rFonts w:hint="eastAsia"/>
          <w:color w:val="auto"/>
          <w:lang w:eastAsia="zh-CN"/>
        </w:rPr>
        <w:t>会</w:t>
      </w:r>
      <w:r>
        <w:rPr>
          <w:rFonts w:hint="eastAsia"/>
          <w:color w:val="auto"/>
        </w:rPr>
        <w:t>分</w:t>
      </w:r>
      <w:r>
        <w:rPr>
          <w:rFonts w:hint="eastAsia"/>
          <w:color w:val="auto"/>
          <w:lang w:eastAsia="zh-CN"/>
        </w:rPr>
        <w:t>解</w:t>
      </w:r>
      <w:r>
        <w:rPr>
          <w:rFonts w:hint="eastAsia"/>
          <w:color w:val="auto"/>
        </w:rPr>
        <w:t>产生的氯化氢、</w:t>
      </w:r>
      <w:r>
        <w:rPr>
          <w:rFonts w:hint="eastAsia"/>
          <w:color w:val="auto"/>
          <w:lang w:val="en-US" w:eastAsia="zh-CN"/>
        </w:rPr>
        <w:t>1，2</w:t>
      </w:r>
      <w:r>
        <w:rPr>
          <w:rFonts w:hint="eastAsia"/>
          <w:color w:val="auto"/>
          <w:lang w:eastAsia="zh-CN"/>
        </w:rPr>
        <w:t>二氯丙烷高温也会挥发，</w:t>
      </w:r>
      <w:r>
        <w:rPr>
          <w:color w:val="auto"/>
        </w:rPr>
        <w:t>通过初馏塔塔顶的液体经过冷凝塔进行冷凝回收，在回收过程中冷凝不下来的少量不凝尾气中仍存在残留二氯丙烷</w:t>
      </w:r>
      <w:r>
        <w:rPr>
          <w:rFonts w:hint="eastAsia"/>
          <w:color w:val="auto"/>
          <w:lang w:eastAsia="zh-CN"/>
        </w:rPr>
        <w:t>、氯化氢</w:t>
      </w:r>
      <w:r>
        <w:rPr>
          <w:color w:val="auto"/>
        </w:rPr>
        <w:t>气体，通过真空泵连接产生的挥发气体收集送往</w:t>
      </w:r>
      <w:r>
        <w:rPr>
          <w:rFonts w:hint="eastAsia"/>
          <w:color w:val="auto"/>
          <w:lang w:eastAsia="zh-CN"/>
        </w:rPr>
        <w:t>碱液</w:t>
      </w:r>
      <w:r>
        <w:rPr>
          <w:color w:val="auto"/>
        </w:rPr>
        <w:t>吸</w:t>
      </w:r>
      <w:r>
        <w:rPr>
          <w:rFonts w:hint="eastAsia"/>
          <w:color w:val="auto"/>
          <w:lang w:eastAsia="zh-CN"/>
        </w:rPr>
        <w:t>收</w:t>
      </w:r>
      <w:r>
        <w:rPr>
          <w:color w:val="auto"/>
        </w:rPr>
        <w:t>装置进行吸</w:t>
      </w:r>
      <w:r>
        <w:rPr>
          <w:rFonts w:hint="eastAsia"/>
          <w:color w:val="auto"/>
          <w:lang w:eastAsia="zh-CN"/>
        </w:rPr>
        <w:t>收</w:t>
      </w:r>
      <w:r>
        <w:rPr>
          <w:color w:val="auto"/>
        </w:rPr>
        <w:t>处理后经排气筒排放。</w:t>
      </w:r>
    </w:p>
    <w:p>
      <w:pPr>
        <w:pStyle w:val="33"/>
        <w:bidi w:val="0"/>
        <w:rPr>
          <w:rFonts w:hint="eastAsia" w:eastAsia="宋体"/>
          <w:color w:val="auto"/>
          <w:lang w:eastAsia="zh-CN"/>
        </w:rPr>
      </w:pPr>
      <w:r>
        <w:rPr>
          <w:color w:val="auto"/>
        </w:rPr>
        <w:t>溶剂储罐的大小呼吸会产生有机废气，呈无组织排放</w:t>
      </w:r>
      <w:r>
        <w:rPr>
          <w:rFonts w:hint="eastAsia"/>
          <w:color w:val="auto"/>
          <w:lang w:eastAsia="zh-CN"/>
        </w:rPr>
        <w:t>。</w:t>
      </w:r>
    </w:p>
    <w:p>
      <w:pPr>
        <w:pStyle w:val="33"/>
        <w:bidi w:val="0"/>
        <w:rPr>
          <w:rFonts w:hint="eastAsia"/>
          <w:color w:val="auto"/>
        </w:rPr>
      </w:pPr>
      <w:r>
        <w:rPr>
          <w:rFonts w:hint="eastAsia"/>
          <w:color w:val="auto"/>
        </w:rPr>
        <w:t>③危险固废主要为精馏工序产生的精馏残渣，主要成分为二氯异丁烷和二氯异丁烯等多种卤代烃的混合物</w:t>
      </w:r>
      <w:r>
        <w:rPr>
          <w:rFonts w:hint="eastAsia"/>
          <w:color w:val="auto"/>
          <w:lang w:eastAsia="zh-CN"/>
        </w:rPr>
        <w:t>，采取铁桶盛装后暂存于危险废物暂存间</w:t>
      </w:r>
      <w:r>
        <w:rPr>
          <w:rFonts w:hint="eastAsia"/>
          <w:color w:val="auto"/>
        </w:rPr>
        <w:t>。</w:t>
      </w:r>
    </w:p>
    <w:p>
      <w:pPr>
        <w:pStyle w:val="33"/>
        <w:bidi w:val="0"/>
        <w:rPr>
          <w:rFonts w:hint="eastAsia"/>
          <w:color w:val="auto"/>
        </w:rPr>
      </w:pPr>
      <w:r>
        <w:rPr>
          <w:rFonts w:hint="eastAsia"/>
          <w:color w:val="auto"/>
        </w:rPr>
        <w:t>④</w:t>
      </w:r>
      <w:r>
        <w:rPr>
          <w:color w:val="auto"/>
        </w:rPr>
        <w:t>生产过程中物料输送泵和废气处理所用风机等会产生噪声，源强约为65~95dB（A）。</w:t>
      </w:r>
    </w:p>
    <w:p>
      <w:pPr>
        <w:pStyle w:val="36"/>
        <w:bidi w:val="0"/>
        <w:rPr>
          <w:color w:val="auto"/>
        </w:rPr>
      </w:pPr>
      <w:r>
        <w:rPr>
          <w:color w:val="auto"/>
        </w:rPr>
        <w:t>表</w:t>
      </w:r>
      <w:r>
        <w:rPr>
          <w:rFonts w:hint="eastAsia"/>
          <w:color w:val="auto"/>
          <w:lang w:val="en-US" w:eastAsia="zh-CN"/>
        </w:rPr>
        <w:t>3.2-3</w:t>
      </w:r>
      <w:r>
        <w:rPr>
          <w:rFonts w:hint="eastAsia"/>
          <w:color w:val="auto"/>
        </w:rPr>
        <w:t xml:space="preserve"> </w:t>
      </w:r>
      <w:r>
        <w:rPr>
          <w:color w:val="auto"/>
        </w:rPr>
        <w:t xml:space="preserve"> </w:t>
      </w:r>
      <w:r>
        <w:rPr>
          <w:rFonts w:hint="eastAsia"/>
          <w:color w:val="auto"/>
        </w:rPr>
        <w:t>二氯丙烷</w:t>
      </w:r>
      <w:r>
        <w:rPr>
          <w:color w:val="auto"/>
        </w:rPr>
        <w:t>产污环节一览表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80"/>
        <w:gridCol w:w="1688"/>
        <w:gridCol w:w="2177"/>
        <w:gridCol w:w="1309"/>
        <w:gridCol w:w="31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7" w:hRule="atLeast"/>
        </w:trPr>
        <w:tc>
          <w:tcPr>
            <w:tcW w:w="620" w:type="pct"/>
            <w:tcBorders>
              <w:tl2br w:val="nil"/>
              <w:tr2bl w:val="nil"/>
            </w:tcBorders>
            <w:noWrap w:val="0"/>
            <w:vAlign w:val="center"/>
          </w:tcPr>
          <w:p>
            <w:pPr>
              <w:pStyle w:val="35"/>
              <w:bidi w:val="0"/>
              <w:rPr>
                <w:b/>
                <w:bCs/>
                <w:color w:val="auto"/>
              </w:rPr>
            </w:pPr>
            <w:r>
              <w:rPr>
                <w:rFonts w:hint="eastAsia"/>
                <w:b/>
                <w:bCs/>
                <w:color w:val="auto"/>
              </w:rPr>
              <w:t>污染类型</w:t>
            </w:r>
          </w:p>
        </w:tc>
        <w:tc>
          <w:tcPr>
            <w:tcW w:w="887" w:type="pct"/>
            <w:tcBorders>
              <w:tl2br w:val="nil"/>
              <w:tr2bl w:val="nil"/>
            </w:tcBorders>
            <w:noWrap w:val="0"/>
            <w:vAlign w:val="center"/>
          </w:tcPr>
          <w:p>
            <w:pPr>
              <w:pStyle w:val="35"/>
              <w:bidi w:val="0"/>
              <w:rPr>
                <w:b/>
                <w:bCs/>
                <w:color w:val="auto"/>
              </w:rPr>
            </w:pPr>
            <w:r>
              <w:rPr>
                <w:rFonts w:hint="eastAsia"/>
                <w:b/>
                <w:bCs/>
                <w:color w:val="auto"/>
              </w:rPr>
              <w:t>产物环节</w:t>
            </w:r>
          </w:p>
        </w:tc>
        <w:tc>
          <w:tcPr>
            <w:tcW w:w="1144" w:type="pct"/>
            <w:tcBorders>
              <w:tl2br w:val="nil"/>
              <w:tr2bl w:val="nil"/>
            </w:tcBorders>
            <w:noWrap w:val="0"/>
            <w:vAlign w:val="center"/>
          </w:tcPr>
          <w:p>
            <w:pPr>
              <w:pStyle w:val="35"/>
              <w:bidi w:val="0"/>
              <w:rPr>
                <w:b/>
                <w:bCs/>
                <w:color w:val="auto"/>
              </w:rPr>
            </w:pPr>
            <w:r>
              <w:rPr>
                <w:rFonts w:hint="eastAsia"/>
                <w:b/>
                <w:bCs/>
                <w:color w:val="auto"/>
              </w:rPr>
              <w:t>产生污染物</w:t>
            </w:r>
          </w:p>
        </w:tc>
        <w:tc>
          <w:tcPr>
            <w:tcW w:w="688" w:type="pct"/>
            <w:tcBorders>
              <w:tl2br w:val="nil"/>
              <w:tr2bl w:val="nil"/>
            </w:tcBorders>
            <w:noWrap w:val="0"/>
            <w:vAlign w:val="center"/>
          </w:tcPr>
          <w:p>
            <w:pPr>
              <w:pStyle w:val="35"/>
              <w:bidi w:val="0"/>
              <w:rPr>
                <w:b/>
                <w:bCs/>
                <w:color w:val="auto"/>
              </w:rPr>
            </w:pPr>
            <w:r>
              <w:rPr>
                <w:rFonts w:hint="eastAsia"/>
                <w:b/>
                <w:bCs/>
                <w:color w:val="auto"/>
              </w:rPr>
              <w:t>产生特点</w:t>
            </w:r>
          </w:p>
        </w:tc>
        <w:tc>
          <w:tcPr>
            <w:tcW w:w="1658" w:type="pct"/>
            <w:tcBorders>
              <w:tl2br w:val="nil"/>
              <w:tr2bl w:val="nil"/>
            </w:tcBorders>
            <w:noWrap w:val="0"/>
            <w:vAlign w:val="center"/>
          </w:tcPr>
          <w:p>
            <w:pPr>
              <w:pStyle w:val="35"/>
              <w:bidi w:val="0"/>
              <w:rPr>
                <w:b/>
                <w:bCs/>
                <w:color w:val="auto"/>
              </w:rPr>
            </w:pPr>
            <w:r>
              <w:rPr>
                <w:rFonts w:hint="eastAsia"/>
                <w:b/>
                <w:bCs/>
                <w:color w:val="auto"/>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7" w:hRule="atLeast"/>
        </w:trPr>
        <w:tc>
          <w:tcPr>
            <w:tcW w:w="620" w:type="pct"/>
            <w:tcBorders>
              <w:tl2br w:val="nil"/>
              <w:tr2bl w:val="nil"/>
            </w:tcBorders>
            <w:noWrap w:val="0"/>
            <w:vAlign w:val="center"/>
          </w:tcPr>
          <w:p>
            <w:pPr>
              <w:pStyle w:val="35"/>
              <w:bidi w:val="0"/>
              <w:rPr>
                <w:color w:val="auto"/>
              </w:rPr>
            </w:pPr>
            <w:r>
              <w:rPr>
                <w:rFonts w:hint="eastAsia"/>
                <w:color w:val="auto"/>
              </w:rPr>
              <w:t>废水</w:t>
            </w:r>
          </w:p>
        </w:tc>
        <w:tc>
          <w:tcPr>
            <w:tcW w:w="887" w:type="pct"/>
            <w:tcBorders>
              <w:tl2br w:val="nil"/>
              <w:tr2bl w:val="nil"/>
            </w:tcBorders>
            <w:noWrap w:val="0"/>
            <w:vAlign w:val="center"/>
          </w:tcPr>
          <w:p>
            <w:pPr>
              <w:pStyle w:val="35"/>
              <w:bidi w:val="0"/>
              <w:rPr>
                <w:color w:val="auto"/>
              </w:rPr>
            </w:pPr>
            <w:r>
              <w:rPr>
                <w:rFonts w:hint="eastAsia"/>
                <w:color w:val="auto"/>
              </w:rPr>
              <w:t>油水分离W1-1</w:t>
            </w:r>
          </w:p>
        </w:tc>
        <w:tc>
          <w:tcPr>
            <w:tcW w:w="1144" w:type="pct"/>
            <w:tcBorders>
              <w:tl2br w:val="nil"/>
              <w:tr2bl w:val="nil"/>
            </w:tcBorders>
            <w:noWrap w:val="0"/>
            <w:vAlign w:val="center"/>
          </w:tcPr>
          <w:p>
            <w:pPr>
              <w:pStyle w:val="35"/>
              <w:bidi w:val="0"/>
              <w:rPr>
                <w:color w:val="auto"/>
              </w:rPr>
            </w:pPr>
            <w:r>
              <w:rPr>
                <w:rFonts w:hint="eastAsia"/>
                <w:color w:val="auto"/>
                <w:lang w:val="en-US" w:eastAsia="zh-CN"/>
              </w:rPr>
              <w:t>p</w:t>
            </w:r>
            <w:r>
              <w:rPr>
                <w:rFonts w:hint="eastAsia"/>
                <w:color w:val="auto"/>
              </w:rPr>
              <w:t>H、COD、石油类、挥发酚、AOX</w:t>
            </w:r>
          </w:p>
        </w:tc>
        <w:tc>
          <w:tcPr>
            <w:tcW w:w="688" w:type="pct"/>
            <w:tcBorders>
              <w:tl2br w:val="nil"/>
              <w:tr2bl w:val="nil"/>
            </w:tcBorders>
            <w:noWrap w:val="0"/>
            <w:vAlign w:val="center"/>
          </w:tcPr>
          <w:p>
            <w:pPr>
              <w:pStyle w:val="35"/>
              <w:bidi w:val="0"/>
              <w:rPr>
                <w:color w:val="auto"/>
              </w:rPr>
            </w:pPr>
            <w:r>
              <w:rPr>
                <w:rFonts w:hint="eastAsia"/>
                <w:color w:val="auto"/>
              </w:rPr>
              <w:t>间歇</w:t>
            </w:r>
          </w:p>
        </w:tc>
        <w:tc>
          <w:tcPr>
            <w:tcW w:w="1658" w:type="pct"/>
            <w:tcBorders>
              <w:tl2br w:val="nil"/>
              <w:tr2bl w:val="nil"/>
            </w:tcBorders>
            <w:noWrap w:val="0"/>
            <w:vAlign w:val="center"/>
          </w:tcPr>
          <w:p>
            <w:pPr>
              <w:pStyle w:val="35"/>
              <w:bidi w:val="0"/>
              <w:rPr>
                <w:color w:val="auto"/>
              </w:rPr>
            </w:pPr>
            <w:r>
              <w:rPr>
                <w:rFonts w:hint="eastAsia"/>
                <w:color w:val="auto"/>
              </w:rPr>
              <w:t>厂区内自建污水处理站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68" w:hRule="atLeast"/>
        </w:trPr>
        <w:tc>
          <w:tcPr>
            <w:tcW w:w="620" w:type="pct"/>
            <w:tcBorders>
              <w:tl2br w:val="nil"/>
              <w:tr2bl w:val="nil"/>
            </w:tcBorders>
            <w:noWrap w:val="0"/>
            <w:vAlign w:val="center"/>
          </w:tcPr>
          <w:p>
            <w:pPr>
              <w:pStyle w:val="35"/>
              <w:bidi w:val="0"/>
              <w:rPr>
                <w:color w:val="auto"/>
              </w:rPr>
            </w:pPr>
            <w:r>
              <w:rPr>
                <w:rFonts w:hint="eastAsia"/>
                <w:color w:val="auto"/>
              </w:rPr>
              <w:t>废气</w:t>
            </w:r>
          </w:p>
        </w:tc>
        <w:tc>
          <w:tcPr>
            <w:tcW w:w="887" w:type="pct"/>
            <w:tcBorders>
              <w:tl2br w:val="nil"/>
              <w:tr2bl w:val="nil"/>
            </w:tcBorders>
            <w:noWrap w:val="0"/>
            <w:vAlign w:val="center"/>
          </w:tcPr>
          <w:p>
            <w:pPr>
              <w:pStyle w:val="35"/>
              <w:bidi w:val="0"/>
              <w:rPr>
                <w:color w:val="auto"/>
              </w:rPr>
            </w:pPr>
            <w:r>
              <w:rPr>
                <w:rFonts w:hint="eastAsia"/>
                <w:color w:val="auto"/>
              </w:rPr>
              <w:t>减压精馏G1-1</w:t>
            </w:r>
            <w:r>
              <w:rPr>
                <w:rFonts w:hint="eastAsia"/>
                <w:color w:val="auto"/>
                <w:lang w:eastAsia="zh-CN"/>
              </w:rPr>
              <w:t>、</w:t>
            </w:r>
            <w:r>
              <w:rPr>
                <w:rFonts w:hint="eastAsia"/>
                <w:color w:val="auto"/>
              </w:rPr>
              <w:t>G1-</w:t>
            </w:r>
            <w:r>
              <w:rPr>
                <w:rFonts w:hint="eastAsia"/>
                <w:color w:val="auto"/>
                <w:lang w:val="en-US" w:eastAsia="zh-CN"/>
              </w:rPr>
              <w:t>2</w:t>
            </w:r>
          </w:p>
        </w:tc>
        <w:tc>
          <w:tcPr>
            <w:tcW w:w="1144" w:type="pct"/>
            <w:tcBorders>
              <w:tl2br w:val="nil"/>
              <w:tr2bl w:val="nil"/>
            </w:tcBorders>
            <w:noWrap w:val="0"/>
            <w:vAlign w:val="center"/>
          </w:tcPr>
          <w:p>
            <w:pPr>
              <w:pStyle w:val="35"/>
              <w:bidi w:val="0"/>
              <w:rPr>
                <w:color w:val="auto"/>
              </w:rPr>
            </w:pPr>
            <w:r>
              <w:rPr>
                <w:rFonts w:hint="eastAsia"/>
                <w:color w:val="auto"/>
              </w:rPr>
              <w:t>氯化氢</w:t>
            </w:r>
            <w:r>
              <w:rPr>
                <w:rFonts w:hint="eastAsia"/>
                <w:color w:val="auto"/>
                <w:lang w:eastAsia="zh-CN"/>
              </w:rPr>
              <w:t>、</w:t>
            </w:r>
            <w:r>
              <w:rPr>
                <w:rFonts w:hint="eastAsia"/>
                <w:color w:val="auto"/>
              </w:rPr>
              <w:t>1，2二氯丙烷</w:t>
            </w:r>
            <w:r>
              <w:rPr>
                <w:rFonts w:hint="eastAsia"/>
                <w:color w:val="auto"/>
                <w:lang w:eastAsia="zh-CN"/>
              </w:rPr>
              <w:t>、</w:t>
            </w:r>
            <w:r>
              <w:rPr>
                <w:rFonts w:hint="eastAsia"/>
                <w:color w:val="auto"/>
              </w:rPr>
              <w:t>非甲烷总烃</w:t>
            </w:r>
          </w:p>
        </w:tc>
        <w:tc>
          <w:tcPr>
            <w:tcW w:w="688" w:type="pct"/>
            <w:tcBorders>
              <w:tl2br w:val="nil"/>
              <w:tr2bl w:val="nil"/>
            </w:tcBorders>
            <w:noWrap w:val="0"/>
            <w:vAlign w:val="center"/>
          </w:tcPr>
          <w:p>
            <w:pPr>
              <w:pStyle w:val="35"/>
              <w:bidi w:val="0"/>
              <w:rPr>
                <w:color w:val="auto"/>
              </w:rPr>
            </w:pPr>
            <w:r>
              <w:rPr>
                <w:rFonts w:hint="eastAsia"/>
                <w:color w:val="auto"/>
              </w:rPr>
              <w:t>间歇</w:t>
            </w:r>
          </w:p>
        </w:tc>
        <w:tc>
          <w:tcPr>
            <w:tcW w:w="1658" w:type="pct"/>
            <w:tcBorders>
              <w:tl2br w:val="nil"/>
              <w:tr2bl w:val="nil"/>
            </w:tcBorders>
            <w:noWrap w:val="0"/>
            <w:vAlign w:val="center"/>
          </w:tcPr>
          <w:p>
            <w:pPr>
              <w:pStyle w:val="35"/>
              <w:bidi w:val="0"/>
              <w:rPr>
                <w:color w:val="auto"/>
              </w:rPr>
            </w:pPr>
            <w:r>
              <w:rPr>
                <w:rFonts w:hint="eastAsia" w:ascii="Times New Roman" w:hAnsi="Times New Roman" w:cs="Times New Roman"/>
                <w:color w:val="auto"/>
                <w:u w:val="single"/>
                <w:lang w:val="en-US" w:eastAsia="zh-CN"/>
              </w:rPr>
              <w:t>冷凝处理+碱液喷淋＋炭吸附</w:t>
            </w:r>
            <w:r>
              <w:rPr>
                <w:rFonts w:hint="eastAsia"/>
                <w:color w:val="auto"/>
                <w:lang w:val="en-US" w:eastAsia="zh-CN"/>
              </w:rPr>
              <w:t>+</w:t>
            </w:r>
            <w:r>
              <w:rPr>
                <w:rFonts w:hint="eastAsia"/>
                <w:color w:val="auto"/>
              </w:rPr>
              <w:t>20</w:t>
            </w:r>
            <w:r>
              <w:rPr>
                <w:rFonts w:hint="eastAsia"/>
                <w:color w:val="auto"/>
                <w:lang w:val="en-US" w:eastAsia="zh-CN"/>
              </w:rPr>
              <w:t>m</w:t>
            </w:r>
            <w:r>
              <w:rPr>
                <w:rFonts w:hint="eastAsia"/>
                <w:color w:val="auto"/>
              </w:rPr>
              <w:t>高排气筒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7" w:hRule="atLeast"/>
        </w:trPr>
        <w:tc>
          <w:tcPr>
            <w:tcW w:w="620" w:type="pct"/>
            <w:tcBorders>
              <w:tl2br w:val="nil"/>
              <w:tr2bl w:val="nil"/>
            </w:tcBorders>
            <w:noWrap w:val="0"/>
            <w:vAlign w:val="center"/>
          </w:tcPr>
          <w:p>
            <w:pPr>
              <w:pStyle w:val="35"/>
              <w:bidi w:val="0"/>
              <w:rPr>
                <w:color w:val="auto"/>
              </w:rPr>
            </w:pPr>
            <w:r>
              <w:rPr>
                <w:rFonts w:hint="eastAsia"/>
                <w:color w:val="auto"/>
              </w:rPr>
              <w:t>固废</w:t>
            </w:r>
          </w:p>
        </w:tc>
        <w:tc>
          <w:tcPr>
            <w:tcW w:w="887" w:type="pct"/>
            <w:tcBorders>
              <w:tl2br w:val="nil"/>
              <w:tr2bl w:val="nil"/>
            </w:tcBorders>
            <w:noWrap w:val="0"/>
            <w:vAlign w:val="center"/>
          </w:tcPr>
          <w:p>
            <w:pPr>
              <w:pStyle w:val="35"/>
              <w:bidi w:val="0"/>
              <w:rPr>
                <w:color w:val="auto"/>
              </w:rPr>
            </w:pPr>
            <w:r>
              <w:rPr>
                <w:rFonts w:hint="eastAsia"/>
                <w:color w:val="auto"/>
              </w:rPr>
              <w:t>精馏残渣S1-1</w:t>
            </w:r>
          </w:p>
        </w:tc>
        <w:tc>
          <w:tcPr>
            <w:tcW w:w="1144" w:type="pct"/>
            <w:tcBorders>
              <w:tl2br w:val="nil"/>
              <w:tr2bl w:val="nil"/>
            </w:tcBorders>
            <w:noWrap w:val="0"/>
            <w:vAlign w:val="center"/>
          </w:tcPr>
          <w:p>
            <w:pPr>
              <w:pStyle w:val="35"/>
              <w:bidi w:val="0"/>
              <w:rPr>
                <w:color w:val="auto"/>
              </w:rPr>
            </w:pPr>
            <w:r>
              <w:rPr>
                <w:rFonts w:hint="eastAsia"/>
                <w:color w:val="auto"/>
              </w:rPr>
              <w:t>有机物</w:t>
            </w:r>
          </w:p>
        </w:tc>
        <w:tc>
          <w:tcPr>
            <w:tcW w:w="688" w:type="pct"/>
            <w:tcBorders>
              <w:tl2br w:val="nil"/>
              <w:tr2bl w:val="nil"/>
            </w:tcBorders>
            <w:noWrap w:val="0"/>
            <w:vAlign w:val="center"/>
          </w:tcPr>
          <w:p>
            <w:pPr>
              <w:pStyle w:val="35"/>
              <w:bidi w:val="0"/>
              <w:rPr>
                <w:color w:val="auto"/>
              </w:rPr>
            </w:pPr>
            <w:r>
              <w:rPr>
                <w:rFonts w:hint="eastAsia"/>
                <w:color w:val="auto"/>
              </w:rPr>
              <w:t>间歇</w:t>
            </w:r>
          </w:p>
        </w:tc>
        <w:tc>
          <w:tcPr>
            <w:tcW w:w="1658" w:type="pct"/>
            <w:tcBorders>
              <w:tl2br w:val="nil"/>
              <w:tr2bl w:val="nil"/>
            </w:tcBorders>
            <w:noWrap w:val="0"/>
            <w:vAlign w:val="center"/>
          </w:tcPr>
          <w:p>
            <w:pPr>
              <w:pStyle w:val="35"/>
              <w:bidi w:val="0"/>
              <w:rPr>
                <w:color w:val="auto"/>
              </w:rPr>
            </w:pPr>
            <w:r>
              <w:rPr>
                <w:rFonts w:hint="eastAsia"/>
                <w:color w:val="auto"/>
              </w:rPr>
              <w:t>交由资质单位处置。</w:t>
            </w:r>
          </w:p>
        </w:tc>
      </w:tr>
    </w:tbl>
    <w:p>
      <w:pPr>
        <w:pStyle w:val="33"/>
        <w:bidi w:val="0"/>
        <w:rPr>
          <w:b/>
          <w:bCs/>
          <w:color w:val="auto"/>
          <w:lang w:val="de-DE"/>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rPr>
        <w:t>环氧固化剂</w:t>
      </w:r>
      <w:r>
        <w:rPr>
          <w:rFonts w:hint="eastAsia"/>
          <w:b/>
          <w:bCs/>
          <w:color w:val="auto"/>
          <w:lang w:val="de-DE"/>
        </w:rPr>
        <w:t>生产工艺及产污环节</w:t>
      </w:r>
    </w:p>
    <w:p>
      <w:pPr>
        <w:pStyle w:val="33"/>
        <w:bidi w:val="0"/>
        <w:rPr>
          <w:b/>
          <w:bCs/>
          <w:color w:val="auto"/>
        </w:rPr>
      </w:pPr>
      <w:r>
        <w:rPr>
          <w:rFonts w:hint="eastAsia"/>
          <w:b/>
          <w:bCs/>
          <w:color w:val="auto"/>
          <w:lang w:val="en-US" w:eastAsia="zh-CN"/>
        </w:rPr>
        <w:t>1、</w:t>
      </w:r>
      <w:r>
        <w:rPr>
          <w:rFonts w:hint="eastAsia"/>
          <w:b/>
          <w:bCs/>
          <w:color w:val="auto"/>
        </w:rPr>
        <w:t>T-31固化剂生产</w:t>
      </w:r>
    </w:p>
    <w:p>
      <w:pPr>
        <w:pStyle w:val="33"/>
        <w:bidi w:val="0"/>
        <w:rPr>
          <w:rFonts w:hint="eastAsia"/>
          <w:color w:val="auto"/>
          <w:lang w:eastAsia="zh-CN"/>
        </w:rPr>
      </w:pPr>
      <w:r>
        <w:rPr>
          <w:rFonts w:hint="eastAsia"/>
          <w:color w:val="auto"/>
          <w:lang w:eastAsia="zh-CN"/>
        </w:rPr>
        <w:t>本项目采用固体甲醛法生产</w:t>
      </w:r>
      <w:r>
        <w:rPr>
          <w:rFonts w:hint="eastAsia"/>
          <w:color w:val="auto"/>
          <w:lang w:val="en-US" w:eastAsia="zh-CN"/>
        </w:rPr>
        <w:t>T31固化剂，固体甲醛法与液体甲醛法相比的突出优点如下：①采用固体甲醛，引入的水量少，所产生的废水也少。②反应时间和脱水时间缩短，大幅度降低能耗。③产品透明度好，质量高，成本较低。④反应条件温和，甲醛逸散大大减少,基本对环境无污染。⑤产品不溶于水也不吸湿，水分的存在对固化反应几乎无影响。</w:t>
      </w:r>
    </w:p>
    <w:p>
      <w:pPr>
        <w:pStyle w:val="33"/>
        <w:bidi w:val="0"/>
        <w:rPr>
          <w:rFonts w:hint="eastAsia"/>
          <w:color w:val="auto"/>
        </w:rPr>
      </w:pPr>
      <w:r>
        <w:rPr>
          <w:rFonts w:hint="eastAsia"/>
          <w:color w:val="auto"/>
        </w:rPr>
        <w:t>（1）工艺流程</w:t>
      </w:r>
      <w:r>
        <w:rPr>
          <w:rFonts w:hint="eastAsia"/>
          <w:color w:val="auto"/>
          <w:lang w:eastAsia="zh-CN"/>
        </w:rPr>
        <w:t>及产污环节分析</w:t>
      </w:r>
    </w:p>
    <w:p>
      <w:pPr>
        <w:pStyle w:val="33"/>
        <w:bidi w:val="0"/>
        <w:rPr>
          <w:rFonts w:hint="eastAsia"/>
          <w:color w:val="auto"/>
          <w:lang w:eastAsia="zh-CN"/>
        </w:rPr>
      </w:pPr>
      <w:r>
        <w:rPr>
          <w:rFonts w:hint="eastAsia"/>
          <w:color w:val="auto"/>
        </w:rPr>
        <w:t>①</w:t>
      </w:r>
      <w:r>
        <w:rPr>
          <w:rFonts w:hint="eastAsia"/>
          <w:color w:val="auto"/>
          <w:lang w:eastAsia="zh-CN"/>
        </w:rPr>
        <w:t>原料储存、转运</w:t>
      </w:r>
    </w:p>
    <w:p>
      <w:pPr>
        <w:pStyle w:val="33"/>
        <w:bidi w:val="0"/>
        <w:rPr>
          <w:rFonts w:hint="eastAsia"/>
          <w:color w:val="auto"/>
          <w:lang w:eastAsia="zh-CN"/>
        </w:rPr>
      </w:pPr>
      <w:r>
        <w:rPr>
          <w:rFonts w:hint="eastAsia"/>
          <w:color w:val="auto"/>
          <w:lang w:eastAsia="zh-CN"/>
        </w:rPr>
        <w:t>乙二胺等液体原料由</w:t>
      </w:r>
      <w:r>
        <w:rPr>
          <w:rFonts w:hint="eastAsia"/>
          <w:color w:val="auto"/>
          <w:lang w:val="en-US" w:eastAsia="zh-CN"/>
        </w:rPr>
        <w:t>200kg原料桶存放至原料库，多聚甲醛、苯酚等固体原料由25kg/袋储存于原料库中</w:t>
      </w:r>
      <w:r>
        <w:rPr>
          <w:rFonts w:hint="eastAsia"/>
          <w:color w:val="auto"/>
        </w:rPr>
        <w:t>，</w:t>
      </w:r>
      <w:r>
        <w:rPr>
          <w:rFonts w:hint="eastAsia"/>
          <w:color w:val="auto"/>
          <w:lang w:eastAsia="zh-CN"/>
        </w:rPr>
        <w:t>原料均由人工转运至生产车间。各包装桶使用后立即将盖子扣好、拧紧。</w:t>
      </w:r>
    </w:p>
    <w:p>
      <w:pPr>
        <w:pStyle w:val="33"/>
        <w:bidi w:val="0"/>
        <w:rPr>
          <w:rFonts w:hint="eastAsia"/>
          <w:color w:val="auto"/>
        </w:rPr>
      </w:pPr>
      <w:r>
        <w:rPr>
          <w:rFonts w:hint="eastAsia"/>
          <w:color w:val="auto"/>
        </w:rPr>
        <w:t>②</w:t>
      </w:r>
      <w:r>
        <w:rPr>
          <w:rFonts w:hint="eastAsia"/>
          <w:color w:val="auto"/>
          <w:lang w:eastAsia="zh-CN"/>
        </w:rPr>
        <w:t>缩合</w:t>
      </w:r>
      <w:r>
        <w:rPr>
          <w:rFonts w:hint="eastAsia"/>
          <w:color w:val="auto"/>
        </w:rPr>
        <w:t>反应</w:t>
      </w:r>
    </w:p>
    <w:p>
      <w:pPr>
        <w:pStyle w:val="33"/>
        <w:bidi w:val="0"/>
        <w:rPr>
          <w:rFonts w:hint="eastAsia"/>
          <w:color w:val="auto"/>
        </w:rPr>
      </w:pPr>
      <w:r>
        <w:rPr>
          <w:rFonts w:hint="eastAsia"/>
          <w:color w:val="auto"/>
        </w:rPr>
        <w:t>反应釜内通入高纯氮气，</w:t>
      </w:r>
      <w:r>
        <w:rPr>
          <w:rFonts w:hint="eastAsia"/>
          <w:color w:val="auto"/>
          <w:lang w:eastAsia="zh-CN"/>
        </w:rPr>
        <w:t>真空吸料泵抽真空吸</w:t>
      </w:r>
      <w:r>
        <w:rPr>
          <w:rFonts w:hint="eastAsia"/>
          <w:color w:val="auto"/>
        </w:rPr>
        <w:t>入乙二胺，升温至65+5℃，</w:t>
      </w:r>
      <w:r>
        <w:rPr>
          <w:rFonts w:hint="eastAsia"/>
          <w:color w:val="auto"/>
          <w:lang w:eastAsia="zh-CN"/>
        </w:rPr>
        <w:t>采用密闭投料器</w:t>
      </w:r>
      <w:r>
        <w:rPr>
          <w:rFonts w:hint="eastAsia"/>
          <w:color w:val="auto"/>
        </w:rPr>
        <w:t>分4次（30min/次）加入多聚甲醛</w:t>
      </w:r>
      <w:r>
        <w:rPr>
          <w:rFonts w:hint="eastAsia"/>
          <w:color w:val="auto"/>
          <w:lang w:eastAsia="zh-CN"/>
        </w:rPr>
        <w:t>（粉末）</w:t>
      </w:r>
      <w:r>
        <w:rPr>
          <w:rFonts w:hint="eastAsia"/>
          <w:color w:val="auto"/>
        </w:rPr>
        <w:t>，缓慢搅拌</w:t>
      </w:r>
      <w:r>
        <w:rPr>
          <w:rFonts w:hint="eastAsia"/>
          <w:color w:val="auto"/>
          <w:lang w:eastAsia="zh-CN"/>
        </w:rPr>
        <w:t>均匀后，再通过密闭投料器</w:t>
      </w:r>
      <w:r>
        <w:rPr>
          <w:rFonts w:hint="eastAsia"/>
          <w:color w:val="auto"/>
        </w:rPr>
        <w:t>投入苯酚，升温至90℃，缓慢搅拌进行曼尼</w:t>
      </w:r>
      <w:r>
        <w:rPr>
          <w:rFonts w:hint="eastAsia"/>
          <w:color w:val="auto"/>
          <w:lang w:eastAsia="zh-CN"/>
        </w:rPr>
        <w:t>希</w:t>
      </w:r>
      <w:r>
        <w:rPr>
          <w:rFonts w:hint="eastAsia"/>
          <w:color w:val="auto"/>
        </w:rPr>
        <w:t>反应，又称胺甲基化反应</w:t>
      </w:r>
      <w:r>
        <w:rPr>
          <w:rFonts w:hint="eastAsia"/>
          <w:color w:val="auto"/>
          <w:lang w:eastAsia="zh-CN"/>
        </w:rPr>
        <w:t>，</w:t>
      </w:r>
      <w:r>
        <w:rPr>
          <w:rFonts w:hint="eastAsia"/>
          <w:color w:val="auto"/>
        </w:rPr>
        <w:t>是胺、醛、酚3种组分不对称缩合过程</w:t>
      </w:r>
      <w:r>
        <w:rPr>
          <w:rFonts w:hint="eastAsia"/>
          <w:color w:val="auto"/>
          <w:lang w:eastAsia="zh-CN"/>
        </w:rPr>
        <w:t>，</w:t>
      </w:r>
      <w:r>
        <w:rPr>
          <w:rFonts w:hint="eastAsia"/>
          <w:color w:val="auto"/>
        </w:rPr>
        <w:t>最后成为多种成分的混合物</w:t>
      </w:r>
      <w:r>
        <w:rPr>
          <w:rFonts w:hint="eastAsia"/>
          <w:color w:val="auto"/>
          <w:lang w:eastAsia="zh-CN"/>
        </w:rPr>
        <w:t>。</w:t>
      </w:r>
      <w:r>
        <w:rPr>
          <w:rFonts w:hint="eastAsia"/>
          <w:color w:val="auto"/>
        </w:rPr>
        <w:t>化学反应方程式为：</w:t>
      </w:r>
    </w:p>
    <w:p>
      <w:pPr>
        <w:keepNext w:val="0"/>
        <w:keepLines w:val="0"/>
        <w:pageBreakBefore w:val="0"/>
        <w:widowControl w:val="0"/>
        <w:kinsoku/>
        <w:wordWrap/>
        <w:overflowPunct/>
        <w:topLinePunct w:val="0"/>
        <w:autoSpaceDE/>
        <w:autoSpaceDN/>
        <w:bidi w:val="0"/>
        <w:spacing w:line="360" w:lineRule="auto"/>
        <w:ind w:left="0" w:leftChars="0" w:right="0" w:rightChars="0" w:firstLine="480"/>
        <w:jc w:val="center"/>
        <w:textAlignment w:val="auto"/>
        <w:outlineLvl w:val="9"/>
        <w:rPr>
          <w:rFonts w:ascii="Times New Roman" w:hAnsi="Times New Roman"/>
          <w:caps w:val="0"/>
          <w:smallCaps w:val="0"/>
          <w:color w:val="auto"/>
          <w:sz w:val="24"/>
          <w:szCs w:val="24"/>
          <w:u w:val="single"/>
        </w:rPr>
      </w:pPr>
      <w:r>
        <w:rPr>
          <w:rFonts w:ascii="Times New Roman" w:hAnsi="Times New Roman"/>
          <w:caps w:val="0"/>
          <w:smallCaps w:val="0"/>
          <w:color w:val="auto"/>
          <w:u w:val="none"/>
        </w:rPr>
        <w:drawing>
          <wp:inline distT="0" distB="0" distL="114300" distR="114300">
            <wp:extent cx="4695190" cy="2257425"/>
            <wp:effectExtent l="0" t="0" r="10160" b="9525"/>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pic:cNvPicPr>
                  </pic:nvPicPr>
                  <pic:blipFill>
                    <a:blip r:embed="rId22"/>
                    <a:stretch>
                      <a:fillRect/>
                    </a:stretch>
                  </pic:blipFill>
                  <pic:spPr>
                    <a:xfrm>
                      <a:off x="0" y="0"/>
                      <a:ext cx="4695190" cy="2257425"/>
                    </a:xfrm>
                    <a:prstGeom prst="rect">
                      <a:avLst/>
                    </a:prstGeom>
                    <a:noFill/>
                    <a:ln>
                      <a:noFill/>
                    </a:ln>
                  </pic:spPr>
                </pic:pic>
              </a:graphicData>
            </a:graphic>
          </wp:inline>
        </w:drawing>
      </w:r>
    </w:p>
    <w:p>
      <w:pPr>
        <w:pStyle w:val="33"/>
        <w:bidi w:val="0"/>
        <w:rPr>
          <w:rFonts w:hint="eastAsia"/>
          <w:color w:val="auto"/>
          <w:lang w:eastAsia="zh-CN"/>
        </w:rPr>
      </w:pPr>
      <w:r>
        <w:rPr>
          <w:rFonts w:hint="eastAsia"/>
          <w:color w:val="auto"/>
        </w:rPr>
        <w:t>③</w:t>
      </w:r>
      <w:r>
        <w:rPr>
          <w:rFonts w:hint="eastAsia"/>
          <w:color w:val="auto"/>
          <w:lang w:eastAsia="zh-CN"/>
        </w:rPr>
        <w:t>精馏脱溶</w:t>
      </w:r>
    </w:p>
    <w:p>
      <w:pPr>
        <w:pStyle w:val="33"/>
        <w:bidi w:val="0"/>
        <w:rPr>
          <w:color w:val="auto"/>
        </w:rPr>
      </w:pPr>
      <w:r>
        <w:rPr>
          <w:rFonts w:hint="eastAsia"/>
          <w:color w:val="auto"/>
        </w:rPr>
        <w:t>反应完毕，</w:t>
      </w:r>
      <w:r>
        <w:rPr>
          <w:color w:val="auto"/>
        </w:rPr>
        <w:t>开真空泵减压蒸馏脱</w:t>
      </w:r>
      <w:r>
        <w:rPr>
          <w:rFonts w:hint="eastAsia"/>
          <w:color w:val="auto"/>
          <w:lang w:eastAsia="zh-CN"/>
        </w:rPr>
        <w:t>溶，冷凝液中</w:t>
      </w:r>
      <w:r>
        <w:rPr>
          <w:rFonts w:hint="eastAsia"/>
          <w:color w:val="auto"/>
        </w:rPr>
        <w:t>含</w:t>
      </w:r>
      <w:r>
        <w:rPr>
          <w:color w:val="auto"/>
        </w:rPr>
        <w:t>乙二胺</w:t>
      </w:r>
      <w:r>
        <w:rPr>
          <w:rFonts w:hint="eastAsia"/>
          <w:color w:val="auto"/>
          <w:lang w:eastAsia="zh-CN"/>
        </w:rPr>
        <w:t>、苯酚、甲醛等</w:t>
      </w:r>
      <w:r>
        <w:rPr>
          <w:color w:val="auto"/>
        </w:rPr>
        <w:t>，</w:t>
      </w:r>
      <w:r>
        <w:rPr>
          <w:rFonts w:hint="eastAsia"/>
          <w:color w:val="auto"/>
          <w:lang w:eastAsia="zh-CN"/>
        </w:rPr>
        <w:t>经接受罐收集后返回生产工序重新利用，不外排</w:t>
      </w:r>
      <w:r>
        <w:rPr>
          <w:rFonts w:hint="eastAsia"/>
          <w:color w:val="auto"/>
        </w:rPr>
        <w:t>。</w:t>
      </w:r>
      <w:r>
        <w:rPr>
          <w:rFonts w:hint="eastAsia"/>
          <w:color w:val="auto"/>
          <w:lang w:eastAsia="zh-CN"/>
        </w:rPr>
        <w:t>减压精馏</w:t>
      </w:r>
      <w:r>
        <w:rPr>
          <w:rFonts w:hint="eastAsia"/>
          <w:color w:val="auto"/>
        </w:rPr>
        <w:t>真空泵尾气</w:t>
      </w:r>
      <w:r>
        <w:rPr>
          <w:rFonts w:hint="eastAsia"/>
          <w:color w:val="auto"/>
          <w:lang w:eastAsia="zh-CN"/>
        </w:rPr>
        <w:t>含乙二胺、酚类、甲醛等，</w:t>
      </w:r>
      <w:r>
        <w:rPr>
          <w:rFonts w:hint="eastAsia"/>
          <w:color w:val="auto"/>
        </w:rPr>
        <w:t>进</w:t>
      </w:r>
      <w:r>
        <w:rPr>
          <w:rFonts w:hint="eastAsia"/>
          <w:color w:val="auto"/>
          <w:lang w:eastAsia="zh-CN"/>
        </w:rPr>
        <w:t>“冷凝</w:t>
      </w:r>
      <w:r>
        <w:rPr>
          <w:rFonts w:hint="eastAsia"/>
          <w:color w:val="auto"/>
          <w:lang w:val="en-US" w:eastAsia="zh-CN"/>
        </w:rPr>
        <w:t>+</w:t>
      </w:r>
      <w:r>
        <w:rPr>
          <w:rFonts w:hint="eastAsia"/>
          <w:color w:val="auto"/>
          <w:lang w:eastAsia="zh-CN"/>
        </w:rPr>
        <w:t>碱液吸</w:t>
      </w:r>
      <w:r>
        <w:rPr>
          <w:rFonts w:hint="eastAsia"/>
          <w:color w:val="auto"/>
          <w:lang w:val="en-US" w:eastAsia="zh-CN"/>
        </w:rPr>
        <w:t>收+UV光解装置”</w:t>
      </w:r>
      <w:r>
        <w:rPr>
          <w:rFonts w:hint="eastAsia"/>
          <w:color w:val="auto"/>
        </w:rPr>
        <w:t>处理后经</w:t>
      </w:r>
      <w:r>
        <w:rPr>
          <w:rFonts w:hint="eastAsia"/>
          <w:color w:val="auto"/>
          <w:lang w:val="en-US" w:eastAsia="zh-CN"/>
        </w:rPr>
        <w:t>20</w:t>
      </w:r>
      <w:r>
        <w:rPr>
          <w:rFonts w:hint="eastAsia"/>
          <w:color w:val="auto"/>
        </w:rPr>
        <w:t>米高排气筒排放。</w:t>
      </w:r>
    </w:p>
    <w:p>
      <w:pPr>
        <w:pStyle w:val="33"/>
        <w:bidi w:val="0"/>
        <w:rPr>
          <w:rFonts w:hint="eastAsia"/>
          <w:color w:val="auto"/>
          <w:lang w:eastAsia="zh-CN"/>
        </w:rPr>
      </w:pPr>
      <w:r>
        <w:rPr>
          <w:rFonts w:hint="eastAsia"/>
          <w:color w:val="auto"/>
          <w:lang w:eastAsia="zh-CN"/>
        </w:rPr>
        <w:t>④稀释过滤</w:t>
      </w:r>
    </w:p>
    <w:p>
      <w:pPr>
        <w:pStyle w:val="33"/>
        <w:bidi w:val="0"/>
        <w:rPr>
          <w:color w:val="auto"/>
        </w:rPr>
      </w:pPr>
      <w:r>
        <w:rPr>
          <w:rFonts w:hint="eastAsia"/>
          <w:color w:val="auto"/>
          <w:lang w:eastAsia="zh-CN"/>
        </w:rPr>
        <w:t>母液</w:t>
      </w:r>
      <w:r>
        <w:rPr>
          <w:rFonts w:hint="eastAsia"/>
          <w:color w:val="auto"/>
        </w:rPr>
        <w:t>冷却降</w:t>
      </w:r>
      <w:r>
        <w:rPr>
          <w:rFonts w:hint="eastAsia"/>
          <w:color w:val="auto"/>
          <w:lang w:eastAsia="zh-CN"/>
        </w:rPr>
        <w:t>至常</w:t>
      </w:r>
      <w:r>
        <w:rPr>
          <w:rFonts w:hint="eastAsia"/>
          <w:color w:val="auto"/>
        </w:rPr>
        <w:t>温后，加入助剂稀释剂（二丁脂、甲醇、二氯丙</w:t>
      </w:r>
      <w:r>
        <w:rPr>
          <w:rFonts w:hint="eastAsia"/>
          <w:color w:val="auto"/>
          <w:lang w:eastAsia="zh-CN"/>
        </w:rPr>
        <w:t>烷</w:t>
      </w:r>
      <w:r>
        <w:rPr>
          <w:rFonts w:hint="eastAsia"/>
          <w:color w:val="auto"/>
        </w:rPr>
        <w:t>等）进行兑稀混配，检验合格后通过机械式密封过滤网（200目）过滤进行落料包装。产品过滤包装时有少许残渣，采用铁桶盛装后，定期送资质单位处置。</w:t>
      </w:r>
    </w:p>
    <w:p>
      <w:pPr>
        <w:spacing w:line="360" w:lineRule="auto"/>
        <w:ind w:firstLine="480"/>
        <w:jc w:val="center"/>
        <w:rPr>
          <w:rFonts w:ascii="Times New Roman" w:hAnsi="Times New Roman"/>
          <w:caps w:val="0"/>
          <w:smallCaps w:val="0"/>
          <w:color w:val="auto"/>
          <w:u w:val="single"/>
        </w:rPr>
      </w:pPr>
      <w:r>
        <w:rPr>
          <w:rFonts w:ascii="Times New Roman" w:hAnsi="Times New Roman"/>
          <w:caps w:val="0"/>
          <w:smallCaps w:val="0"/>
          <w:color w:val="auto"/>
          <w:u w:val="none"/>
        </w:rPr>
        <w:object>
          <v:shape id="_x0000_i1027" o:spt="75" type="#_x0000_t75" style="height:340pt;width:403.85pt;" o:ole="t" filled="f" o:preferrelative="t" stroked="f" coordsize="21600,21600">
            <v:path/>
            <v:fill on="f" focussize="0,0"/>
            <v:stroke on="f"/>
            <v:imagedata r:id="rId24" o:title=""/>
            <o:lock v:ext="edit" aspectratio="t"/>
            <w10:wrap type="none"/>
            <w10:anchorlock/>
          </v:shape>
          <o:OLEObject Type="Embed" ProgID="Visio.Drawing.11" ShapeID="_x0000_i1027" DrawAspect="Content" ObjectID="_1468075727" r:id="rId23">
            <o:LockedField>false</o:LockedField>
          </o:OLEObject>
        </w:object>
      </w:r>
    </w:p>
    <w:p>
      <w:pPr>
        <w:pStyle w:val="36"/>
        <w:bidi w:val="0"/>
        <w:rPr>
          <w:color w:val="auto"/>
        </w:rPr>
      </w:pPr>
      <w:r>
        <w:rPr>
          <w:rFonts w:hint="eastAsia"/>
          <w:color w:val="auto"/>
        </w:rPr>
        <w:t>图</w:t>
      </w:r>
      <w:r>
        <w:rPr>
          <w:rFonts w:hint="eastAsia"/>
          <w:color w:val="auto"/>
          <w:lang w:val="en-US" w:eastAsia="zh-CN"/>
        </w:rPr>
        <w:t>3.2-5</w:t>
      </w:r>
      <w:r>
        <w:rPr>
          <w:rFonts w:hint="eastAsia"/>
          <w:color w:val="auto"/>
        </w:rPr>
        <w:t xml:space="preserve">  T-31固化剂工艺流程及产污环节图</w:t>
      </w:r>
    </w:p>
    <w:p>
      <w:pPr>
        <w:pStyle w:val="33"/>
        <w:bidi w:val="0"/>
        <w:rPr>
          <w:rFonts w:hint="eastAsia"/>
          <w:color w:val="auto"/>
        </w:rPr>
      </w:pPr>
      <w:r>
        <w:rPr>
          <w:rFonts w:hint="eastAsia"/>
          <w:color w:val="auto"/>
        </w:rPr>
        <w:t>（2）产污</w:t>
      </w:r>
      <w:r>
        <w:rPr>
          <w:rFonts w:hint="eastAsia"/>
          <w:color w:val="auto"/>
          <w:lang w:eastAsia="zh-CN"/>
        </w:rPr>
        <w:t>环节分析</w:t>
      </w:r>
    </w:p>
    <w:p>
      <w:pPr>
        <w:pStyle w:val="33"/>
        <w:bidi w:val="0"/>
        <w:rPr>
          <w:rFonts w:hint="eastAsia"/>
          <w:color w:val="auto"/>
          <w:lang w:eastAsia="zh-CN"/>
        </w:rPr>
      </w:pPr>
      <w:r>
        <w:rPr>
          <w:rFonts w:hint="eastAsia"/>
          <w:color w:val="auto"/>
          <w:lang w:val="en-US" w:eastAsia="zh-CN"/>
        </w:rPr>
        <w:t>①</w:t>
      </w:r>
      <w:r>
        <w:rPr>
          <w:rFonts w:hint="eastAsia"/>
          <w:color w:val="auto"/>
          <w:lang w:eastAsia="zh-CN"/>
        </w:rPr>
        <w:t>废气</w:t>
      </w:r>
    </w:p>
    <w:p>
      <w:pPr>
        <w:pStyle w:val="33"/>
        <w:bidi w:val="0"/>
        <w:rPr>
          <w:rFonts w:hint="eastAsia" w:ascii="Times New Roman" w:hAnsi="Times New Roman" w:eastAsia="宋体" w:cs="宋体"/>
          <w:caps w:val="0"/>
          <w:smallCaps w:val="0"/>
          <w:color w:val="auto"/>
          <w:sz w:val="24"/>
          <w:szCs w:val="24"/>
          <w:u w:val="none"/>
        </w:rPr>
      </w:pPr>
      <w:r>
        <w:rPr>
          <w:rFonts w:hint="eastAsia" w:ascii="Times New Roman" w:hAnsi="Times New Roman" w:eastAsia="宋体" w:cs="宋体"/>
          <w:bCs/>
          <w:caps w:val="0"/>
          <w:smallCaps w:val="0"/>
          <w:color w:val="auto"/>
          <w:kern w:val="24"/>
          <w:sz w:val="24"/>
          <w:szCs w:val="24"/>
          <w:u w:val="none"/>
          <w:lang w:eastAsia="zh-CN"/>
        </w:rPr>
        <w:t>生产过程中，废气产生环节主要有：真空吸料泵尾气</w:t>
      </w:r>
      <w:r>
        <w:rPr>
          <w:rFonts w:hint="eastAsia" w:ascii="Times New Roman" w:hAnsi="Times New Roman" w:eastAsia="宋体" w:cs="宋体"/>
          <w:b/>
          <w:caps w:val="0"/>
          <w:smallCaps w:val="0"/>
          <w:color w:val="auto"/>
          <w:sz w:val="24"/>
          <w:u w:val="none"/>
          <w:lang w:val="zh-CN"/>
        </w:rPr>
        <w:t>G</w:t>
      </w:r>
      <w:r>
        <w:rPr>
          <w:rFonts w:hint="eastAsia" w:ascii="Times New Roman" w:hAnsi="Times New Roman" w:eastAsia="宋体" w:cs="宋体"/>
          <w:b/>
          <w:caps w:val="0"/>
          <w:smallCaps w:val="0"/>
          <w:color w:val="auto"/>
          <w:sz w:val="16"/>
          <w:u w:val="none"/>
          <w:lang w:val="en-US" w:eastAsia="zh-CN"/>
        </w:rPr>
        <w:t>2</w:t>
      </w:r>
      <w:r>
        <w:rPr>
          <w:rFonts w:hint="eastAsia" w:ascii="Times New Roman" w:hAnsi="Times New Roman" w:eastAsia="宋体" w:cs="宋体"/>
          <w:b/>
          <w:caps w:val="0"/>
          <w:smallCaps w:val="0"/>
          <w:color w:val="auto"/>
          <w:sz w:val="16"/>
          <w:u w:val="none"/>
          <w:lang w:val="zh-CN"/>
        </w:rPr>
        <w:t>-1</w:t>
      </w:r>
      <w:r>
        <w:rPr>
          <w:rFonts w:hint="eastAsia" w:ascii="Times New Roman" w:hAnsi="Times New Roman" w:eastAsia="宋体" w:cs="宋体"/>
          <w:bCs/>
          <w:caps w:val="0"/>
          <w:smallCaps w:val="0"/>
          <w:color w:val="auto"/>
          <w:kern w:val="24"/>
          <w:sz w:val="24"/>
          <w:szCs w:val="24"/>
          <w:u w:val="none"/>
          <w:lang w:eastAsia="zh-CN"/>
        </w:rPr>
        <w:t>、反应釜回流冷凝器尾气</w:t>
      </w:r>
      <w:r>
        <w:rPr>
          <w:rFonts w:hint="eastAsia" w:ascii="Times New Roman" w:hAnsi="Times New Roman" w:eastAsia="宋体" w:cs="宋体"/>
          <w:b/>
          <w:caps w:val="0"/>
          <w:smallCaps w:val="0"/>
          <w:color w:val="auto"/>
          <w:sz w:val="24"/>
          <w:u w:val="none"/>
          <w:lang w:val="zh-CN"/>
        </w:rPr>
        <w:t>G</w:t>
      </w:r>
      <w:r>
        <w:rPr>
          <w:rFonts w:hint="eastAsia" w:ascii="Times New Roman" w:hAnsi="Times New Roman" w:eastAsia="宋体" w:cs="宋体"/>
          <w:b/>
          <w:caps w:val="0"/>
          <w:smallCaps w:val="0"/>
          <w:color w:val="auto"/>
          <w:sz w:val="16"/>
          <w:u w:val="none"/>
          <w:lang w:val="en-US" w:eastAsia="zh-CN"/>
        </w:rPr>
        <w:t>2</w:t>
      </w:r>
      <w:r>
        <w:rPr>
          <w:rFonts w:hint="eastAsia" w:ascii="Times New Roman" w:hAnsi="Times New Roman" w:eastAsia="宋体" w:cs="宋体"/>
          <w:b/>
          <w:caps w:val="0"/>
          <w:smallCaps w:val="0"/>
          <w:color w:val="auto"/>
          <w:sz w:val="16"/>
          <w:u w:val="none"/>
          <w:lang w:val="zh-CN"/>
        </w:rPr>
        <w:t>-</w:t>
      </w:r>
      <w:r>
        <w:rPr>
          <w:rFonts w:hint="eastAsia" w:ascii="Times New Roman" w:hAnsi="Times New Roman" w:eastAsia="宋体" w:cs="宋体"/>
          <w:b/>
          <w:caps w:val="0"/>
          <w:smallCaps w:val="0"/>
          <w:color w:val="auto"/>
          <w:sz w:val="16"/>
          <w:u w:val="none"/>
          <w:lang w:val="en-US" w:eastAsia="zh-CN"/>
        </w:rPr>
        <w:t>2</w:t>
      </w:r>
      <w:r>
        <w:rPr>
          <w:rFonts w:hint="eastAsia" w:ascii="Times New Roman" w:hAnsi="Times New Roman" w:eastAsia="宋体" w:cs="宋体"/>
          <w:bCs/>
          <w:caps w:val="0"/>
          <w:smallCaps w:val="0"/>
          <w:color w:val="auto"/>
          <w:kern w:val="24"/>
          <w:sz w:val="24"/>
          <w:szCs w:val="24"/>
          <w:u w:val="none"/>
          <w:lang w:eastAsia="zh-CN"/>
        </w:rPr>
        <w:t>、脱溶减压精馏真空尾气</w:t>
      </w:r>
      <w:r>
        <w:rPr>
          <w:rFonts w:hint="eastAsia" w:ascii="Times New Roman" w:hAnsi="Times New Roman" w:eastAsia="宋体" w:cs="宋体"/>
          <w:b/>
          <w:caps w:val="0"/>
          <w:smallCaps w:val="0"/>
          <w:color w:val="auto"/>
          <w:sz w:val="24"/>
          <w:u w:val="none"/>
          <w:lang w:val="zh-CN"/>
        </w:rPr>
        <w:t>G</w:t>
      </w:r>
      <w:r>
        <w:rPr>
          <w:rFonts w:hint="eastAsia" w:ascii="Times New Roman" w:hAnsi="Times New Roman" w:eastAsia="宋体" w:cs="宋体"/>
          <w:b/>
          <w:caps w:val="0"/>
          <w:smallCaps w:val="0"/>
          <w:color w:val="auto"/>
          <w:sz w:val="16"/>
          <w:u w:val="none"/>
          <w:lang w:val="en-US" w:eastAsia="zh-CN"/>
        </w:rPr>
        <w:t>2</w:t>
      </w:r>
      <w:r>
        <w:rPr>
          <w:rFonts w:hint="eastAsia" w:ascii="Times New Roman" w:hAnsi="Times New Roman" w:eastAsia="宋体" w:cs="宋体"/>
          <w:b/>
          <w:caps w:val="0"/>
          <w:smallCaps w:val="0"/>
          <w:color w:val="auto"/>
          <w:sz w:val="16"/>
          <w:u w:val="none"/>
          <w:lang w:val="zh-CN"/>
        </w:rPr>
        <w:t>-</w:t>
      </w:r>
      <w:r>
        <w:rPr>
          <w:rFonts w:hint="eastAsia" w:ascii="Times New Roman" w:hAnsi="Times New Roman" w:eastAsia="宋体" w:cs="宋体"/>
          <w:b/>
          <w:caps w:val="0"/>
          <w:smallCaps w:val="0"/>
          <w:color w:val="auto"/>
          <w:sz w:val="16"/>
          <w:u w:val="none"/>
          <w:lang w:val="en-US" w:eastAsia="zh-CN"/>
        </w:rPr>
        <w:t>3</w:t>
      </w:r>
      <w:r>
        <w:rPr>
          <w:rFonts w:hint="eastAsia" w:ascii="Times New Roman" w:hAnsi="Times New Roman" w:eastAsia="宋体" w:cs="宋体"/>
          <w:bCs/>
          <w:caps w:val="0"/>
          <w:smallCaps w:val="0"/>
          <w:color w:val="auto"/>
          <w:kern w:val="24"/>
          <w:sz w:val="24"/>
          <w:szCs w:val="24"/>
          <w:u w:val="none"/>
          <w:lang w:eastAsia="zh-CN"/>
        </w:rPr>
        <w:t>，均</w:t>
      </w:r>
      <w:r>
        <w:rPr>
          <w:rFonts w:hint="eastAsia" w:ascii="Times New Roman" w:hAnsi="Times New Roman" w:eastAsia="宋体" w:cs="宋体"/>
          <w:caps w:val="0"/>
          <w:smallCaps w:val="0"/>
          <w:color w:val="auto"/>
          <w:sz w:val="24"/>
          <w:szCs w:val="24"/>
          <w:u w:val="none"/>
        </w:rPr>
        <w:t>进</w:t>
      </w:r>
      <w:r>
        <w:rPr>
          <w:rFonts w:hint="eastAsia" w:ascii="Times New Roman" w:hAnsi="Times New Roman" w:eastAsia="宋体" w:cs="宋体"/>
          <w:caps w:val="0"/>
          <w:smallCaps w:val="0"/>
          <w:color w:val="auto"/>
          <w:sz w:val="24"/>
          <w:szCs w:val="24"/>
          <w:u w:val="none"/>
          <w:lang w:eastAsia="zh-CN"/>
        </w:rPr>
        <w:t>“冷凝</w:t>
      </w:r>
      <w:r>
        <w:rPr>
          <w:rFonts w:hint="eastAsia" w:ascii="Times New Roman" w:hAnsi="Times New Roman" w:eastAsia="宋体" w:cs="宋体"/>
          <w:caps w:val="0"/>
          <w:smallCaps w:val="0"/>
          <w:color w:val="auto"/>
          <w:sz w:val="24"/>
          <w:szCs w:val="24"/>
          <w:u w:val="none"/>
          <w:lang w:val="en-US" w:eastAsia="zh-CN"/>
        </w:rPr>
        <w:t>+</w:t>
      </w:r>
      <w:r>
        <w:rPr>
          <w:rFonts w:hint="eastAsia" w:ascii="Times New Roman" w:hAnsi="Times New Roman" w:eastAsia="宋体" w:cs="宋体"/>
          <w:caps w:val="0"/>
          <w:smallCaps w:val="0"/>
          <w:color w:val="auto"/>
          <w:sz w:val="24"/>
          <w:szCs w:val="24"/>
          <w:u w:val="none"/>
          <w:lang w:eastAsia="zh-CN"/>
        </w:rPr>
        <w:t>碱液吸收</w:t>
      </w:r>
      <w:r>
        <w:rPr>
          <w:rFonts w:hint="eastAsia" w:ascii="Times New Roman" w:hAnsi="Times New Roman" w:eastAsia="宋体" w:cs="宋体"/>
          <w:caps w:val="0"/>
          <w:smallCaps w:val="0"/>
          <w:color w:val="auto"/>
          <w:sz w:val="24"/>
          <w:szCs w:val="24"/>
          <w:u w:val="none"/>
        </w:rPr>
        <w:t>装置</w:t>
      </w:r>
      <w:r>
        <w:rPr>
          <w:rFonts w:hint="eastAsia" w:ascii="Times New Roman" w:hAnsi="Times New Roman" w:eastAsia="宋体" w:cs="宋体"/>
          <w:caps w:val="0"/>
          <w:smallCaps w:val="0"/>
          <w:color w:val="auto"/>
          <w:sz w:val="24"/>
          <w:szCs w:val="24"/>
          <w:u w:val="none"/>
          <w:lang w:eastAsia="zh-CN"/>
        </w:rPr>
        <w:t>”</w:t>
      </w:r>
      <w:r>
        <w:rPr>
          <w:rFonts w:hint="eastAsia" w:ascii="Times New Roman" w:hAnsi="Times New Roman" w:eastAsia="宋体" w:cs="宋体"/>
          <w:caps w:val="0"/>
          <w:smallCaps w:val="0"/>
          <w:color w:val="auto"/>
          <w:sz w:val="24"/>
          <w:szCs w:val="24"/>
          <w:u w:val="none"/>
        </w:rPr>
        <w:t>处理后经</w:t>
      </w:r>
      <w:r>
        <w:rPr>
          <w:rFonts w:hint="eastAsia" w:ascii="Times New Roman" w:hAnsi="Times New Roman" w:eastAsia="宋体" w:cs="宋体"/>
          <w:caps w:val="0"/>
          <w:smallCaps w:val="0"/>
          <w:color w:val="auto"/>
          <w:sz w:val="24"/>
          <w:szCs w:val="24"/>
          <w:u w:val="none"/>
          <w:lang w:val="en-US" w:eastAsia="zh-CN"/>
        </w:rPr>
        <w:t>20</w:t>
      </w:r>
      <w:r>
        <w:rPr>
          <w:rFonts w:hint="eastAsia" w:ascii="Times New Roman" w:hAnsi="Times New Roman" w:eastAsia="宋体" w:cs="宋体"/>
          <w:caps w:val="0"/>
          <w:smallCaps w:val="0"/>
          <w:color w:val="auto"/>
          <w:sz w:val="24"/>
          <w:szCs w:val="24"/>
          <w:u w:val="none"/>
        </w:rPr>
        <w:t>米高排气筒排放。</w:t>
      </w:r>
    </w:p>
    <w:p>
      <w:pPr>
        <w:pStyle w:val="33"/>
        <w:bidi w:val="0"/>
        <w:rPr>
          <w:rFonts w:hint="eastAsia"/>
          <w:color w:val="auto"/>
          <w:lang w:eastAsia="zh-CN"/>
        </w:rPr>
      </w:pPr>
      <w:r>
        <w:rPr>
          <w:rFonts w:hint="eastAsia"/>
          <w:color w:val="auto"/>
          <w:lang w:val="en-US" w:eastAsia="zh-CN"/>
        </w:rPr>
        <w:t>②</w:t>
      </w:r>
      <w:r>
        <w:rPr>
          <w:rFonts w:hint="eastAsia"/>
          <w:color w:val="auto"/>
          <w:lang w:eastAsia="zh-CN"/>
        </w:rPr>
        <w:t>废水</w:t>
      </w:r>
    </w:p>
    <w:p>
      <w:pPr>
        <w:pStyle w:val="33"/>
        <w:bidi w:val="0"/>
        <w:rPr>
          <w:rFonts w:hint="eastAsia"/>
          <w:color w:val="auto"/>
          <w:lang w:eastAsia="zh-CN"/>
        </w:rPr>
      </w:pPr>
      <w:r>
        <w:rPr>
          <w:rFonts w:hint="eastAsia"/>
          <w:color w:val="auto"/>
          <w:lang w:eastAsia="zh-CN"/>
        </w:rPr>
        <w:t>生产过程中，废水主要为真空吸料系统水环真空排水，设备及地面清洗等杂用水，排入厂区内新建污水处理站处理。</w:t>
      </w:r>
    </w:p>
    <w:p>
      <w:pPr>
        <w:pStyle w:val="33"/>
        <w:bidi w:val="0"/>
        <w:rPr>
          <w:rFonts w:hint="eastAsia"/>
          <w:color w:val="auto"/>
          <w:lang w:eastAsia="zh-CN"/>
        </w:rPr>
      </w:pPr>
      <w:r>
        <w:rPr>
          <w:rFonts w:hint="eastAsia"/>
          <w:color w:val="auto"/>
          <w:lang w:val="en-US" w:eastAsia="zh-CN"/>
        </w:rPr>
        <w:t>③</w:t>
      </w:r>
      <w:r>
        <w:rPr>
          <w:rFonts w:hint="eastAsia"/>
          <w:color w:val="auto"/>
          <w:lang w:eastAsia="zh-CN"/>
        </w:rPr>
        <w:t>固体废物</w:t>
      </w:r>
    </w:p>
    <w:p>
      <w:pPr>
        <w:pStyle w:val="33"/>
        <w:bidi w:val="0"/>
        <w:rPr>
          <w:rFonts w:hint="eastAsia" w:ascii="Times New Roman" w:hAnsi="Times New Roman" w:eastAsia="宋体" w:cs="宋体"/>
          <w:caps w:val="0"/>
          <w:smallCaps w:val="0"/>
          <w:color w:val="auto"/>
          <w:sz w:val="24"/>
          <w:szCs w:val="24"/>
          <w:u w:val="none"/>
          <w:lang w:eastAsia="zh-CN"/>
        </w:rPr>
      </w:pPr>
      <w:r>
        <w:rPr>
          <w:rFonts w:hint="eastAsia" w:ascii="Times New Roman" w:hAnsi="Times New Roman" w:eastAsia="宋体" w:cs="宋体"/>
          <w:caps w:val="0"/>
          <w:smallCaps w:val="0"/>
          <w:color w:val="auto"/>
          <w:sz w:val="24"/>
          <w:szCs w:val="24"/>
          <w:u w:val="none"/>
          <w:lang w:eastAsia="zh-CN"/>
        </w:rPr>
        <w:t>生产过程中，固体废物主要来自产品出料过滤产生的滤渣</w:t>
      </w:r>
      <w:r>
        <w:rPr>
          <w:rFonts w:hint="eastAsia" w:ascii="Times New Roman" w:hAnsi="Times New Roman" w:eastAsia="宋体" w:cs="宋体"/>
          <w:b/>
          <w:caps w:val="0"/>
          <w:smallCaps w:val="0"/>
          <w:color w:val="auto"/>
          <w:sz w:val="24"/>
          <w:u w:val="none"/>
          <w:lang w:val="en-US" w:eastAsia="zh-CN"/>
        </w:rPr>
        <w:t>S</w:t>
      </w:r>
      <w:r>
        <w:rPr>
          <w:rFonts w:hint="eastAsia" w:ascii="Times New Roman" w:hAnsi="Times New Roman" w:eastAsia="宋体" w:cs="宋体"/>
          <w:b/>
          <w:caps w:val="0"/>
          <w:smallCaps w:val="0"/>
          <w:color w:val="auto"/>
          <w:sz w:val="16"/>
          <w:u w:val="none"/>
          <w:lang w:val="en-US" w:eastAsia="zh-CN"/>
        </w:rPr>
        <w:t>3</w:t>
      </w:r>
      <w:r>
        <w:rPr>
          <w:rFonts w:hint="eastAsia" w:ascii="Times New Roman" w:hAnsi="Times New Roman" w:eastAsia="宋体" w:cs="宋体"/>
          <w:b/>
          <w:caps w:val="0"/>
          <w:smallCaps w:val="0"/>
          <w:color w:val="auto"/>
          <w:sz w:val="16"/>
          <w:u w:val="none"/>
          <w:lang w:val="zh-CN"/>
        </w:rPr>
        <w:t>-1</w:t>
      </w:r>
      <w:r>
        <w:rPr>
          <w:rFonts w:hint="eastAsia" w:ascii="Times New Roman" w:hAnsi="Times New Roman" w:eastAsia="宋体" w:cs="宋体"/>
          <w:caps w:val="0"/>
          <w:smallCaps w:val="0"/>
          <w:color w:val="auto"/>
          <w:sz w:val="24"/>
          <w:szCs w:val="24"/>
          <w:u w:val="none"/>
          <w:lang w:eastAsia="zh-CN"/>
        </w:rPr>
        <w:t>、空原料桶。其中：滤渣利用铁桶盛装，送有资质单位处置；空原料桶收集、堆存于原料仓库分出空桶区，定期由原料供应商回收重复利用，厂区内不设洗桶工序。</w:t>
      </w:r>
    </w:p>
    <w:p>
      <w:pPr>
        <w:pStyle w:val="33"/>
        <w:bidi w:val="0"/>
        <w:rPr>
          <w:rFonts w:hint="eastAsia"/>
          <w:color w:val="auto"/>
          <w:lang w:eastAsia="zh-CN"/>
        </w:rPr>
      </w:pPr>
      <w:r>
        <w:rPr>
          <w:rFonts w:hint="eastAsia"/>
          <w:color w:val="auto"/>
          <w:lang w:val="en-US" w:eastAsia="zh-CN"/>
        </w:rPr>
        <w:t>④</w:t>
      </w:r>
      <w:r>
        <w:rPr>
          <w:rFonts w:hint="eastAsia"/>
          <w:color w:val="auto"/>
          <w:lang w:eastAsia="zh-CN"/>
        </w:rPr>
        <w:t>噪声</w:t>
      </w:r>
    </w:p>
    <w:p>
      <w:pPr>
        <w:pStyle w:val="33"/>
        <w:bidi w:val="0"/>
        <w:rPr>
          <w:rFonts w:hint="eastAsia"/>
          <w:color w:val="auto"/>
        </w:rPr>
      </w:pPr>
      <w:r>
        <w:rPr>
          <w:rFonts w:hint="eastAsia"/>
          <w:color w:val="auto"/>
          <w:lang w:eastAsia="zh-CN"/>
        </w:rPr>
        <w:t>固化剂生产线没有大型设备，各反应釜搅拌机、物料输送泵的功率均较小，噪声源强一般为</w:t>
      </w:r>
      <w:r>
        <w:rPr>
          <w:rFonts w:hint="eastAsia"/>
          <w:color w:val="auto"/>
          <w:lang w:val="en-US" w:eastAsia="zh-CN"/>
        </w:rPr>
        <w:t>75~85dB(A)。</w:t>
      </w:r>
    </w:p>
    <w:p>
      <w:pPr>
        <w:pStyle w:val="36"/>
        <w:bidi w:val="0"/>
        <w:rPr>
          <w:color w:val="auto"/>
        </w:rPr>
      </w:pPr>
      <w:r>
        <w:rPr>
          <w:color w:val="auto"/>
        </w:rPr>
        <w:t>表</w:t>
      </w:r>
      <w:r>
        <w:rPr>
          <w:rFonts w:hint="eastAsia"/>
          <w:color w:val="auto"/>
          <w:lang w:val="en-US" w:eastAsia="zh-CN"/>
        </w:rPr>
        <w:t>3.2-4</w:t>
      </w:r>
      <w:r>
        <w:rPr>
          <w:color w:val="auto"/>
        </w:rPr>
        <w:t xml:space="preserve">  </w:t>
      </w:r>
      <w:r>
        <w:rPr>
          <w:rFonts w:hint="eastAsia"/>
          <w:color w:val="auto"/>
        </w:rPr>
        <w:t>T-31固化剂</w:t>
      </w:r>
      <w:r>
        <w:rPr>
          <w:color w:val="auto"/>
        </w:rPr>
        <w:t>产污环节一览表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72"/>
        <w:gridCol w:w="1789"/>
        <w:gridCol w:w="2417"/>
        <w:gridCol w:w="1296"/>
        <w:gridCol w:w="2736"/>
      </w:tblGrid>
      <w:tr>
        <w:trPr>
          <w:trHeight w:val="357" w:hRule="atLeast"/>
        </w:trPr>
        <w:tc>
          <w:tcPr>
            <w:tcW w:w="669" w:type="pct"/>
            <w:tcBorders>
              <w:tl2br w:val="nil"/>
              <w:tr2bl w:val="nil"/>
            </w:tcBorders>
            <w:noWrap w:val="0"/>
            <w:vAlign w:val="center"/>
          </w:tcPr>
          <w:p>
            <w:pPr>
              <w:pStyle w:val="35"/>
              <w:bidi w:val="0"/>
              <w:rPr>
                <w:b/>
                <w:bCs/>
                <w:color w:val="auto"/>
              </w:rPr>
            </w:pPr>
            <w:r>
              <w:rPr>
                <w:rFonts w:hint="eastAsia"/>
                <w:b/>
                <w:bCs/>
                <w:color w:val="auto"/>
              </w:rPr>
              <w:t>污染类型</w:t>
            </w:r>
          </w:p>
        </w:tc>
        <w:tc>
          <w:tcPr>
            <w:tcW w:w="940" w:type="pct"/>
            <w:tcBorders>
              <w:tl2br w:val="nil"/>
              <w:tr2bl w:val="nil"/>
            </w:tcBorders>
            <w:noWrap w:val="0"/>
            <w:vAlign w:val="center"/>
          </w:tcPr>
          <w:p>
            <w:pPr>
              <w:pStyle w:val="35"/>
              <w:bidi w:val="0"/>
              <w:rPr>
                <w:b/>
                <w:bCs/>
                <w:color w:val="auto"/>
              </w:rPr>
            </w:pPr>
            <w:r>
              <w:rPr>
                <w:rFonts w:hint="eastAsia"/>
                <w:b/>
                <w:bCs/>
                <w:color w:val="auto"/>
              </w:rPr>
              <w:t>产物环节</w:t>
            </w:r>
          </w:p>
        </w:tc>
        <w:tc>
          <w:tcPr>
            <w:tcW w:w="1270" w:type="pct"/>
            <w:tcBorders>
              <w:tl2br w:val="nil"/>
              <w:tr2bl w:val="nil"/>
            </w:tcBorders>
            <w:noWrap w:val="0"/>
            <w:vAlign w:val="center"/>
          </w:tcPr>
          <w:p>
            <w:pPr>
              <w:pStyle w:val="35"/>
              <w:bidi w:val="0"/>
              <w:rPr>
                <w:b/>
                <w:bCs/>
                <w:color w:val="auto"/>
              </w:rPr>
            </w:pPr>
            <w:r>
              <w:rPr>
                <w:rFonts w:hint="eastAsia"/>
                <w:b/>
                <w:bCs/>
                <w:color w:val="auto"/>
              </w:rPr>
              <w:t>产生污染物</w:t>
            </w:r>
          </w:p>
        </w:tc>
        <w:tc>
          <w:tcPr>
            <w:tcW w:w="681" w:type="pct"/>
            <w:tcBorders>
              <w:tl2br w:val="nil"/>
              <w:tr2bl w:val="nil"/>
            </w:tcBorders>
            <w:noWrap w:val="0"/>
            <w:vAlign w:val="center"/>
          </w:tcPr>
          <w:p>
            <w:pPr>
              <w:pStyle w:val="35"/>
              <w:bidi w:val="0"/>
              <w:rPr>
                <w:b/>
                <w:bCs/>
                <w:color w:val="auto"/>
              </w:rPr>
            </w:pPr>
            <w:r>
              <w:rPr>
                <w:rFonts w:hint="eastAsia"/>
                <w:b/>
                <w:bCs/>
                <w:color w:val="auto"/>
              </w:rPr>
              <w:t>产生特点</w:t>
            </w:r>
          </w:p>
        </w:tc>
        <w:tc>
          <w:tcPr>
            <w:tcW w:w="1438" w:type="pct"/>
            <w:tcBorders>
              <w:tl2br w:val="nil"/>
              <w:tr2bl w:val="nil"/>
            </w:tcBorders>
            <w:noWrap w:val="0"/>
            <w:vAlign w:val="center"/>
          </w:tcPr>
          <w:p>
            <w:pPr>
              <w:pStyle w:val="35"/>
              <w:bidi w:val="0"/>
              <w:rPr>
                <w:b/>
                <w:bCs/>
                <w:color w:val="auto"/>
              </w:rPr>
            </w:pPr>
            <w:r>
              <w:rPr>
                <w:rFonts w:hint="eastAsia"/>
                <w:b/>
                <w:bCs/>
                <w:color w:val="auto"/>
              </w:rPr>
              <w:t>去向</w:t>
            </w:r>
          </w:p>
        </w:tc>
      </w:tr>
      <w:tr>
        <w:trPr>
          <w:trHeight w:val="165" w:hRule="atLeast"/>
        </w:trPr>
        <w:tc>
          <w:tcPr>
            <w:tcW w:w="669" w:type="pct"/>
            <w:tcBorders>
              <w:tl2br w:val="nil"/>
              <w:tr2bl w:val="nil"/>
            </w:tcBorders>
            <w:noWrap w:val="0"/>
            <w:vAlign w:val="center"/>
          </w:tcPr>
          <w:p>
            <w:pPr>
              <w:pStyle w:val="35"/>
              <w:bidi w:val="0"/>
              <w:rPr>
                <w:rFonts w:hint="eastAsia"/>
                <w:color w:val="auto"/>
              </w:rPr>
            </w:pPr>
            <w:r>
              <w:rPr>
                <w:rFonts w:hint="eastAsia"/>
                <w:color w:val="auto"/>
              </w:rPr>
              <w:t>G2-1废气</w:t>
            </w:r>
          </w:p>
        </w:tc>
        <w:tc>
          <w:tcPr>
            <w:tcW w:w="940"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真空吸料泵尾气</w:t>
            </w:r>
          </w:p>
        </w:tc>
        <w:tc>
          <w:tcPr>
            <w:tcW w:w="1270" w:type="pct"/>
            <w:tcBorders>
              <w:tl2br w:val="nil"/>
              <w:tr2bl w:val="nil"/>
            </w:tcBorders>
            <w:noWrap w:val="0"/>
            <w:vAlign w:val="center"/>
          </w:tcPr>
          <w:p>
            <w:pPr>
              <w:pStyle w:val="35"/>
              <w:bidi w:val="0"/>
              <w:rPr>
                <w:rFonts w:hint="eastAsia"/>
                <w:color w:val="auto"/>
                <w:lang w:eastAsia="zh-CN"/>
              </w:rPr>
            </w:pPr>
            <w:r>
              <w:rPr>
                <w:rFonts w:hint="eastAsia"/>
                <w:color w:val="auto"/>
              </w:rPr>
              <w:t>乙二胺</w:t>
            </w:r>
          </w:p>
        </w:tc>
        <w:tc>
          <w:tcPr>
            <w:tcW w:w="681"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间歇</w:t>
            </w:r>
          </w:p>
        </w:tc>
        <w:tc>
          <w:tcPr>
            <w:tcW w:w="1438" w:type="pct"/>
            <w:vMerge w:val="restart"/>
            <w:tcBorders>
              <w:tl2br w:val="nil"/>
              <w:tr2bl w:val="nil"/>
            </w:tcBorders>
            <w:noWrap w:val="0"/>
            <w:vAlign w:val="center"/>
          </w:tcPr>
          <w:p>
            <w:pPr>
              <w:pStyle w:val="35"/>
              <w:bidi w:val="0"/>
              <w:rPr>
                <w:color w:val="auto"/>
              </w:rPr>
            </w:pPr>
            <w:r>
              <w:rPr>
                <w:rFonts w:hint="eastAsia" w:ascii="Times New Roman" w:hAnsi="Times New Roman" w:cs="Times New Roman"/>
                <w:color w:val="auto"/>
                <w:u w:val="single"/>
                <w:lang w:val="en-US" w:eastAsia="zh-CN"/>
              </w:rPr>
              <w:t>冷凝处理+碱液喷淋＋炭吸附</w:t>
            </w:r>
            <w:r>
              <w:rPr>
                <w:rFonts w:hint="eastAsia"/>
                <w:color w:val="auto"/>
              </w:rPr>
              <w:t>置</w:t>
            </w:r>
            <w:r>
              <w:rPr>
                <w:rFonts w:hint="eastAsia"/>
                <w:color w:val="auto"/>
                <w:lang w:val="en-US" w:eastAsia="zh-CN"/>
              </w:rPr>
              <w:t>+</w:t>
            </w:r>
            <w:r>
              <w:rPr>
                <w:rFonts w:hint="eastAsia"/>
                <w:color w:val="auto"/>
              </w:rPr>
              <w:t>20高排气筒</w:t>
            </w:r>
          </w:p>
        </w:tc>
      </w:tr>
      <w:tr>
        <w:trPr>
          <w:trHeight w:val="515" w:hRule="atLeast"/>
        </w:trPr>
        <w:tc>
          <w:tcPr>
            <w:tcW w:w="669" w:type="pct"/>
            <w:tcBorders>
              <w:tl2br w:val="nil"/>
              <w:tr2bl w:val="nil"/>
            </w:tcBorders>
            <w:noWrap w:val="0"/>
            <w:vAlign w:val="center"/>
          </w:tcPr>
          <w:p>
            <w:pPr>
              <w:pStyle w:val="35"/>
              <w:bidi w:val="0"/>
              <w:rPr>
                <w:color w:val="auto"/>
              </w:rPr>
            </w:pPr>
            <w:r>
              <w:rPr>
                <w:rFonts w:hint="eastAsia"/>
                <w:color w:val="auto"/>
              </w:rPr>
              <w:t>G2-</w:t>
            </w:r>
            <w:r>
              <w:rPr>
                <w:rFonts w:hint="eastAsia"/>
                <w:color w:val="auto"/>
                <w:lang w:val="en-US" w:eastAsia="zh-CN"/>
              </w:rPr>
              <w:t>2</w:t>
            </w:r>
            <w:r>
              <w:rPr>
                <w:rFonts w:hint="eastAsia"/>
                <w:color w:val="auto"/>
              </w:rPr>
              <w:t>废气</w:t>
            </w:r>
          </w:p>
        </w:tc>
        <w:tc>
          <w:tcPr>
            <w:tcW w:w="940"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反应釜回流冷凝器尾气</w:t>
            </w:r>
          </w:p>
        </w:tc>
        <w:tc>
          <w:tcPr>
            <w:tcW w:w="1270" w:type="pct"/>
            <w:tcBorders>
              <w:tl2br w:val="nil"/>
              <w:tr2bl w:val="nil"/>
            </w:tcBorders>
            <w:noWrap w:val="0"/>
            <w:vAlign w:val="center"/>
          </w:tcPr>
          <w:p>
            <w:pPr>
              <w:pStyle w:val="35"/>
              <w:bidi w:val="0"/>
              <w:rPr>
                <w:color w:val="auto"/>
              </w:rPr>
            </w:pPr>
            <w:r>
              <w:rPr>
                <w:rFonts w:hint="eastAsia"/>
                <w:color w:val="auto"/>
              </w:rPr>
              <w:t>乙二胺</w:t>
            </w:r>
            <w:r>
              <w:rPr>
                <w:rFonts w:hint="eastAsia"/>
                <w:color w:val="auto"/>
                <w:lang w:eastAsia="zh-CN"/>
              </w:rPr>
              <w:t>、</w:t>
            </w:r>
            <w:r>
              <w:rPr>
                <w:rFonts w:hint="eastAsia"/>
                <w:color w:val="auto"/>
              </w:rPr>
              <w:t>甲醛、酚</w:t>
            </w:r>
          </w:p>
        </w:tc>
        <w:tc>
          <w:tcPr>
            <w:tcW w:w="681" w:type="pct"/>
            <w:tcBorders>
              <w:tl2br w:val="nil"/>
              <w:tr2bl w:val="nil"/>
            </w:tcBorders>
            <w:noWrap w:val="0"/>
            <w:vAlign w:val="center"/>
          </w:tcPr>
          <w:p>
            <w:pPr>
              <w:pStyle w:val="35"/>
              <w:bidi w:val="0"/>
              <w:rPr>
                <w:color w:val="auto"/>
              </w:rPr>
            </w:pPr>
            <w:r>
              <w:rPr>
                <w:rFonts w:hint="eastAsia"/>
                <w:color w:val="auto"/>
              </w:rPr>
              <w:t>间歇</w:t>
            </w:r>
          </w:p>
        </w:tc>
        <w:tc>
          <w:tcPr>
            <w:tcW w:w="1438" w:type="pct"/>
            <w:vMerge w:val="continue"/>
            <w:tcBorders>
              <w:tl2br w:val="nil"/>
              <w:tr2bl w:val="nil"/>
            </w:tcBorders>
            <w:noWrap w:val="0"/>
            <w:vAlign w:val="center"/>
          </w:tcPr>
          <w:p>
            <w:pPr>
              <w:pStyle w:val="35"/>
              <w:bidi w:val="0"/>
              <w:rPr>
                <w:color w:val="auto"/>
              </w:rPr>
            </w:pPr>
          </w:p>
        </w:tc>
      </w:tr>
      <w:tr>
        <w:trPr>
          <w:trHeight w:val="575" w:hRule="atLeast"/>
        </w:trPr>
        <w:tc>
          <w:tcPr>
            <w:tcW w:w="669" w:type="pct"/>
            <w:tcBorders>
              <w:tl2br w:val="nil"/>
              <w:tr2bl w:val="nil"/>
            </w:tcBorders>
            <w:noWrap w:val="0"/>
            <w:vAlign w:val="center"/>
          </w:tcPr>
          <w:p>
            <w:pPr>
              <w:pStyle w:val="35"/>
              <w:bidi w:val="0"/>
              <w:rPr>
                <w:rFonts w:hint="eastAsia"/>
                <w:color w:val="auto"/>
              </w:rPr>
            </w:pPr>
            <w:r>
              <w:rPr>
                <w:rFonts w:hint="eastAsia"/>
                <w:color w:val="auto"/>
              </w:rPr>
              <w:t>G2-</w:t>
            </w:r>
            <w:r>
              <w:rPr>
                <w:rFonts w:hint="eastAsia"/>
                <w:color w:val="auto"/>
                <w:lang w:val="en-US" w:eastAsia="zh-CN"/>
              </w:rPr>
              <w:t>3</w:t>
            </w:r>
            <w:r>
              <w:rPr>
                <w:rFonts w:hint="eastAsia"/>
                <w:color w:val="auto"/>
              </w:rPr>
              <w:t>废气</w:t>
            </w:r>
          </w:p>
        </w:tc>
        <w:tc>
          <w:tcPr>
            <w:tcW w:w="940"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脱溶减压精馏真空尾气</w:t>
            </w:r>
          </w:p>
        </w:tc>
        <w:tc>
          <w:tcPr>
            <w:tcW w:w="1270" w:type="pct"/>
            <w:tcBorders>
              <w:tl2br w:val="nil"/>
              <w:tr2bl w:val="nil"/>
            </w:tcBorders>
            <w:noWrap w:val="0"/>
            <w:vAlign w:val="center"/>
          </w:tcPr>
          <w:p>
            <w:pPr>
              <w:pStyle w:val="35"/>
              <w:bidi w:val="0"/>
              <w:rPr>
                <w:rFonts w:hint="eastAsia"/>
                <w:color w:val="auto"/>
              </w:rPr>
            </w:pPr>
            <w:r>
              <w:rPr>
                <w:rFonts w:hint="eastAsia"/>
                <w:color w:val="auto"/>
              </w:rPr>
              <w:t>乙二胺</w:t>
            </w:r>
            <w:r>
              <w:rPr>
                <w:rFonts w:hint="eastAsia"/>
                <w:color w:val="auto"/>
                <w:lang w:eastAsia="zh-CN"/>
              </w:rPr>
              <w:t>、</w:t>
            </w:r>
            <w:r>
              <w:rPr>
                <w:rFonts w:hint="eastAsia"/>
                <w:color w:val="auto"/>
              </w:rPr>
              <w:t>甲醛、酚</w:t>
            </w:r>
          </w:p>
        </w:tc>
        <w:tc>
          <w:tcPr>
            <w:tcW w:w="681" w:type="pct"/>
            <w:tcBorders>
              <w:tl2br w:val="nil"/>
              <w:tr2bl w:val="nil"/>
            </w:tcBorders>
            <w:noWrap w:val="0"/>
            <w:vAlign w:val="center"/>
          </w:tcPr>
          <w:p>
            <w:pPr>
              <w:pStyle w:val="35"/>
              <w:bidi w:val="0"/>
              <w:rPr>
                <w:rFonts w:hint="eastAsia"/>
                <w:color w:val="auto"/>
              </w:rPr>
            </w:pPr>
            <w:r>
              <w:rPr>
                <w:rFonts w:hint="eastAsia"/>
                <w:color w:val="auto"/>
              </w:rPr>
              <w:t>间歇</w:t>
            </w:r>
          </w:p>
        </w:tc>
        <w:tc>
          <w:tcPr>
            <w:tcW w:w="1438" w:type="pct"/>
            <w:vMerge w:val="continue"/>
            <w:tcBorders>
              <w:tl2br w:val="nil"/>
              <w:tr2bl w:val="nil"/>
            </w:tcBorders>
            <w:noWrap w:val="0"/>
            <w:vAlign w:val="center"/>
          </w:tcPr>
          <w:p>
            <w:pPr>
              <w:pStyle w:val="35"/>
              <w:bidi w:val="0"/>
              <w:rPr>
                <w:rFonts w:hint="eastAsia"/>
                <w:color w:val="auto"/>
              </w:rPr>
            </w:pPr>
          </w:p>
        </w:tc>
      </w:tr>
      <w:tr>
        <w:trPr>
          <w:trHeight w:val="165" w:hRule="atLeast"/>
        </w:trPr>
        <w:tc>
          <w:tcPr>
            <w:tcW w:w="669" w:type="pct"/>
            <w:tcBorders>
              <w:tl2br w:val="nil"/>
              <w:tr2bl w:val="nil"/>
            </w:tcBorders>
            <w:noWrap w:val="0"/>
            <w:vAlign w:val="center"/>
          </w:tcPr>
          <w:p>
            <w:pPr>
              <w:pStyle w:val="35"/>
              <w:bidi w:val="0"/>
              <w:rPr>
                <w:color w:val="auto"/>
              </w:rPr>
            </w:pPr>
            <w:r>
              <w:rPr>
                <w:rFonts w:hint="eastAsia"/>
                <w:color w:val="auto"/>
              </w:rPr>
              <w:t>S2-1固废</w:t>
            </w:r>
          </w:p>
        </w:tc>
        <w:tc>
          <w:tcPr>
            <w:tcW w:w="940" w:type="pct"/>
            <w:tcBorders>
              <w:tl2br w:val="nil"/>
              <w:tr2bl w:val="nil"/>
            </w:tcBorders>
            <w:noWrap w:val="0"/>
            <w:vAlign w:val="center"/>
          </w:tcPr>
          <w:p>
            <w:pPr>
              <w:pStyle w:val="35"/>
              <w:bidi w:val="0"/>
              <w:rPr>
                <w:color w:val="auto"/>
              </w:rPr>
            </w:pPr>
            <w:r>
              <w:rPr>
                <w:rFonts w:hint="eastAsia"/>
                <w:color w:val="auto"/>
              </w:rPr>
              <w:t>过滤</w:t>
            </w:r>
          </w:p>
        </w:tc>
        <w:tc>
          <w:tcPr>
            <w:tcW w:w="1270" w:type="pct"/>
            <w:tcBorders>
              <w:tl2br w:val="nil"/>
              <w:tr2bl w:val="nil"/>
            </w:tcBorders>
            <w:noWrap w:val="0"/>
            <w:vAlign w:val="center"/>
          </w:tcPr>
          <w:p>
            <w:pPr>
              <w:pStyle w:val="35"/>
              <w:bidi w:val="0"/>
              <w:rPr>
                <w:color w:val="auto"/>
              </w:rPr>
            </w:pPr>
            <w:r>
              <w:rPr>
                <w:rFonts w:hint="eastAsia"/>
                <w:color w:val="auto"/>
              </w:rPr>
              <w:t>滤渣</w:t>
            </w:r>
          </w:p>
        </w:tc>
        <w:tc>
          <w:tcPr>
            <w:tcW w:w="681" w:type="pct"/>
            <w:tcBorders>
              <w:tl2br w:val="nil"/>
              <w:tr2bl w:val="nil"/>
            </w:tcBorders>
            <w:noWrap w:val="0"/>
            <w:vAlign w:val="center"/>
          </w:tcPr>
          <w:p>
            <w:pPr>
              <w:pStyle w:val="35"/>
              <w:bidi w:val="0"/>
              <w:rPr>
                <w:color w:val="auto"/>
              </w:rPr>
            </w:pPr>
            <w:r>
              <w:rPr>
                <w:rFonts w:hint="eastAsia"/>
                <w:color w:val="auto"/>
              </w:rPr>
              <w:t>间歇</w:t>
            </w:r>
          </w:p>
        </w:tc>
        <w:tc>
          <w:tcPr>
            <w:tcW w:w="1438" w:type="pct"/>
            <w:tcBorders>
              <w:tl2br w:val="nil"/>
              <w:tr2bl w:val="nil"/>
            </w:tcBorders>
            <w:noWrap w:val="0"/>
            <w:vAlign w:val="center"/>
          </w:tcPr>
          <w:p>
            <w:pPr>
              <w:pStyle w:val="35"/>
              <w:bidi w:val="0"/>
              <w:rPr>
                <w:color w:val="auto"/>
              </w:rPr>
            </w:pPr>
            <w:r>
              <w:rPr>
                <w:rFonts w:hint="eastAsia"/>
                <w:color w:val="auto"/>
              </w:rPr>
              <w:t>交有资质单位处置</w:t>
            </w:r>
          </w:p>
        </w:tc>
      </w:tr>
    </w:tbl>
    <w:p>
      <w:pPr>
        <w:pStyle w:val="33"/>
        <w:bidi w:val="0"/>
        <w:rPr>
          <w:b/>
          <w:bCs/>
          <w:color w:val="auto"/>
        </w:rPr>
      </w:pPr>
      <w:r>
        <w:rPr>
          <w:rFonts w:hint="eastAsia"/>
          <w:b/>
          <w:bCs/>
          <w:color w:val="auto"/>
          <w:lang w:val="en-US" w:eastAsia="zh-CN"/>
        </w:rPr>
        <w:t>2、</w:t>
      </w:r>
      <w:r>
        <w:rPr>
          <w:rFonts w:hint="eastAsia"/>
          <w:b/>
          <w:bCs/>
          <w:color w:val="auto"/>
        </w:rPr>
        <w:t>593固化剂生产</w:t>
      </w:r>
    </w:p>
    <w:p>
      <w:pPr>
        <w:pStyle w:val="33"/>
        <w:bidi w:val="0"/>
        <w:rPr>
          <w:rFonts w:hint="eastAsia"/>
          <w:color w:val="auto"/>
        </w:rPr>
      </w:pPr>
      <w:r>
        <w:rPr>
          <w:rFonts w:hint="eastAsia"/>
          <w:color w:val="auto"/>
        </w:rPr>
        <w:t>（1）工艺流程</w:t>
      </w:r>
    </w:p>
    <w:p>
      <w:pPr>
        <w:pStyle w:val="33"/>
        <w:bidi w:val="0"/>
        <w:rPr>
          <w:rFonts w:hint="eastAsia"/>
          <w:color w:val="auto"/>
        </w:rPr>
      </w:pPr>
      <w:r>
        <w:rPr>
          <w:rFonts w:hint="eastAsia"/>
          <w:color w:val="auto"/>
        </w:rPr>
        <w:t>①配料：</w:t>
      </w:r>
    </w:p>
    <w:p>
      <w:pPr>
        <w:pStyle w:val="33"/>
        <w:bidi w:val="0"/>
        <w:rPr>
          <w:color w:val="auto"/>
        </w:rPr>
      </w:pPr>
      <w:r>
        <w:rPr>
          <w:rFonts w:hint="eastAsia"/>
          <w:color w:val="auto"/>
          <w:lang w:val="en-US" w:eastAsia="zh-CN"/>
        </w:rPr>
        <w:t>200L</w:t>
      </w:r>
      <w:r>
        <w:rPr>
          <w:rFonts w:hint="eastAsia"/>
          <w:color w:val="auto"/>
          <w:lang w:eastAsia="zh-CN"/>
        </w:rPr>
        <w:t>桶装</w:t>
      </w:r>
      <w:r>
        <w:rPr>
          <w:rFonts w:hint="eastAsia"/>
          <w:color w:val="auto"/>
        </w:rPr>
        <w:t>环氧树脂、苯甲醇</w:t>
      </w:r>
      <w:r>
        <w:rPr>
          <w:rFonts w:hint="eastAsia"/>
          <w:color w:val="auto"/>
          <w:lang w:eastAsia="zh-CN"/>
        </w:rPr>
        <w:t>从原料仓库运至生产车间，开启真空吸料系统分别吸入高位槽，</w:t>
      </w:r>
      <w:r>
        <w:rPr>
          <w:rFonts w:hint="eastAsia"/>
          <w:color w:val="auto"/>
        </w:rPr>
        <w:t>投入配料釜，升温至50℃搅拌均匀</w:t>
      </w:r>
      <w:r>
        <w:rPr>
          <w:rFonts w:hint="eastAsia"/>
          <w:color w:val="auto"/>
          <w:lang w:eastAsia="zh-CN"/>
        </w:rPr>
        <w:t>后备用</w:t>
      </w:r>
      <w:r>
        <w:rPr>
          <w:rFonts w:hint="eastAsia"/>
          <w:color w:val="auto"/>
        </w:rPr>
        <w:t>。</w:t>
      </w:r>
      <w:r>
        <w:rPr>
          <w:rFonts w:hint="eastAsia"/>
          <w:color w:val="auto"/>
          <w:lang w:eastAsia="zh-CN"/>
        </w:rPr>
        <w:t>各包装桶使用后立即将盖子扣好、拧紧。</w:t>
      </w:r>
    </w:p>
    <w:p>
      <w:pPr>
        <w:pStyle w:val="33"/>
        <w:bidi w:val="0"/>
        <w:rPr>
          <w:rFonts w:hint="eastAsia"/>
          <w:color w:val="auto"/>
          <w:lang w:eastAsia="zh-CN"/>
        </w:rPr>
      </w:pPr>
      <w:r>
        <w:rPr>
          <w:rFonts w:hint="eastAsia"/>
          <w:color w:val="auto"/>
        </w:rPr>
        <w:t>②</w:t>
      </w:r>
      <w:r>
        <w:rPr>
          <w:rFonts w:hint="eastAsia"/>
          <w:color w:val="auto"/>
          <w:lang w:eastAsia="zh-CN"/>
        </w:rPr>
        <w:t>滴加反应：</w:t>
      </w:r>
    </w:p>
    <w:p>
      <w:pPr>
        <w:pStyle w:val="33"/>
        <w:bidi w:val="0"/>
        <w:rPr>
          <w:color w:val="auto"/>
        </w:rPr>
      </w:pPr>
      <w:r>
        <w:rPr>
          <w:rFonts w:hint="eastAsia"/>
          <w:color w:val="auto"/>
          <w:lang w:val="en-US" w:eastAsia="zh-CN"/>
        </w:rPr>
        <w:t>200L</w:t>
      </w:r>
      <w:r>
        <w:rPr>
          <w:rFonts w:hint="eastAsia"/>
          <w:color w:val="auto"/>
          <w:lang w:eastAsia="zh-CN"/>
        </w:rPr>
        <w:t>桶装</w:t>
      </w:r>
      <w:r>
        <w:rPr>
          <w:rFonts w:hint="eastAsia"/>
          <w:color w:val="auto"/>
        </w:rPr>
        <w:t>二乙烯三胺</w:t>
      </w:r>
      <w:r>
        <w:rPr>
          <w:rFonts w:hint="eastAsia"/>
          <w:color w:val="auto"/>
          <w:lang w:eastAsia="zh-CN"/>
        </w:rPr>
        <w:t>从原料仓库运至生产车间，开启真空吸料系统</w:t>
      </w:r>
      <w:r>
        <w:rPr>
          <w:rFonts w:hint="eastAsia"/>
          <w:color w:val="auto"/>
        </w:rPr>
        <w:t>抽至反应釜，</w:t>
      </w:r>
      <w:r>
        <w:rPr>
          <w:rFonts w:hint="eastAsia"/>
          <w:color w:val="auto"/>
          <w:lang w:eastAsia="zh-CN"/>
        </w:rPr>
        <w:t>开始滴加</w:t>
      </w:r>
      <w:r>
        <w:rPr>
          <w:rFonts w:hint="eastAsia"/>
          <w:color w:val="auto"/>
        </w:rPr>
        <w:t>配置好的</w:t>
      </w:r>
      <w:r>
        <w:rPr>
          <w:rFonts w:hint="eastAsia"/>
          <w:color w:val="auto"/>
          <w:lang w:eastAsia="zh-CN"/>
        </w:rPr>
        <w:t>混合液，时间</w:t>
      </w:r>
      <w:r>
        <w:rPr>
          <w:rFonts w:hint="eastAsia"/>
          <w:color w:val="auto"/>
        </w:rPr>
        <w:t>约2h，滴加完毕后，升温至80℃，进行反应，化学方程式为：</w:t>
      </w:r>
    </w:p>
    <w:p>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drawing>
          <wp:inline distT="0" distB="0" distL="114300" distR="114300">
            <wp:extent cx="5756275" cy="1678305"/>
            <wp:effectExtent l="0" t="0" r="15875" b="17145"/>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25"/>
                    <a:stretch>
                      <a:fillRect/>
                    </a:stretch>
                  </pic:blipFill>
                  <pic:spPr>
                    <a:xfrm>
                      <a:off x="0" y="0"/>
                      <a:ext cx="5756275" cy="1678305"/>
                    </a:xfrm>
                    <a:prstGeom prst="rect">
                      <a:avLst/>
                    </a:prstGeom>
                    <a:noFill/>
                    <a:ln>
                      <a:noFill/>
                    </a:ln>
                  </pic:spPr>
                </pic:pic>
              </a:graphicData>
            </a:graphic>
          </wp:inline>
        </w:drawing>
      </w:r>
    </w:p>
    <w:p>
      <w:pPr>
        <w:pStyle w:val="33"/>
        <w:bidi w:val="0"/>
        <w:rPr>
          <w:rFonts w:hint="eastAsia"/>
          <w:color w:val="auto"/>
          <w:lang w:eastAsia="zh-CN"/>
        </w:rPr>
      </w:pPr>
      <w:r>
        <w:rPr>
          <w:rFonts w:hint="eastAsia"/>
          <w:color w:val="auto"/>
        </w:rPr>
        <w:t>③</w:t>
      </w:r>
      <w:r>
        <w:rPr>
          <w:rFonts w:hint="eastAsia"/>
          <w:color w:val="auto"/>
          <w:lang w:eastAsia="zh-CN"/>
        </w:rPr>
        <w:t>稀释过滤：</w:t>
      </w:r>
    </w:p>
    <w:p>
      <w:pPr>
        <w:pStyle w:val="33"/>
        <w:bidi w:val="0"/>
        <w:rPr>
          <w:color w:val="auto"/>
        </w:rPr>
      </w:pPr>
      <w:r>
        <w:rPr>
          <w:rFonts w:hint="eastAsia"/>
          <w:color w:val="auto"/>
        </w:rPr>
        <w:t>反应完全后加人苯甲醇进行兑稀，最后</w:t>
      </w:r>
      <w:r>
        <w:rPr>
          <w:rFonts w:hint="eastAsia"/>
          <w:color w:val="auto"/>
          <w:lang w:eastAsia="zh-CN"/>
        </w:rPr>
        <w:t>经管式</w:t>
      </w:r>
      <w:r>
        <w:rPr>
          <w:rFonts w:hint="eastAsia"/>
          <w:color w:val="auto"/>
        </w:rPr>
        <w:t>过滤</w:t>
      </w:r>
      <w:r>
        <w:rPr>
          <w:rFonts w:hint="eastAsia"/>
          <w:color w:val="auto"/>
          <w:lang w:eastAsia="zh-CN"/>
        </w:rPr>
        <w:t>器（内含金属丝滤网）过滤后</w:t>
      </w:r>
      <w:r>
        <w:rPr>
          <w:rFonts w:hint="eastAsia"/>
          <w:color w:val="auto"/>
        </w:rPr>
        <w:t>包装罐桶。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center"/>
        <w:rPr>
          <w:rFonts w:ascii="Times New Roman" w:hAnsi="Times New Roman"/>
          <w:caps w:val="0"/>
          <w:smallCaps w:val="0"/>
          <w:color w:val="auto"/>
          <w:u w:val="single"/>
        </w:rPr>
      </w:pPr>
      <w:r>
        <w:rPr>
          <w:rFonts w:ascii="Times New Roman" w:hAnsi="Times New Roman"/>
          <w:caps w:val="0"/>
          <w:smallCaps w:val="0"/>
          <w:color w:val="auto"/>
          <w:u w:val="none"/>
        </w:rPr>
        <w:object>
          <v:shape id="_x0000_i1028" o:spt="75" type="#_x0000_t75" style="height:342.95pt;width:409.4pt;" o:ole="t" filled="f" o:preferrelative="t" stroked="f" coordsize="21600,21600">
            <v:path/>
            <v:fill on="f" focussize="0,0"/>
            <v:stroke on="f"/>
            <v:imagedata r:id="rId27" o:title=""/>
            <o:lock v:ext="edit" aspectratio="t"/>
            <w10:wrap type="none"/>
            <w10:anchorlock/>
          </v:shape>
          <o:OLEObject Type="Embed" ProgID="Visio.Drawing.11" ShapeID="_x0000_i1028" DrawAspect="Content" ObjectID="_1468075728" r:id="rId26">
            <o:LockedField>false</o:LockedField>
          </o:OLEObject>
        </w:object>
      </w:r>
    </w:p>
    <w:p>
      <w:pPr>
        <w:pStyle w:val="36"/>
        <w:bidi w:val="0"/>
        <w:rPr>
          <w:color w:val="auto"/>
        </w:rPr>
      </w:pPr>
      <w:r>
        <w:rPr>
          <w:rFonts w:hint="eastAsia"/>
          <w:color w:val="auto"/>
        </w:rPr>
        <w:t>图</w:t>
      </w:r>
      <w:r>
        <w:rPr>
          <w:rFonts w:hint="eastAsia"/>
          <w:color w:val="auto"/>
          <w:lang w:val="en-US" w:eastAsia="zh-CN"/>
        </w:rPr>
        <w:t>3.2</w:t>
      </w:r>
      <w:r>
        <w:rPr>
          <w:rFonts w:hint="eastAsia"/>
          <w:color w:val="auto"/>
        </w:rPr>
        <w:t>-</w:t>
      </w:r>
      <w:r>
        <w:rPr>
          <w:rFonts w:hint="eastAsia"/>
          <w:color w:val="auto"/>
          <w:lang w:val="en-US" w:eastAsia="zh-CN"/>
        </w:rPr>
        <w:t>6</w:t>
      </w:r>
      <w:r>
        <w:rPr>
          <w:rFonts w:hint="eastAsia"/>
          <w:color w:val="auto"/>
        </w:rPr>
        <w:t xml:space="preserve">  593固化剂工艺流程及产污环节图</w:t>
      </w:r>
    </w:p>
    <w:p>
      <w:pPr>
        <w:pStyle w:val="33"/>
        <w:bidi w:val="0"/>
        <w:rPr>
          <w:rFonts w:hint="eastAsia"/>
          <w:color w:val="auto"/>
          <w:lang w:eastAsia="zh-CN"/>
        </w:rPr>
      </w:pPr>
      <w:r>
        <w:rPr>
          <w:rFonts w:hint="eastAsia"/>
          <w:color w:val="auto"/>
        </w:rPr>
        <w:t>（2）产污</w:t>
      </w:r>
      <w:r>
        <w:rPr>
          <w:rFonts w:hint="eastAsia"/>
          <w:color w:val="auto"/>
          <w:lang w:eastAsia="zh-CN"/>
        </w:rPr>
        <w:t>环节分析</w:t>
      </w:r>
    </w:p>
    <w:p>
      <w:pPr>
        <w:pStyle w:val="33"/>
        <w:bidi w:val="0"/>
        <w:rPr>
          <w:rFonts w:hint="eastAsia"/>
          <w:color w:val="auto"/>
          <w:lang w:eastAsia="zh-CN"/>
        </w:rPr>
      </w:pPr>
      <w:r>
        <w:rPr>
          <w:rFonts w:hint="default"/>
          <w:color w:val="auto"/>
          <w:lang w:eastAsia="zh-CN"/>
        </w:rPr>
        <w:t>①</w:t>
      </w:r>
      <w:r>
        <w:rPr>
          <w:rFonts w:hint="eastAsia"/>
          <w:color w:val="auto"/>
          <w:lang w:eastAsia="zh-CN"/>
        </w:rPr>
        <w:t>废气</w:t>
      </w:r>
    </w:p>
    <w:p>
      <w:pPr>
        <w:pStyle w:val="33"/>
        <w:bidi w:val="0"/>
        <w:rPr>
          <w:rFonts w:hint="eastAsia"/>
          <w:color w:val="auto"/>
        </w:rPr>
      </w:pPr>
      <w:r>
        <w:rPr>
          <w:rFonts w:hint="eastAsia"/>
          <w:color w:val="auto"/>
          <w:lang w:eastAsia="zh-CN"/>
        </w:rPr>
        <w:t>生产过程中，废气产生环节主要有：进料真空系统尾气</w:t>
      </w:r>
      <w:r>
        <w:rPr>
          <w:rFonts w:hint="default"/>
          <w:color w:val="auto"/>
          <w:lang w:val="zh-CN"/>
        </w:rPr>
        <w:t>G</w:t>
      </w:r>
      <w:r>
        <w:rPr>
          <w:rFonts w:hint="eastAsia"/>
          <w:color w:val="auto"/>
          <w:vertAlign w:val="subscript"/>
          <w:lang w:val="en-US" w:eastAsia="zh-CN"/>
        </w:rPr>
        <w:t>3</w:t>
      </w:r>
      <w:r>
        <w:rPr>
          <w:rFonts w:hint="default"/>
          <w:color w:val="auto"/>
          <w:vertAlign w:val="subscript"/>
          <w:lang w:val="zh-CN"/>
        </w:rPr>
        <w:t>-1</w:t>
      </w:r>
      <w:r>
        <w:rPr>
          <w:rFonts w:hint="eastAsia"/>
          <w:color w:val="auto"/>
          <w:lang w:eastAsia="zh-CN"/>
        </w:rPr>
        <w:t>、反应回流冷凝器尾气</w:t>
      </w:r>
      <w:r>
        <w:rPr>
          <w:rFonts w:hint="default"/>
          <w:color w:val="auto"/>
          <w:lang w:val="zh-CN"/>
        </w:rPr>
        <w:t>G</w:t>
      </w:r>
      <w:r>
        <w:rPr>
          <w:rFonts w:hint="eastAsia"/>
          <w:color w:val="auto"/>
          <w:vertAlign w:val="subscript"/>
          <w:lang w:val="en-US" w:eastAsia="zh-CN"/>
        </w:rPr>
        <w:t>3</w:t>
      </w:r>
      <w:r>
        <w:rPr>
          <w:rFonts w:hint="default"/>
          <w:color w:val="auto"/>
          <w:vertAlign w:val="subscript"/>
          <w:lang w:val="zh-CN"/>
        </w:rPr>
        <w:t>-</w:t>
      </w:r>
      <w:r>
        <w:rPr>
          <w:rFonts w:hint="eastAsia"/>
          <w:color w:val="auto"/>
          <w:vertAlign w:val="subscript"/>
          <w:lang w:val="en-US" w:eastAsia="zh-CN"/>
        </w:rPr>
        <w:t>2</w:t>
      </w:r>
      <w:r>
        <w:rPr>
          <w:rFonts w:hint="eastAsia"/>
          <w:color w:val="auto"/>
          <w:lang w:eastAsia="zh-CN"/>
        </w:rPr>
        <w:t>，均</w:t>
      </w:r>
      <w:r>
        <w:rPr>
          <w:rFonts w:hint="eastAsia"/>
          <w:color w:val="auto"/>
        </w:rPr>
        <w:t>进</w:t>
      </w:r>
      <w:r>
        <w:rPr>
          <w:rFonts w:hint="eastAsia"/>
          <w:color w:val="auto"/>
          <w:lang w:eastAsia="zh-CN"/>
        </w:rPr>
        <w:t>“冷凝处理+碱液喷淋＋炭吸附”</w:t>
      </w:r>
      <w:r>
        <w:rPr>
          <w:rFonts w:hint="eastAsia"/>
          <w:color w:val="auto"/>
        </w:rPr>
        <w:t>处理后经</w:t>
      </w:r>
      <w:r>
        <w:rPr>
          <w:rFonts w:hint="eastAsia"/>
          <w:color w:val="auto"/>
          <w:lang w:val="en-US" w:eastAsia="zh-CN"/>
        </w:rPr>
        <w:t>20</w:t>
      </w:r>
      <w:r>
        <w:rPr>
          <w:rFonts w:hint="eastAsia"/>
          <w:color w:val="auto"/>
        </w:rPr>
        <w:t>米高排气筒排放。</w:t>
      </w:r>
    </w:p>
    <w:p>
      <w:pPr>
        <w:pStyle w:val="33"/>
        <w:bidi w:val="0"/>
        <w:rPr>
          <w:rFonts w:hint="eastAsia"/>
          <w:color w:val="auto"/>
          <w:lang w:eastAsia="zh-CN"/>
        </w:rPr>
      </w:pPr>
      <w:r>
        <w:rPr>
          <w:rFonts w:hint="default"/>
          <w:color w:val="auto"/>
          <w:lang w:eastAsia="zh-CN"/>
        </w:rPr>
        <w:t>②</w:t>
      </w:r>
      <w:r>
        <w:rPr>
          <w:rFonts w:hint="eastAsia"/>
          <w:color w:val="auto"/>
          <w:lang w:eastAsia="zh-CN"/>
        </w:rPr>
        <w:t>废水</w:t>
      </w:r>
    </w:p>
    <w:p>
      <w:pPr>
        <w:pStyle w:val="33"/>
        <w:bidi w:val="0"/>
        <w:rPr>
          <w:rFonts w:hint="eastAsia"/>
          <w:color w:val="auto"/>
          <w:lang w:eastAsia="zh-CN"/>
        </w:rPr>
      </w:pPr>
      <w:r>
        <w:rPr>
          <w:rFonts w:hint="eastAsia"/>
          <w:color w:val="auto"/>
          <w:lang w:eastAsia="zh-CN"/>
        </w:rPr>
        <w:t>生产过程中，废水主要为真空吸料系统水环真空排水，设备及地面清洗等杂用水，排入厂区内新建污水处理站处理。</w:t>
      </w:r>
    </w:p>
    <w:p>
      <w:pPr>
        <w:pStyle w:val="33"/>
        <w:bidi w:val="0"/>
        <w:rPr>
          <w:rFonts w:hint="eastAsia"/>
          <w:color w:val="auto"/>
          <w:lang w:eastAsia="zh-CN"/>
        </w:rPr>
      </w:pPr>
      <w:r>
        <w:rPr>
          <w:rFonts w:hint="default"/>
          <w:color w:val="auto"/>
          <w:lang w:eastAsia="zh-CN"/>
        </w:rPr>
        <w:t>③</w:t>
      </w:r>
      <w:r>
        <w:rPr>
          <w:rFonts w:hint="eastAsia"/>
          <w:color w:val="auto"/>
          <w:lang w:eastAsia="zh-CN"/>
        </w:rPr>
        <w:t>固体废物</w:t>
      </w:r>
    </w:p>
    <w:p>
      <w:pPr>
        <w:pStyle w:val="33"/>
        <w:bidi w:val="0"/>
        <w:rPr>
          <w:rFonts w:hint="eastAsia"/>
          <w:color w:val="auto"/>
          <w:lang w:eastAsia="zh-CN"/>
        </w:rPr>
      </w:pPr>
      <w:r>
        <w:rPr>
          <w:rFonts w:hint="eastAsia"/>
          <w:color w:val="auto"/>
          <w:lang w:eastAsia="zh-CN"/>
        </w:rPr>
        <w:t>生产过程中，固体废物主要来自产品出料过滤产生的滤渣</w:t>
      </w:r>
      <w:r>
        <w:rPr>
          <w:rFonts w:hint="eastAsia"/>
          <w:color w:val="auto"/>
          <w:lang w:val="en-US" w:eastAsia="zh-CN"/>
        </w:rPr>
        <w:t>S</w:t>
      </w:r>
      <w:r>
        <w:rPr>
          <w:rFonts w:hint="eastAsia"/>
          <w:color w:val="auto"/>
          <w:vertAlign w:val="subscript"/>
          <w:lang w:val="en-US" w:eastAsia="zh-CN"/>
        </w:rPr>
        <w:t>3</w:t>
      </w:r>
      <w:r>
        <w:rPr>
          <w:rFonts w:hint="default"/>
          <w:color w:val="auto"/>
          <w:vertAlign w:val="subscript"/>
          <w:lang w:val="zh-CN"/>
        </w:rPr>
        <w:t>-1</w:t>
      </w:r>
      <w:r>
        <w:rPr>
          <w:rFonts w:hint="eastAsia"/>
          <w:color w:val="auto"/>
          <w:lang w:eastAsia="zh-CN"/>
        </w:rPr>
        <w:t>、空原料桶。其中：滤渣利用铁桶盛装，送有资质单位处置；空原料桶收集、堆存于原料仓库分出空桶区，定期由原料供应商回收重复利用，厂区内不设洗桶工序。</w:t>
      </w:r>
    </w:p>
    <w:p>
      <w:pPr>
        <w:pStyle w:val="33"/>
        <w:bidi w:val="0"/>
        <w:rPr>
          <w:rFonts w:hint="eastAsia"/>
          <w:color w:val="auto"/>
          <w:lang w:eastAsia="zh-CN"/>
        </w:rPr>
      </w:pPr>
      <w:r>
        <w:rPr>
          <w:rFonts w:hint="eastAsia"/>
          <w:color w:val="auto"/>
          <w:lang w:eastAsia="zh-CN"/>
        </w:rPr>
        <w:t>④噪声</w:t>
      </w:r>
    </w:p>
    <w:p>
      <w:pPr>
        <w:pStyle w:val="33"/>
        <w:bidi w:val="0"/>
        <w:rPr>
          <w:rFonts w:hint="eastAsia"/>
          <w:color w:val="auto"/>
          <w:lang w:eastAsia="zh-CN"/>
        </w:rPr>
      </w:pPr>
      <w:r>
        <w:rPr>
          <w:rFonts w:hint="eastAsia"/>
          <w:color w:val="auto"/>
          <w:lang w:eastAsia="zh-CN"/>
        </w:rPr>
        <w:t>固化剂生产线没有大型设备，各反应釜搅拌机、物料输送泵的功率均较小，噪声源强一般为</w:t>
      </w:r>
      <w:r>
        <w:rPr>
          <w:rFonts w:hint="eastAsia"/>
          <w:color w:val="auto"/>
          <w:lang w:val="en-US" w:eastAsia="zh-CN"/>
        </w:rPr>
        <w:t>75~85dB(A)。</w:t>
      </w:r>
    </w:p>
    <w:p>
      <w:pPr>
        <w:pStyle w:val="36"/>
        <w:bidi w:val="0"/>
        <w:rPr>
          <w:color w:val="auto"/>
        </w:rPr>
      </w:pPr>
      <w:r>
        <w:rPr>
          <w:color w:val="auto"/>
        </w:rPr>
        <w:t>表</w:t>
      </w:r>
      <w:r>
        <w:rPr>
          <w:rFonts w:hint="eastAsia"/>
          <w:color w:val="auto"/>
          <w:lang w:val="en-US" w:eastAsia="zh-CN"/>
        </w:rPr>
        <w:t>3.2-5</w:t>
      </w:r>
      <w:r>
        <w:rPr>
          <w:color w:val="auto"/>
        </w:rPr>
        <w:t xml:space="preserve">  </w:t>
      </w:r>
      <w:r>
        <w:rPr>
          <w:rFonts w:hint="eastAsia"/>
          <w:color w:val="auto"/>
        </w:rPr>
        <w:t>593固化剂</w:t>
      </w:r>
      <w:r>
        <w:rPr>
          <w:color w:val="auto"/>
        </w:rPr>
        <w:t>产污环节一览表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73"/>
        <w:gridCol w:w="2428"/>
        <w:gridCol w:w="1345"/>
        <w:gridCol w:w="1309"/>
        <w:gridCol w:w="3155"/>
      </w:tblGrid>
      <w:tr>
        <w:trPr>
          <w:trHeight w:val="357" w:hRule="atLeast"/>
        </w:trPr>
        <w:tc>
          <w:tcPr>
            <w:tcW w:w="669" w:type="pct"/>
            <w:tcBorders>
              <w:tl2br w:val="nil"/>
              <w:tr2bl w:val="nil"/>
            </w:tcBorders>
            <w:noWrap w:val="0"/>
            <w:vAlign w:val="center"/>
          </w:tcPr>
          <w:p>
            <w:pPr>
              <w:pStyle w:val="35"/>
              <w:bidi w:val="0"/>
              <w:rPr>
                <w:b/>
                <w:bCs/>
                <w:color w:val="auto"/>
              </w:rPr>
            </w:pPr>
            <w:r>
              <w:rPr>
                <w:rFonts w:hint="eastAsia"/>
                <w:b/>
                <w:bCs/>
                <w:color w:val="auto"/>
              </w:rPr>
              <w:t>污染类型</w:t>
            </w:r>
          </w:p>
        </w:tc>
        <w:tc>
          <w:tcPr>
            <w:tcW w:w="1276" w:type="pct"/>
            <w:tcBorders>
              <w:tl2br w:val="nil"/>
              <w:tr2bl w:val="nil"/>
            </w:tcBorders>
            <w:noWrap w:val="0"/>
            <w:vAlign w:val="center"/>
          </w:tcPr>
          <w:p>
            <w:pPr>
              <w:pStyle w:val="35"/>
              <w:bidi w:val="0"/>
              <w:rPr>
                <w:b/>
                <w:bCs/>
                <w:color w:val="auto"/>
              </w:rPr>
            </w:pPr>
            <w:r>
              <w:rPr>
                <w:rFonts w:hint="eastAsia"/>
                <w:b/>
                <w:bCs/>
                <w:color w:val="auto"/>
              </w:rPr>
              <w:t>产物环节</w:t>
            </w:r>
          </w:p>
        </w:tc>
        <w:tc>
          <w:tcPr>
            <w:tcW w:w="707" w:type="pct"/>
            <w:tcBorders>
              <w:tl2br w:val="nil"/>
              <w:tr2bl w:val="nil"/>
            </w:tcBorders>
            <w:noWrap w:val="0"/>
            <w:vAlign w:val="center"/>
          </w:tcPr>
          <w:p>
            <w:pPr>
              <w:pStyle w:val="35"/>
              <w:bidi w:val="0"/>
              <w:rPr>
                <w:b/>
                <w:bCs/>
                <w:color w:val="auto"/>
              </w:rPr>
            </w:pPr>
            <w:r>
              <w:rPr>
                <w:rFonts w:hint="eastAsia"/>
                <w:b/>
                <w:bCs/>
                <w:color w:val="auto"/>
              </w:rPr>
              <w:t>产生污染物</w:t>
            </w:r>
          </w:p>
        </w:tc>
        <w:tc>
          <w:tcPr>
            <w:tcW w:w="688" w:type="pct"/>
            <w:tcBorders>
              <w:tl2br w:val="nil"/>
              <w:tr2bl w:val="nil"/>
            </w:tcBorders>
            <w:noWrap w:val="0"/>
            <w:vAlign w:val="center"/>
          </w:tcPr>
          <w:p>
            <w:pPr>
              <w:pStyle w:val="35"/>
              <w:bidi w:val="0"/>
              <w:rPr>
                <w:b/>
                <w:bCs/>
                <w:color w:val="auto"/>
              </w:rPr>
            </w:pPr>
            <w:r>
              <w:rPr>
                <w:rFonts w:hint="eastAsia"/>
                <w:b/>
                <w:bCs/>
                <w:color w:val="auto"/>
              </w:rPr>
              <w:t>产生特点</w:t>
            </w:r>
          </w:p>
        </w:tc>
        <w:tc>
          <w:tcPr>
            <w:tcW w:w="1658" w:type="pct"/>
            <w:tcBorders>
              <w:tl2br w:val="nil"/>
              <w:tr2bl w:val="nil"/>
            </w:tcBorders>
            <w:noWrap w:val="0"/>
            <w:vAlign w:val="center"/>
          </w:tcPr>
          <w:p>
            <w:pPr>
              <w:pStyle w:val="35"/>
              <w:bidi w:val="0"/>
              <w:rPr>
                <w:b/>
                <w:bCs/>
                <w:color w:val="auto"/>
              </w:rPr>
            </w:pPr>
            <w:r>
              <w:rPr>
                <w:rFonts w:hint="eastAsia"/>
                <w:b/>
                <w:bCs/>
                <w:color w:val="auto"/>
              </w:rPr>
              <w:t>去向</w:t>
            </w:r>
          </w:p>
        </w:tc>
      </w:tr>
      <w:tr>
        <w:trPr>
          <w:trHeight w:val="398" w:hRule="atLeast"/>
        </w:trPr>
        <w:tc>
          <w:tcPr>
            <w:tcW w:w="669" w:type="pct"/>
            <w:tcBorders>
              <w:tl2br w:val="nil"/>
              <w:tr2bl w:val="nil"/>
            </w:tcBorders>
            <w:noWrap w:val="0"/>
            <w:vAlign w:val="center"/>
          </w:tcPr>
          <w:p>
            <w:pPr>
              <w:pStyle w:val="35"/>
              <w:bidi w:val="0"/>
              <w:rPr>
                <w:color w:val="auto"/>
              </w:rPr>
            </w:pPr>
            <w:r>
              <w:rPr>
                <w:rFonts w:hint="default"/>
                <w:color w:val="auto"/>
                <w:lang w:val="zh-CN"/>
              </w:rPr>
              <w:t>G</w:t>
            </w:r>
            <w:r>
              <w:rPr>
                <w:rFonts w:hint="eastAsia"/>
                <w:color w:val="auto"/>
                <w:lang w:val="en-US" w:eastAsia="zh-CN"/>
              </w:rPr>
              <w:t>3</w:t>
            </w:r>
            <w:r>
              <w:rPr>
                <w:rFonts w:hint="default"/>
                <w:color w:val="auto"/>
                <w:lang w:val="zh-CN"/>
              </w:rPr>
              <w:t>-1</w:t>
            </w:r>
            <w:r>
              <w:rPr>
                <w:rFonts w:hint="eastAsia"/>
                <w:color w:val="auto"/>
              </w:rPr>
              <w:t>废气</w:t>
            </w:r>
          </w:p>
        </w:tc>
        <w:tc>
          <w:tcPr>
            <w:tcW w:w="1276" w:type="pct"/>
            <w:tcBorders>
              <w:tl2br w:val="nil"/>
              <w:tr2bl w:val="nil"/>
            </w:tcBorders>
            <w:noWrap w:val="0"/>
            <w:vAlign w:val="center"/>
          </w:tcPr>
          <w:p>
            <w:pPr>
              <w:pStyle w:val="35"/>
              <w:bidi w:val="0"/>
              <w:rPr>
                <w:color w:val="auto"/>
              </w:rPr>
            </w:pPr>
            <w:r>
              <w:rPr>
                <w:rFonts w:hint="eastAsia"/>
                <w:color w:val="auto"/>
                <w:lang w:eastAsia="zh-CN"/>
              </w:rPr>
              <w:t>进料真空泵尾气</w:t>
            </w:r>
          </w:p>
        </w:tc>
        <w:tc>
          <w:tcPr>
            <w:tcW w:w="707"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非甲烷总烃</w:t>
            </w:r>
          </w:p>
        </w:tc>
        <w:tc>
          <w:tcPr>
            <w:tcW w:w="688" w:type="pct"/>
            <w:tcBorders>
              <w:tl2br w:val="nil"/>
              <w:tr2bl w:val="nil"/>
            </w:tcBorders>
            <w:noWrap w:val="0"/>
            <w:vAlign w:val="center"/>
          </w:tcPr>
          <w:p>
            <w:pPr>
              <w:pStyle w:val="35"/>
              <w:bidi w:val="0"/>
              <w:rPr>
                <w:color w:val="auto"/>
              </w:rPr>
            </w:pPr>
            <w:r>
              <w:rPr>
                <w:rFonts w:hint="eastAsia"/>
                <w:color w:val="auto"/>
              </w:rPr>
              <w:t>间歇</w:t>
            </w:r>
          </w:p>
        </w:tc>
        <w:tc>
          <w:tcPr>
            <w:tcW w:w="1658" w:type="pct"/>
            <w:vMerge w:val="restart"/>
            <w:tcBorders>
              <w:tl2br w:val="nil"/>
              <w:tr2bl w:val="nil"/>
            </w:tcBorders>
            <w:noWrap w:val="0"/>
            <w:vAlign w:val="center"/>
          </w:tcPr>
          <w:p>
            <w:pPr>
              <w:pStyle w:val="35"/>
              <w:bidi w:val="0"/>
              <w:rPr>
                <w:color w:val="auto"/>
              </w:rPr>
            </w:pPr>
            <w:r>
              <w:rPr>
                <w:rFonts w:hint="eastAsia" w:ascii="Times New Roman" w:hAnsi="Times New Roman" w:cs="Times New Roman"/>
                <w:color w:val="auto"/>
                <w:u w:val="none"/>
                <w:lang w:val="en-US" w:eastAsia="zh-CN"/>
              </w:rPr>
              <w:t>冷凝处理+碱液喷淋＋炭吸附</w:t>
            </w:r>
            <w:r>
              <w:rPr>
                <w:rFonts w:hint="eastAsia"/>
                <w:color w:val="auto"/>
                <w:u w:val="none"/>
                <w:lang w:val="en-US" w:eastAsia="zh-CN"/>
              </w:rPr>
              <w:t>+</w:t>
            </w:r>
            <w:r>
              <w:rPr>
                <w:rFonts w:hint="eastAsia"/>
                <w:color w:val="auto"/>
                <w:u w:val="none"/>
              </w:rPr>
              <w:t>20高排气筒</w:t>
            </w:r>
          </w:p>
        </w:tc>
      </w:tr>
      <w:tr>
        <w:trPr>
          <w:trHeight w:val="332" w:hRule="atLeast"/>
        </w:trPr>
        <w:tc>
          <w:tcPr>
            <w:tcW w:w="669" w:type="pct"/>
            <w:tcBorders>
              <w:tl2br w:val="nil"/>
              <w:tr2bl w:val="nil"/>
            </w:tcBorders>
            <w:noWrap w:val="0"/>
            <w:vAlign w:val="center"/>
          </w:tcPr>
          <w:p>
            <w:pPr>
              <w:pStyle w:val="35"/>
              <w:bidi w:val="0"/>
              <w:rPr>
                <w:rFonts w:hint="default"/>
                <w:color w:val="auto"/>
                <w:lang w:val="zh-CN"/>
              </w:rPr>
            </w:pPr>
            <w:r>
              <w:rPr>
                <w:rFonts w:hint="default"/>
                <w:color w:val="auto"/>
                <w:lang w:val="zh-CN"/>
              </w:rPr>
              <w:t>G</w:t>
            </w:r>
            <w:r>
              <w:rPr>
                <w:rFonts w:hint="eastAsia"/>
                <w:color w:val="auto"/>
                <w:lang w:val="en-US" w:eastAsia="zh-CN"/>
              </w:rPr>
              <w:t>3</w:t>
            </w:r>
            <w:r>
              <w:rPr>
                <w:rFonts w:hint="default"/>
                <w:color w:val="auto"/>
                <w:lang w:val="zh-CN"/>
              </w:rPr>
              <w:t>-</w:t>
            </w:r>
            <w:r>
              <w:rPr>
                <w:rFonts w:hint="eastAsia"/>
                <w:color w:val="auto"/>
                <w:lang w:val="en-US" w:eastAsia="zh-CN"/>
              </w:rPr>
              <w:t>2</w:t>
            </w:r>
            <w:r>
              <w:rPr>
                <w:rFonts w:hint="eastAsia"/>
                <w:color w:val="auto"/>
              </w:rPr>
              <w:t>废气</w:t>
            </w:r>
          </w:p>
        </w:tc>
        <w:tc>
          <w:tcPr>
            <w:tcW w:w="1276" w:type="pct"/>
            <w:tcBorders>
              <w:tl2br w:val="nil"/>
              <w:tr2bl w:val="nil"/>
            </w:tcBorders>
            <w:noWrap w:val="0"/>
            <w:vAlign w:val="center"/>
          </w:tcPr>
          <w:p>
            <w:pPr>
              <w:pStyle w:val="35"/>
              <w:bidi w:val="0"/>
              <w:rPr>
                <w:color w:val="auto"/>
              </w:rPr>
            </w:pPr>
            <w:r>
              <w:rPr>
                <w:color w:val="auto"/>
              </w:rPr>
              <w:t>反应釜</w:t>
            </w:r>
            <w:r>
              <w:rPr>
                <w:rFonts w:hint="eastAsia"/>
                <w:color w:val="auto"/>
                <w:lang w:eastAsia="zh-CN"/>
              </w:rPr>
              <w:t>回流</w:t>
            </w:r>
            <w:r>
              <w:rPr>
                <w:color w:val="auto"/>
              </w:rPr>
              <w:t>冷凝器</w:t>
            </w:r>
            <w:r>
              <w:rPr>
                <w:rFonts w:hint="eastAsia"/>
                <w:color w:val="auto"/>
                <w:lang w:eastAsia="zh-CN"/>
              </w:rPr>
              <w:t>尾气</w:t>
            </w:r>
          </w:p>
        </w:tc>
        <w:tc>
          <w:tcPr>
            <w:tcW w:w="707"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非甲烷总烃</w:t>
            </w:r>
          </w:p>
        </w:tc>
        <w:tc>
          <w:tcPr>
            <w:tcW w:w="688" w:type="pct"/>
            <w:tcBorders>
              <w:tl2br w:val="nil"/>
              <w:tr2bl w:val="nil"/>
            </w:tcBorders>
            <w:noWrap w:val="0"/>
            <w:vAlign w:val="center"/>
          </w:tcPr>
          <w:p>
            <w:pPr>
              <w:pStyle w:val="35"/>
              <w:bidi w:val="0"/>
              <w:rPr>
                <w:rFonts w:hint="eastAsia"/>
                <w:color w:val="auto"/>
              </w:rPr>
            </w:pPr>
            <w:r>
              <w:rPr>
                <w:rFonts w:hint="eastAsia"/>
                <w:color w:val="auto"/>
              </w:rPr>
              <w:t>间歇</w:t>
            </w:r>
          </w:p>
        </w:tc>
        <w:tc>
          <w:tcPr>
            <w:tcW w:w="1658" w:type="pct"/>
            <w:vMerge w:val="continue"/>
            <w:tcBorders>
              <w:tl2br w:val="nil"/>
              <w:tr2bl w:val="nil"/>
            </w:tcBorders>
            <w:noWrap w:val="0"/>
            <w:vAlign w:val="center"/>
          </w:tcPr>
          <w:p>
            <w:pPr>
              <w:pStyle w:val="35"/>
              <w:bidi w:val="0"/>
              <w:rPr>
                <w:rFonts w:hint="eastAsia"/>
                <w:color w:val="auto"/>
              </w:rPr>
            </w:pPr>
          </w:p>
        </w:tc>
      </w:tr>
      <w:tr>
        <w:trPr>
          <w:trHeight w:val="165" w:hRule="atLeast"/>
        </w:trPr>
        <w:tc>
          <w:tcPr>
            <w:tcW w:w="669" w:type="pct"/>
            <w:tcBorders>
              <w:tl2br w:val="nil"/>
              <w:tr2bl w:val="nil"/>
            </w:tcBorders>
            <w:noWrap w:val="0"/>
            <w:vAlign w:val="center"/>
          </w:tcPr>
          <w:p>
            <w:pPr>
              <w:pStyle w:val="35"/>
              <w:bidi w:val="0"/>
              <w:rPr>
                <w:color w:val="auto"/>
              </w:rPr>
            </w:pPr>
            <w:r>
              <w:rPr>
                <w:rFonts w:hint="eastAsia"/>
                <w:color w:val="auto"/>
                <w:lang w:val="en-US" w:eastAsia="zh-CN"/>
              </w:rPr>
              <w:t>S3</w:t>
            </w:r>
            <w:r>
              <w:rPr>
                <w:rFonts w:hint="default"/>
                <w:color w:val="auto"/>
                <w:lang w:val="zh-CN"/>
              </w:rPr>
              <w:t>-1</w:t>
            </w:r>
            <w:r>
              <w:rPr>
                <w:rFonts w:hint="eastAsia"/>
                <w:color w:val="auto"/>
              </w:rPr>
              <w:t>固废</w:t>
            </w:r>
          </w:p>
        </w:tc>
        <w:tc>
          <w:tcPr>
            <w:tcW w:w="1276" w:type="pct"/>
            <w:tcBorders>
              <w:tl2br w:val="nil"/>
              <w:tr2bl w:val="nil"/>
            </w:tcBorders>
            <w:noWrap w:val="0"/>
            <w:vAlign w:val="center"/>
          </w:tcPr>
          <w:p>
            <w:pPr>
              <w:pStyle w:val="35"/>
              <w:bidi w:val="0"/>
              <w:rPr>
                <w:color w:val="auto"/>
              </w:rPr>
            </w:pPr>
            <w:r>
              <w:rPr>
                <w:rFonts w:hint="eastAsia"/>
                <w:color w:val="auto"/>
              </w:rPr>
              <w:t>过滤</w:t>
            </w:r>
          </w:p>
        </w:tc>
        <w:tc>
          <w:tcPr>
            <w:tcW w:w="707" w:type="pct"/>
            <w:tcBorders>
              <w:tl2br w:val="nil"/>
              <w:tr2bl w:val="nil"/>
            </w:tcBorders>
            <w:noWrap w:val="0"/>
            <w:vAlign w:val="center"/>
          </w:tcPr>
          <w:p>
            <w:pPr>
              <w:pStyle w:val="35"/>
              <w:bidi w:val="0"/>
              <w:rPr>
                <w:color w:val="auto"/>
              </w:rPr>
            </w:pPr>
            <w:r>
              <w:rPr>
                <w:rFonts w:hint="eastAsia"/>
                <w:color w:val="auto"/>
              </w:rPr>
              <w:t>滤渣</w:t>
            </w:r>
          </w:p>
        </w:tc>
        <w:tc>
          <w:tcPr>
            <w:tcW w:w="688" w:type="pct"/>
            <w:tcBorders>
              <w:tl2br w:val="nil"/>
              <w:tr2bl w:val="nil"/>
            </w:tcBorders>
            <w:noWrap w:val="0"/>
            <w:vAlign w:val="center"/>
          </w:tcPr>
          <w:p>
            <w:pPr>
              <w:pStyle w:val="35"/>
              <w:bidi w:val="0"/>
              <w:rPr>
                <w:color w:val="auto"/>
              </w:rPr>
            </w:pPr>
            <w:r>
              <w:rPr>
                <w:rFonts w:hint="eastAsia"/>
                <w:color w:val="auto"/>
              </w:rPr>
              <w:t>间歇</w:t>
            </w:r>
          </w:p>
        </w:tc>
        <w:tc>
          <w:tcPr>
            <w:tcW w:w="1658" w:type="pct"/>
            <w:tcBorders>
              <w:tl2br w:val="nil"/>
              <w:tr2bl w:val="nil"/>
            </w:tcBorders>
            <w:noWrap w:val="0"/>
            <w:vAlign w:val="center"/>
          </w:tcPr>
          <w:p>
            <w:pPr>
              <w:pStyle w:val="35"/>
              <w:bidi w:val="0"/>
              <w:rPr>
                <w:color w:val="auto"/>
              </w:rPr>
            </w:pPr>
            <w:r>
              <w:rPr>
                <w:rFonts w:hint="eastAsia"/>
                <w:color w:val="auto"/>
              </w:rPr>
              <w:t>交有资质单位处置</w:t>
            </w:r>
          </w:p>
        </w:tc>
      </w:tr>
    </w:tbl>
    <w:p>
      <w:pPr>
        <w:pStyle w:val="33"/>
        <w:bidi w:val="0"/>
        <w:rPr>
          <w:b/>
          <w:bCs/>
          <w:color w:val="auto"/>
        </w:rPr>
      </w:pPr>
      <w:r>
        <w:rPr>
          <w:rFonts w:hint="eastAsia"/>
          <w:b/>
          <w:bCs/>
          <w:color w:val="auto"/>
          <w:lang w:val="en-US" w:eastAsia="zh-CN"/>
        </w:rPr>
        <w:t>3、</w:t>
      </w:r>
      <w:r>
        <w:rPr>
          <w:rFonts w:hint="eastAsia"/>
          <w:b/>
          <w:bCs/>
          <w:color w:val="auto"/>
        </w:rPr>
        <w:t>改性胺固化剂生产</w:t>
      </w:r>
    </w:p>
    <w:p>
      <w:pPr>
        <w:pStyle w:val="33"/>
        <w:bidi w:val="0"/>
        <w:rPr>
          <w:rFonts w:hint="eastAsia"/>
          <w:color w:val="auto"/>
        </w:rPr>
      </w:pPr>
      <w:r>
        <w:rPr>
          <w:rFonts w:hint="eastAsia"/>
          <w:color w:val="auto"/>
        </w:rPr>
        <w:t>（1）工艺流程</w:t>
      </w:r>
    </w:p>
    <w:p>
      <w:pPr>
        <w:pStyle w:val="33"/>
        <w:bidi w:val="0"/>
        <w:rPr>
          <w:rFonts w:hint="eastAsia"/>
          <w:color w:val="auto"/>
        </w:rPr>
      </w:pPr>
      <w:r>
        <w:rPr>
          <w:rFonts w:hint="eastAsia"/>
          <w:color w:val="auto"/>
        </w:rPr>
        <w:t>①</w:t>
      </w:r>
      <w:r>
        <w:rPr>
          <w:rFonts w:hint="eastAsia"/>
          <w:color w:val="auto"/>
          <w:lang w:eastAsia="zh-CN"/>
        </w:rPr>
        <w:t>备</w:t>
      </w:r>
      <w:r>
        <w:rPr>
          <w:rFonts w:hint="eastAsia"/>
          <w:color w:val="auto"/>
        </w:rPr>
        <w:t>料：</w:t>
      </w:r>
    </w:p>
    <w:p>
      <w:pPr>
        <w:pStyle w:val="33"/>
        <w:bidi w:val="0"/>
        <w:rPr>
          <w:color w:val="auto"/>
        </w:rPr>
      </w:pPr>
      <w:r>
        <w:rPr>
          <w:rFonts w:hint="eastAsia"/>
          <w:color w:val="auto"/>
          <w:lang w:val="en-US" w:eastAsia="zh-CN"/>
        </w:rPr>
        <w:t>200L桶装</w:t>
      </w:r>
      <w:r>
        <w:rPr>
          <w:rFonts w:hint="eastAsia"/>
          <w:color w:val="auto"/>
        </w:rPr>
        <w:t>聚醚胺</w:t>
      </w:r>
      <w:r>
        <w:rPr>
          <w:rFonts w:hint="eastAsia"/>
          <w:color w:val="auto"/>
          <w:lang w:eastAsia="zh-CN"/>
        </w:rPr>
        <w:t>、</w:t>
      </w:r>
      <w:r>
        <w:rPr>
          <w:rFonts w:hint="eastAsia"/>
          <w:color w:val="auto"/>
        </w:rPr>
        <w:t>环氧树脂</w:t>
      </w:r>
      <w:r>
        <w:rPr>
          <w:rFonts w:hint="eastAsia"/>
          <w:color w:val="auto"/>
          <w:lang w:eastAsia="zh-CN"/>
        </w:rPr>
        <w:t>、</w:t>
      </w:r>
      <w:r>
        <w:rPr>
          <w:rFonts w:hint="eastAsia"/>
          <w:color w:val="auto"/>
        </w:rPr>
        <w:t>苄基缩水甘油醚，三乙烯四胺</w:t>
      </w:r>
      <w:r>
        <w:rPr>
          <w:rFonts w:hint="eastAsia"/>
          <w:color w:val="auto"/>
          <w:lang w:eastAsia="zh-CN"/>
        </w:rPr>
        <w:t>、</w:t>
      </w:r>
      <w:r>
        <w:rPr>
          <w:rFonts w:hint="eastAsia"/>
          <w:color w:val="auto"/>
        </w:rPr>
        <w:t>苯甲醇</w:t>
      </w:r>
      <w:r>
        <w:rPr>
          <w:rFonts w:hint="eastAsia"/>
          <w:color w:val="auto"/>
          <w:lang w:eastAsia="zh-CN"/>
        </w:rPr>
        <w:t>、</w:t>
      </w:r>
      <w:r>
        <w:rPr>
          <w:rFonts w:hint="eastAsia"/>
          <w:color w:val="auto"/>
          <w:lang w:val="en-US" w:eastAsia="zh-CN"/>
        </w:rPr>
        <w:t>从原料仓库运送至生产车间。聚醚胺、三乙烯四胺经</w:t>
      </w:r>
      <w:r>
        <w:rPr>
          <w:rFonts w:hint="eastAsia"/>
          <w:color w:val="auto"/>
        </w:rPr>
        <w:t>真空进料</w:t>
      </w:r>
      <w:r>
        <w:rPr>
          <w:rFonts w:hint="eastAsia"/>
          <w:color w:val="auto"/>
          <w:lang w:eastAsia="zh-CN"/>
        </w:rPr>
        <w:t>系统抽至高位槽滴加罐，缓慢搅拌均匀后备用。各包装桶使用后立即将盖子扣好、拧紧。</w:t>
      </w:r>
    </w:p>
    <w:p>
      <w:pPr>
        <w:pStyle w:val="33"/>
        <w:bidi w:val="0"/>
        <w:rPr>
          <w:rFonts w:hint="eastAsia"/>
          <w:color w:val="auto"/>
        </w:rPr>
      </w:pPr>
      <w:r>
        <w:rPr>
          <w:rFonts w:hint="eastAsia"/>
          <w:color w:val="auto"/>
        </w:rPr>
        <w:t>②</w:t>
      </w:r>
      <w:r>
        <w:rPr>
          <w:rFonts w:hint="eastAsia"/>
          <w:color w:val="auto"/>
          <w:lang w:eastAsia="zh-CN"/>
        </w:rPr>
        <w:t>滴加</w:t>
      </w:r>
      <w:r>
        <w:rPr>
          <w:rFonts w:hint="eastAsia"/>
          <w:color w:val="auto"/>
        </w:rPr>
        <w:t>反应：</w:t>
      </w:r>
    </w:p>
    <w:p>
      <w:pPr>
        <w:pStyle w:val="33"/>
        <w:bidi w:val="0"/>
        <w:rPr>
          <w:rFonts w:hint="eastAsia"/>
          <w:color w:val="auto"/>
        </w:rPr>
      </w:pPr>
      <w:r>
        <w:rPr>
          <w:rFonts w:hint="eastAsia"/>
          <w:color w:val="auto"/>
        </w:rPr>
        <w:t>以真空进料方式投入计量后的环氧树脂</w:t>
      </w:r>
      <w:r>
        <w:rPr>
          <w:rFonts w:hint="eastAsia"/>
          <w:color w:val="auto"/>
          <w:lang w:eastAsia="zh-CN"/>
        </w:rPr>
        <w:t>、</w:t>
      </w:r>
      <w:r>
        <w:rPr>
          <w:rFonts w:hint="eastAsia"/>
          <w:color w:val="auto"/>
        </w:rPr>
        <w:t>苄基缩水甘油醚到反应釜，开启搅拌，通入3</w:t>
      </w:r>
      <w:r>
        <w:rPr>
          <w:color w:val="auto"/>
        </w:rPr>
        <w:t>m</w:t>
      </w:r>
      <w:r>
        <w:rPr>
          <w:color w:val="auto"/>
          <w:vertAlign w:val="superscript"/>
        </w:rPr>
        <w:t>3</w:t>
      </w:r>
      <w:r>
        <w:rPr>
          <w:color w:val="auto"/>
        </w:rPr>
        <w:t>/h</w:t>
      </w:r>
      <w:r>
        <w:rPr>
          <w:rFonts w:hint="eastAsia"/>
          <w:color w:val="auto"/>
        </w:rPr>
        <w:t>的氮气，升温至50℃，充分搅拌0.5h。同时，滴加</w:t>
      </w:r>
      <w:r>
        <w:rPr>
          <w:rFonts w:hint="eastAsia"/>
          <w:color w:val="auto"/>
          <w:lang w:eastAsia="zh-CN"/>
        </w:rPr>
        <w:t>高温槽混配好混合液</w:t>
      </w:r>
      <w:r>
        <w:rPr>
          <w:rFonts w:hint="eastAsia"/>
          <w:color w:val="auto"/>
        </w:rPr>
        <w:t>，</w:t>
      </w:r>
      <w:r>
        <w:rPr>
          <w:rFonts w:hint="eastAsia"/>
          <w:color w:val="auto"/>
          <w:lang w:eastAsia="zh-CN"/>
        </w:rPr>
        <w:t>缓慢</w:t>
      </w:r>
      <w:r>
        <w:rPr>
          <w:rFonts w:hint="eastAsia"/>
          <w:color w:val="auto"/>
        </w:rPr>
        <w:t>搅拌</w:t>
      </w:r>
      <w:r>
        <w:rPr>
          <w:rFonts w:hint="eastAsia"/>
          <w:color w:val="auto"/>
          <w:lang w:eastAsia="zh-CN"/>
        </w:rPr>
        <w:t>均匀约</w:t>
      </w:r>
      <w:r>
        <w:rPr>
          <w:rFonts w:hint="eastAsia"/>
          <w:color w:val="auto"/>
        </w:rPr>
        <w:t>0.5h，</w:t>
      </w:r>
      <w:r>
        <w:rPr>
          <w:rFonts w:hint="eastAsia"/>
          <w:color w:val="auto"/>
          <w:lang w:eastAsia="zh-CN"/>
        </w:rPr>
        <w:t>控制温度，</w:t>
      </w:r>
      <w:r>
        <w:rPr>
          <w:rFonts w:hint="eastAsia"/>
          <w:color w:val="auto"/>
        </w:rPr>
        <w:t>保温反应2h。</w:t>
      </w:r>
      <w:r>
        <w:rPr>
          <w:rFonts w:hint="eastAsia"/>
          <w:color w:val="auto"/>
          <w:lang w:eastAsia="zh-CN"/>
        </w:rPr>
        <w:t>反应方程式如下：</w:t>
      </w:r>
    </w:p>
    <w:p>
      <w:pPr>
        <w:pStyle w:val="33"/>
        <w:bidi w:val="0"/>
        <w:rPr>
          <w:color w:val="auto"/>
        </w:rPr>
      </w:pPr>
      <w:r>
        <w:rPr>
          <w:color w:val="auto"/>
        </w:rPr>
        <w:drawing>
          <wp:inline distT="0" distB="0" distL="114300" distR="114300">
            <wp:extent cx="4770755" cy="771525"/>
            <wp:effectExtent l="0" t="0" r="10795" b="9525"/>
            <wp:docPr id="14" name="图片 262" descr="FKGK7KVCLPPJA1ZL3HJ6K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2" descr="FKGK7KVCLPPJA1ZL3HJ6KDN"/>
                    <pic:cNvPicPr>
                      <a:picLocks noChangeAspect="1"/>
                    </pic:cNvPicPr>
                  </pic:nvPicPr>
                  <pic:blipFill>
                    <a:blip r:embed="rId28"/>
                    <a:stretch>
                      <a:fillRect/>
                    </a:stretch>
                  </pic:blipFill>
                  <pic:spPr>
                    <a:xfrm>
                      <a:off x="0" y="0"/>
                      <a:ext cx="4770755" cy="771525"/>
                    </a:xfrm>
                    <a:prstGeom prst="rect">
                      <a:avLst/>
                    </a:prstGeom>
                    <a:noFill/>
                    <a:ln>
                      <a:noFill/>
                    </a:ln>
                  </pic:spPr>
                </pic:pic>
              </a:graphicData>
            </a:graphic>
          </wp:inline>
        </w:drawing>
      </w:r>
    </w:p>
    <w:p>
      <w:pPr>
        <w:pStyle w:val="33"/>
        <w:bidi w:val="0"/>
        <w:rPr>
          <w:rFonts w:hint="eastAsia"/>
          <w:color w:val="auto"/>
          <w:lang w:eastAsia="zh-CN"/>
        </w:rPr>
      </w:pPr>
      <w:r>
        <w:rPr>
          <w:rFonts w:hint="eastAsia"/>
          <w:color w:val="auto"/>
        </w:rPr>
        <w:t>③</w:t>
      </w:r>
      <w:r>
        <w:rPr>
          <w:rFonts w:hint="eastAsia"/>
          <w:color w:val="auto"/>
          <w:lang w:eastAsia="zh-CN"/>
        </w:rPr>
        <w:t>减压精馏：</w:t>
      </w:r>
    </w:p>
    <w:p>
      <w:pPr>
        <w:pStyle w:val="33"/>
        <w:bidi w:val="0"/>
        <w:rPr>
          <w:rFonts w:hint="eastAsia"/>
          <w:color w:val="auto"/>
          <w:lang w:eastAsia="zh-CN"/>
        </w:rPr>
      </w:pPr>
      <w:r>
        <w:rPr>
          <w:rFonts w:hint="eastAsia"/>
          <w:color w:val="auto"/>
        </w:rPr>
        <w:t>反应完毕，</w:t>
      </w:r>
      <w:r>
        <w:rPr>
          <w:color w:val="auto"/>
        </w:rPr>
        <w:t>开真空泵减压蒸馏脱</w:t>
      </w:r>
      <w:r>
        <w:rPr>
          <w:rFonts w:hint="eastAsia"/>
          <w:color w:val="auto"/>
          <w:lang w:eastAsia="zh-CN"/>
        </w:rPr>
        <w:t>溶，冷凝回收单体返回生产工序循环利用</w:t>
      </w:r>
      <w:r>
        <w:rPr>
          <w:rFonts w:hint="eastAsia"/>
          <w:color w:val="auto"/>
        </w:rPr>
        <w:t>。</w:t>
      </w:r>
      <w:r>
        <w:rPr>
          <w:rFonts w:hint="eastAsia"/>
          <w:color w:val="auto"/>
          <w:lang w:eastAsia="zh-CN"/>
        </w:rPr>
        <w:t>减压精馏</w:t>
      </w:r>
      <w:r>
        <w:rPr>
          <w:rFonts w:hint="eastAsia"/>
          <w:color w:val="auto"/>
        </w:rPr>
        <w:t>真空泵尾气进</w:t>
      </w:r>
      <w:r>
        <w:rPr>
          <w:rFonts w:hint="eastAsia"/>
          <w:color w:val="auto"/>
          <w:lang w:eastAsia="zh-CN"/>
        </w:rPr>
        <w:t>“冷凝</w:t>
      </w:r>
      <w:r>
        <w:rPr>
          <w:rFonts w:hint="eastAsia"/>
          <w:color w:val="auto"/>
          <w:lang w:val="en-US" w:eastAsia="zh-CN"/>
        </w:rPr>
        <w:t>+</w:t>
      </w:r>
      <w:r>
        <w:rPr>
          <w:rFonts w:hint="eastAsia"/>
          <w:color w:val="auto"/>
          <w:lang w:eastAsia="zh-CN"/>
        </w:rPr>
        <w:t>碱液吸收</w:t>
      </w:r>
      <w:r>
        <w:rPr>
          <w:rFonts w:hint="eastAsia"/>
          <w:color w:val="auto"/>
          <w:lang w:val="en-US" w:eastAsia="zh-CN"/>
        </w:rPr>
        <w:t>+UV光解</w:t>
      </w:r>
      <w:r>
        <w:rPr>
          <w:rFonts w:hint="eastAsia"/>
          <w:color w:val="auto"/>
        </w:rPr>
        <w:t>装置</w:t>
      </w:r>
      <w:r>
        <w:rPr>
          <w:rFonts w:hint="eastAsia"/>
          <w:color w:val="auto"/>
          <w:lang w:eastAsia="zh-CN"/>
        </w:rPr>
        <w:t>”</w:t>
      </w:r>
      <w:r>
        <w:rPr>
          <w:rFonts w:hint="eastAsia"/>
          <w:color w:val="auto"/>
        </w:rPr>
        <w:t>处理后经</w:t>
      </w:r>
      <w:r>
        <w:rPr>
          <w:rFonts w:hint="eastAsia"/>
          <w:color w:val="auto"/>
          <w:lang w:val="en-US" w:eastAsia="zh-CN"/>
        </w:rPr>
        <w:t>20</w:t>
      </w:r>
      <w:r>
        <w:rPr>
          <w:rFonts w:hint="eastAsia"/>
          <w:color w:val="auto"/>
        </w:rPr>
        <w:t>米高排气筒排放。</w:t>
      </w:r>
    </w:p>
    <w:p>
      <w:pPr>
        <w:pStyle w:val="33"/>
        <w:bidi w:val="0"/>
        <w:rPr>
          <w:rFonts w:hint="eastAsia"/>
          <w:color w:val="auto"/>
        </w:rPr>
      </w:pPr>
      <w:r>
        <w:rPr>
          <w:rFonts w:hint="eastAsia"/>
          <w:color w:val="auto"/>
        </w:rPr>
        <w:t>④兑稀：</w:t>
      </w:r>
    </w:p>
    <w:p>
      <w:pPr>
        <w:pStyle w:val="33"/>
        <w:bidi w:val="0"/>
        <w:rPr>
          <w:color w:val="auto"/>
        </w:rPr>
      </w:pPr>
      <w:r>
        <w:rPr>
          <w:rFonts w:hint="eastAsia"/>
          <w:color w:val="auto"/>
          <w:lang w:eastAsia="zh-CN"/>
        </w:rPr>
        <w:t>停止真空后，停止加热</w:t>
      </w:r>
      <w:r>
        <w:rPr>
          <w:rFonts w:hint="eastAsia"/>
          <w:color w:val="auto"/>
        </w:rPr>
        <w:t>，以真空进料方式投入计量后的苯甲醇到反应釜中，持续搅拌0.5h。</w:t>
      </w:r>
    </w:p>
    <w:p>
      <w:pPr>
        <w:pStyle w:val="33"/>
        <w:bidi w:val="0"/>
        <w:rPr>
          <w:rFonts w:hint="eastAsia"/>
          <w:color w:val="auto"/>
        </w:rPr>
      </w:pPr>
      <w:r>
        <w:rPr>
          <w:rFonts w:hint="eastAsia"/>
          <w:color w:val="auto"/>
        </w:rPr>
        <w:t>⑤过滤</w:t>
      </w:r>
      <w:r>
        <w:rPr>
          <w:rFonts w:hint="eastAsia"/>
          <w:color w:val="auto"/>
          <w:lang w:eastAsia="zh-CN"/>
        </w:rPr>
        <w:t>出料</w:t>
      </w:r>
      <w:r>
        <w:rPr>
          <w:rFonts w:hint="eastAsia"/>
          <w:color w:val="auto"/>
        </w:rPr>
        <w:t>：</w:t>
      </w:r>
    </w:p>
    <w:p>
      <w:pPr>
        <w:pStyle w:val="33"/>
        <w:bidi w:val="0"/>
        <w:rPr>
          <w:color w:val="auto"/>
        </w:rPr>
      </w:pPr>
      <w:r>
        <w:rPr>
          <w:rFonts w:hint="eastAsia"/>
          <w:color w:val="auto"/>
          <w:lang w:eastAsia="zh-CN"/>
        </w:rPr>
        <w:t>出料</w:t>
      </w:r>
      <w:r>
        <w:rPr>
          <w:rFonts w:hint="eastAsia"/>
          <w:color w:val="auto"/>
        </w:rPr>
        <w:t>产品</w:t>
      </w:r>
      <w:r>
        <w:rPr>
          <w:rFonts w:hint="eastAsia"/>
          <w:color w:val="auto"/>
          <w:lang w:eastAsia="zh-CN"/>
        </w:rPr>
        <w:t>经管式</w:t>
      </w:r>
      <w:r>
        <w:rPr>
          <w:rFonts w:hint="eastAsia"/>
          <w:color w:val="auto"/>
        </w:rPr>
        <w:t>过滤</w:t>
      </w:r>
      <w:r>
        <w:rPr>
          <w:rFonts w:hint="eastAsia"/>
          <w:color w:val="auto"/>
          <w:lang w:eastAsia="zh-CN"/>
        </w:rPr>
        <w:t>器（内含金属丝滤网）过滤后</w:t>
      </w:r>
      <w:r>
        <w:rPr>
          <w:rFonts w:hint="eastAsia"/>
          <w:color w:val="auto"/>
        </w:rPr>
        <w:t>包装罐桶。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Times New Roman" w:hAnsi="Times New Roman"/>
          <w:caps w:val="0"/>
          <w:smallCaps w:val="0"/>
          <w:color w:val="auto"/>
          <w:sz w:val="24"/>
          <w:szCs w:val="24"/>
          <w:u w:val="single"/>
        </w:rPr>
      </w:pPr>
      <w:r>
        <w:rPr>
          <w:rFonts w:ascii="Times New Roman" w:hAnsi="Times New Roman"/>
          <w:caps w:val="0"/>
          <w:smallCaps w:val="0"/>
          <w:color w:val="auto"/>
          <w:sz w:val="24"/>
          <w:szCs w:val="24"/>
          <w:u w:val="none"/>
        </w:rPr>
        <w:object>
          <v:shape id="_x0000_i1029" o:spt="75" type="#_x0000_t75" style="height:359.25pt;width:367.5pt;" o:ole="t" filled="f" o:preferrelative="t" stroked="f" coordsize="21600,21600">
            <v:path/>
            <v:fill on="f" focussize="0,0"/>
            <v:stroke on="f"/>
            <v:imagedata r:id="rId30" o:title=""/>
            <o:lock v:ext="edit" aspectratio="f"/>
            <w10:wrap type="none"/>
            <w10:anchorlock/>
          </v:shape>
          <o:OLEObject Type="Embed" ProgID="Visio.Drawing.11" ShapeID="_x0000_i1029" DrawAspect="Content" ObjectID="_1468075729" r:id="rId29">
            <o:LockedField>false</o:LockedField>
          </o:OLEObject>
        </w:object>
      </w:r>
    </w:p>
    <w:p>
      <w:pPr>
        <w:pStyle w:val="36"/>
        <w:bidi w:val="0"/>
        <w:rPr>
          <w:color w:val="auto"/>
        </w:rPr>
      </w:pPr>
      <w:r>
        <w:rPr>
          <w:rFonts w:hint="eastAsia"/>
          <w:color w:val="auto"/>
        </w:rPr>
        <w:t>图</w:t>
      </w:r>
      <w:r>
        <w:rPr>
          <w:rFonts w:hint="eastAsia"/>
          <w:color w:val="auto"/>
          <w:lang w:val="en-US" w:eastAsia="zh-CN"/>
        </w:rPr>
        <w:t>3.2-7</w:t>
      </w:r>
      <w:r>
        <w:rPr>
          <w:rFonts w:hint="eastAsia"/>
          <w:color w:val="auto"/>
        </w:rPr>
        <w:t xml:space="preserve">  改性胺环氧树脂固化剂工艺流程及产污环节图</w:t>
      </w:r>
    </w:p>
    <w:p>
      <w:pPr>
        <w:pStyle w:val="33"/>
        <w:bidi w:val="0"/>
        <w:rPr>
          <w:rFonts w:hint="eastAsia"/>
          <w:color w:val="auto"/>
          <w:lang w:eastAsia="zh-CN"/>
        </w:rPr>
      </w:pPr>
      <w:r>
        <w:rPr>
          <w:rFonts w:hint="eastAsia"/>
          <w:color w:val="auto"/>
        </w:rPr>
        <w:t>（2）产污</w:t>
      </w:r>
      <w:r>
        <w:rPr>
          <w:rFonts w:hint="eastAsia"/>
          <w:color w:val="auto"/>
          <w:lang w:eastAsia="zh-CN"/>
        </w:rPr>
        <w:t>环节分析</w:t>
      </w:r>
    </w:p>
    <w:p>
      <w:pPr>
        <w:pStyle w:val="33"/>
        <w:bidi w:val="0"/>
        <w:rPr>
          <w:rFonts w:hint="eastAsia"/>
          <w:color w:val="auto"/>
          <w:lang w:eastAsia="zh-CN"/>
        </w:rPr>
      </w:pPr>
      <w:r>
        <w:rPr>
          <w:rFonts w:hint="default"/>
          <w:color w:val="auto"/>
          <w:lang w:eastAsia="zh-CN"/>
        </w:rPr>
        <w:t>①</w:t>
      </w:r>
      <w:r>
        <w:rPr>
          <w:rFonts w:hint="eastAsia"/>
          <w:color w:val="auto"/>
          <w:lang w:eastAsia="zh-CN"/>
        </w:rPr>
        <w:t>废气</w:t>
      </w:r>
    </w:p>
    <w:p>
      <w:pPr>
        <w:pStyle w:val="33"/>
        <w:bidi w:val="0"/>
        <w:rPr>
          <w:rFonts w:hint="eastAsia"/>
          <w:color w:val="auto"/>
        </w:rPr>
      </w:pPr>
      <w:r>
        <w:rPr>
          <w:rFonts w:hint="eastAsia"/>
          <w:color w:val="auto"/>
          <w:lang w:eastAsia="zh-CN"/>
        </w:rPr>
        <w:t>生产过程中，废气产生环节主要有：真空吸料泵尾气</w:t>
      </w:r>
      <w:r>
        <w:rPr>
          <w:rFonts w:hint="default"/>
          <w:color w:val="auto"/>
          <w:lang w:val="zh-CN"/>
        </w:rPr>
        <w:t>G</w:t>
      </w:r>
      <w:r>
        <w:rPr>
          <w:rFonts w:hint="eastAsia"/>
          <w:color w:val="auto"/>
          <w:vertAlign w:val="subscript"/>
          <w:lang w:val="en-US" w:eastAsia="zh-CN"/>
        </w:rPr>
        <w:t>4</w:t>
      </w:r>
      <w:r>
        <w:rPr>
          <w:rFonts w:hint="default"/>
          <w:color w:val="auto"/>
          <w:vertAlign w:val="subscript"/>
          <w:lang w:val="zh-CN"/>
        </w:rPr>
        <w:t>-1</w:t>
      </w:r>
      <w:r>
        <w:rPr>
          <w:rFonts w:hint="eastAsia"/>
          <w:color w:val="auto"/>
          <w:lang w:eastAsia="zh-CN"/>
        </w:rPr>
        <w:t>、反应釜回流冷凝器尾气</w:t>
      </w:r>
      <w:r>
        <w:rPr>
          <w:rFonts w:hint="default"/>
          <w:color w:val="auto"/>
          <w:lang w:val="zh-CN"/>
        </w:rPr>
        <w:t>G</w:t>
      </w:r>
      <w:r>
        <w:rPr>
          <w:rFonts w:hint="eastAsia"/>
          <w:color w:val="auto"/>
          <w:vertAlign w:val="subscript"/>
          <w:lang w:val="en-US" w:eastAsia="zh-CN"/>
        </w:rPr>
        <w:t>4</w:t>
      </w:r>
      <w:r>
        <w:rPr>
          <w:rFonts w:hint="default"/>
          <w:color w:val="auto"/>
          <w:vertAlign w:val="subscript"/>
          <w:lang w:val="zh-CN"/>
        </w:rPr>
        <w:t>-</w:t>
      </w:r>
      <w:r>
        <w:rPr>
          <w:rFonts w:hint="eastAsia"/>
          <w:color w:val="auto"/>
          <w:vertAlign w:val="subscript"/>
          <w:lang w:val="en-US" w:eastAsia="zh-CN"/>
        </w:rPr>
        <w:t>2</w:t>
      </w:r>
      <w:r>
        <w:rPr>
          <w:rFonts w:hint="eastAsia"/>
          <w:color w:val="auto"/>
          <w:lang w:eastAsia="zh-CN"/>
        </w:rPr>
        <w:t>、脱溶减压精馏真空尾气</w:t>
      </w:r>
      <w:r>
        <w:rPr>
          <w:rFonts w:hint="default"/>
          <w:color w:val="auto"/>
          <w:lang w:val="zh-CN"/>
        </w:rPr>
        <w:t>G</w:t>
      </w:r>
      <w:r>
        <w:rPr>
          <w:rFonts w:hint="eastAsia"/>
          <w:color w:val="auto"/>
          <w:vertAlign w:val="subscript"/>
          <w:lang w:val="en-US" w:eastAsia="zh-CN"/>
        </w:rPr>
        <w:t>4</w:t>
      </w:r>
      <w:r>
        <w:rPr>
          <w:rFonts w:hint="default"/>
          <w:color w:val="auto"/>
          <w:vertAlign w:val="subscript"/>
          <w:lang w:val="zh-CN"/>
        </w:rPr>
        <w:t>-</w:t>
      </w:r>
      <w:r>
        <w:rPr>
          <w:rFonts w:hint="eastAsia"/>
          <w:color w:val="auto"/>
          <w:vertAlign w:val="subscript"/>
          <w:lang w:val="en-US" w:eastAsia="zh-CN"/>
        </w:rPr>
        <w:t>3</w:t>
      </w:r>
      <w:r>
        <w:rPr>
          <w:rFonts w:hint="eastAsia"/>
          <w:color w:val="auto"/>
          <w:lang w:eastAsia="zh-CN"/>
        </w:rPr>
        <w:t>，均</w:t>
      </w:r>
      <w:r>
        <w:rPr>
          <w:rFonts w:hint="eastAsia"/>
          <w:color w:val="auto"/>
        </w:rPr>
        <w:t>进</w:t>
      </w:r>
      <w:r>
        <w:rPr>
          <w:rFonts w:hint="eastAsia"/>
          <w:color w:val="auto"/>
          <w:lang w:eastAsia="zh-CN"/>
        </w:rPr>
        <w:t>“</w:t>
      </w:r>
      <w:r>
        <w:rPr>
          <w:rFonts w:hint="eastAsia"/>
          <w:color w:val="auto"/>
          <w:lang w:val="en-US" w:eastAsia="zh-CN"/>
        </w:rPr>
        <w:t>冷凝处理+碱液喷淋＋炭吸附</w:t>
      </w:r>
      <w:r>
        <w:rPr>
          <w:rFonts w:hint="eastAsia"/>
          <w:color w:val="auto"/>
          <w:lang w:eastAsia="zh-CN"/>
        </w:rPr>
        <w:t>”</w:t>
      </w:r>
      <w:r>
        <w:rPr>
          <w:rFonts w:hint="eastAsia"/>
          <w:color w:val="auto"/>
        </w:rPr>
        <w:t>处理后经</w:t>
      </w:r>
      <w:r>
        <w:rPr>
          <w:rFonts w:hint="eastAsia"/>
          <w:color w:val="auto"/>
          <w:lang w:val="en-US" w:eastAsia="zh-CN"/>
        </w:rPr>
        <w:t>20</w:t>
      </w:r>
      <w:r>
        <w:rPr>
          <w:rFonts w:hint="eastAsia"/>
          <w:color w:val="auto"/>
        </w:rPr>
        <w:t>米高排气筒排放。</w:t>
      </w:r>
    </w:p>
    <w:p>
      <w:pPr>
        <w:pStyle w:val="33"/>
        <w:bidi w:val="0"/>
        <w:rPr>
          <w:rFonts w:hint="eastAsia"/>
          <w:color w:val="auto"/>
          <w:lang w:eastAsia="zh-CN"/>
        </w:rPr>
      </w:pPr>
      <w:r>
        <w:rPr>
          <w:rFonts w:hint="default"/>
          <w:color w:val="auto"/>
          <w:lang w:eastAsia="zh-CN"/>
        </w:rPr>
        <w:t>②</w:t>
      </w:r>
      <w:r>
        <w:rPr>
          <w:rFonts w:hint="eastAsia"/>
          <w:color w:val="auto"/>
          <w:lang w:eastAsia="zh-CN"/>
        </w:rPr>
        <w:t>废水</w:t>
      </w:r>
    </w:p>
    <w:p>
      <w:pPr>
        <w:pStyle w:val="33"/>
        <w:bidi w:val="0"/>
        <w:rPr>
          <w:rFonts w:hint="eastAsia"/>
          <w:color w:val="auto"/>
          <w:lang w:eastAsia="zh-CN"/>
        </w:rPr>
      </w:pPr>
      <w:r>
        <w:rPr>
          <w:rFonts w:hint="eastAsia"/>
          <w:color w:val="auto"/>
          <w:lang w:eastAsia="zh-CN"/>
        </w:rPr>
        <w:t>生产过程中，废水主要为真空吸料系统水环真空排水，设备及地面清洗等杂用水，排入厂区内新建污水处理站处理。</w:t>
      </w:r>
    </w:p>
    <w:p>
      <w:pPr>
        <w:pStyle w:val="33"/>
        <w:bidi w:val="0"/>
        <w:rPr>
          <w:rFonts w:hint="eastAsia"/>
          <w:color w:val="auto"/>
          <w:lang w:eastAsia="zh-CN"/>
        </w:rPr>
      </w:pPr>
      <w:r>
        <w:rPr>
          <w:rFonts w:hint="default"/>
          <w:color w:val="auto"/>
          <w:lang w:eastAsia="zh-CN"/>
        </w:rPr>
        <w:t>③</w:t>
      </w:r>
      <w:r>
        <w:rPr>
          <w:rFonts w:hint="eastAsia"/>
          <w:color w:val="auto"/>
          <w:lang w:eastAsia="zh-CN"/>
        </w:rPr>
        <w:t>固体废物</w:t>
      </w:r>
    </w:p>
    <w:p>
      <w:pPr>
        <w:pStyle w:val="33"/>
        <w:bidi w:val="0"/>
        <w:rPr>
          <w:rFonts w:hint="eastAsia"/>
          <w:color w:val="auto"/>
          <w:lang w:eastAsia="zh-CN"/>
        </w:rPr>
      </w:pPr>
      <w:r>
        <w:rPr>
          <w:rFonts w:hint="eastAsia"/>
          <w:color w:val="auto"/>
          <w:lang w:eastAsia="zh-CN"/>
        </w:rPr>
        <w:t>生产过程中，固体废物主要来自产品出料过滤产生的滤渣</w:t>
      </w:r>
      <w:r>
        <w:rPr>
          <w:rFonts w:hint="eastAsia"/>
          <w:color w:val="auto"/>
          <w:lang w:val="en-US" w:eastAsia="zh-CN"/>
        </w:rPr>
        <w:t>S</w:t>
      </w:r>
      <w:r>
        <w:rPr>
          <w:rFonts w:hint="eastAsia"/>
          <w:color w:val="auto"/>
          <w:vertAlign w:val="subscript"/>
          <w:lang w:val="en-US" w:eastAsia="zh-CN"/>
        </w:rPr>
        <w:t>4</w:t>
      </w:r>
      <w:r>
        <w:rPr>
          <w:rFonts w:hint="default"/>
          <w:color w:val="auto"/>
          <w:vertAlign w:val="subscript"/>
          <w:lang w:val="zh-CN"/>
        </w:rPr>
        <w:t>-1</w:t>
      </w:r>
      <w:r>
        <w:rPr>
          <w:rFonts w:hint="eastAsia"/>
          <w:color w:val="auto"/>
          <w:lang w:eastAsia="zh-CN"/>
        </w:rPr>
        <w:t>、空原料桶。其中：滤渣利用铁桶盛装，送有资质单位处置；空原料桶收集、堆存于原料仓库分出空桶区，定期由原料供应商回收重复利用，厂区内不设洗桶工序。</w:t>
      </w:r>
    </w:p>
    <w:p>
      <w:pPr>
        <w:pStyle w:val="33"/>
        <w:bidi w:val="0"/>
        <w:rPr>
          <w:rFonts w:hint="eastAsia"/>
          <w:color w:val="auto"/>
          <w:lang w:eastAsia="zh-CN"/>
        </w:rPr>
      </w:pPr>
      <w:r>
        <w:rPr>
          <w:rFonts w:hint="eastAsia"/>
          <w:color w:val="auto"/>
          <w:lang w:eastAsia="zh-CN"/>
        </w:rPr>
        <w:t>④噪声</w:t>
      </w:r>
    </w:p>
    <w:p>
      <w:pPr>
        <w:pStyle w:val="33"/>
        <w:bidi w:val="0"/>
        <w:rPr>
          <w:rFonts w:hint="eastAsia"/>
          <w:color w:val="auto"/>
          <w:lang w:eastAsia="zh-CN"/>
        </w:rPr>
      </w:pPr>
      <w:r>
        <w:rPr>
          <w:rFonts w:hint="eastAsia"/>
          <w:color w:val="auto"/>
          <w:lang w:eastAsia="zh-CN"/>
        </w:rPr>
        <w:t>固化剂生产线没有大型设备，各反应釜搅拌机、物料输送泵的功率均较小，噪声源强一般为</w:t>
      </w:r>
      <w:r>
        <w:rPr>
          <w:rFonts w:hint="eastAsia"/>
          <w:color w:val="auto"/>
          <w:lang w:val="en-US" w:eastAsia="zh-CN"/>
        </w:rPr>
        <w:t>75~85dB(A)。</w:t>
      </w:r>
    </w:p>
    <w:p>
      <w:pPr>
        <w:pStyle w:val="36"/>
        <w:bidi w:val="0"/>
        <w:rPr>
          <w:color w:val="auto"/>
        </w:rPr>
      </w:pPr>
      <w:r>
        <w:rPr>
          <w:color w:val="auto"/>
        </w:rPr>
        <w:t>表</w:t>
      </w:r>
      <w:r>
        <w:rPr>
          <w:rFonts w:hint="eastAsia"/>
          <w:color w:val="auto"/>
          <w:lang w:val="en-US" w:eastAsia="zh-CN"/>
        </w:rPr>
        <w:t>3.2-6</w:t>
      </w:r>
      <w:r>
        <w:rPr>
          <w:color w:val="auto"/>
        </w:rPr>
        <w:t xml:space="preserve">  </w:t>
      </w:r>
      <w:r>
        <w:rPr>
          <w:rFonts w:hint="eastAsia"/>
          <w:color w:val="auto"/>
        </w:rPr>
        <w:t>改性胺系环氧固化剂</w:t>
      </w:r>
      <w:r>
        <w:rPr>
          <w:color w:val="auto"/>
        </w:rPr>
        <w:t>产污环节一览表</w:t>
      </w:r>
    </w:p>
    <w:tbl>
      <w:tblPr>
        <w:tblStyle w:val="27"/>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20"/>
        <w:gridCol w:w="1121"/>
        <w:gridCol w:w="2156"/>
        <w:gridCol w:w="1429"/>
        <w:gridCol w:w="1153"/>
        <w:gridCol w:w="252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7" w:hRule="atLeast"/>
        </w:trPr>
        <w:tc>
          <w:tcPr>
            <w:tcW w:w="589" w:type="pct"/>
            <w:tcBorders>
              <w:tl2br w:val="nil"/>
              <w:tr2bl w:val="nil"/>
            </w:tcBorders>
            <w:noWrap w:val="0"/>
            <w:vAlign w:val="center"/>
          </w:tcPr>
          <w:p>
            <w:pPr>
              <w:pStyle w:val="35"/>
              <w:bidi w:val="0"/>
              <w:rPr>
                <w:rFonts w:hint="eastAsia"/>
                <w:b/>
                <w:bCs/>
                <w:color w:val="auto"/>
              </w:rPr>
            </w:pPr>
            <w:r>
              <w:rPr>
                <w:rFonts w:hint="eastAsia"/>
                <w:b/>
                <w:bCs/>
                <w:color w:val="auto"/>
              </w:rPr>
              <w:t>污染类型</w:t>
            </w:r>
          </w:p>
        </w:tc>
        <w:tc>
          <w:tcPr>
            <w:tcW w:w="589" w:type="pct"/>
            <w:tcBorders>
              <w:tl2br w:val="nil"/>
              <w:tr2bl w:val="nil"/>
            </w:tcBorders>
            <w:noWrap w:val="0"/>
            <w:vAlign w:val="center"/>
          </w:tcPr>
          <w:p>
            <w:pPr>
              <w:pStyle w:val="35"/>
              <w:bidi w:val="0"/>
              <w:rPr>
                <w:rFonts w:hint="eastAsia"/>
                <w:b/>
                <w:bCs/>
                <w:color w:val="auto"/>
                <w:lang w:eastAsia="zh-CN"/>
              </w:rPr>
            </w:pPr>
            <w:r>
              <w:rPr>
                <w:rFonts w:hint="eastAsia"/>
                <w:b/>
                <w:bCs/>
                <w:color w:val="auto"/>
                <w:lang w:eastAsia="zh-CN"/>
              </w:rPr>
              <w:t>编号</w:t>
            </w:r>
          </w:p>
        </w:tc>
        <w:tc>
          <w:tcPr>
            <w:tcW w:w="1133" w:type="pct"/>
            <w:tcBorders>
              <w:tl2br w:val="nil"/>
              <w:tr2bl w:val="nil"/>
            </w:tcBorders>
            <w:noWrap w:val="0"/>
            <w:vAlign w:val="center"/>
          </w:tcPr>
          <w:p>
            <w:pPr>
              <w:pStyle w:val="35"/>
              <w:bidi w:val="0"/>
              <w:rPr>
                <w:b/>
                <w:bCs/>
                <w:color w:val="auto"/>
              </w:rPr>
            </w:pPr>
            <w:r>
              <w:rPr>
                <w:rFonts w:hint="eastAsia"/>
                <w:b/>
                <w:bCs/>
                <w:color w:val="auto"/>
              </w:rPr>
              <w:t>产物环节</w:t>
            </w:r>
          </w:p>
        </w:tc>
        <w:tc>
          <w:tcPr>
            <w:tcW w:w="751" w:type="pct"/>
            <w:tcBorders>
              <w:tl2br w:val="nil"/>
              <w:tr2bl w:val="nil"/>
            </w:tcBorders>
            <w:noWrap w:val="0"/>
            <w:vAlign w:val="center"/>
          </w:tcPr>
          <w:p>
            <w:pPr>
              <w:pStyle w:val="35"/>
              <w:bidi w:val="0"/>
              <w:rPr>
                <w:b/>
                <w:bCs/>
                <w:color w:val="auto"/>
              </w:rPr>
            </w:pPr>
            <w:r>
              <w:rPr>
                <w:rFonts w:hint="eastAsia"/>
                <w:b/>
                <w:bCs/>
                <w:color w:val="auto"/>
              </w:rPr>
              <w:t>产生污染物</w:t>
            </w:r>
          </w:p>
        </w:tc>
        <w:tc>
          <w:tcPr>
            <w:tcW w:w="606" w:type="pct"/>
            <w:tcBorders>
              <w:tl2br w:val="nil"/>
              <w:tr2bl w:val="nil"/>
            </w:tcBorders>
            <w:noWrap w:val="0"/>
            <w:vAlign w:val="center"/>
          </w:tcPr>
          <w:p>
            <w:pPr>
              <w:pStyle w:val="35"/>
              <w:bidi w:val="0"/>
              <w:rPr>
                <w:b/>
                <w:bCs/>
                <w:color w:val="auto"/>
              </w:rPr>
            </w:pPr>
            <w:r>
              <w:rPr>
                <w:rFonts w:hint="eastAsia"/>
                <w:b/>
                <w:bCs/>
                <w:color w:val="auto"/>
              </w:rPr>
              <w:t>产生特点</w:t>
            </w:r>
          </w:p>
        </w:tc>
        <w:tc>
          <w:tcPr>
            <w:tcW w:w="1329" w:type="pct"/>
            <w:tcBorders>
              <w:tl2br w:val="nil"/>
              <w:tr2bl w:val="nil"/>
            </w:tcBorders>
            <w:noWrap w:val="0"/>
            <w:vAlign w:val="center"/>
          </w:tcPr>
          <w:p>
            <w:pPr>
              <w:pStyle w:val="35"/>
              <w:bidi w:val="0"/>
              <w:rPr>
                <w:b/>
                <w:bCs/>
                <w:color w:val="auto"/>
              </w:rPr>
            </w:pPr>
            <w:r>
              <w:rPr>
                <w:rFonts w:hint="eastAsia"/>
                <w:b/>
                <w:bCs/>
                <w:color w:val="auto"/>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8" w:hRule="atLeast"/>
        </w:trPr>
        <w:tc>
          <w:tcPr>
            <w:tcW w:w="589" w:type="pct"/>
            <w:vMerge w:val="restart"/>
            <w:tcBorders>
              <w:tl2br w:val="nil"/>
              <w:tr2bl w:val="nil"/>
            </w:tcBorders>
            <w:noWrap w:val="0"/>
            <w:vAlign w:val="center"/>
          </w:tcPr>
          <w:p>
            <w:pPr>
              <w:pStyle w:val="35"/>
              <w:bidi w:val="0"/>
              <w:rPr>
                <w:rFonts w:hint="default"/>
                <w:color w:val="auto"/>
                <w:lang w:val="zh-CN"/>
              </w:rPr>
            </w:pPr>
            <w:r>
              <w:rPr>
                <w:rFonts w:hint="eastAsia"/>
                <w:color w:val="auto"/>
              </w:rPr>
              <w:t>废气</w:t>
            </w:r>
          </w:p>
        </w:tc>
        <w:tc>
          <w:tcPr>
            <w:tcW w:w="589" w:type="pct"/>
            <w:tcBorders>
              <w:tl2br w:val="nil"/>
              <w:tr2bl w:val="nil"/>
            </w:tcBorders>
            <w:noWrap w:val="0"/>
            <w:vAlign w:val="center"/>
          </w:tcPr>
          <w:p>
            <w:pPr>
              <w:pStyle w:val="35"/>
              <w:bidi w:val="0"/>
              <w:rPr>
                <w:color w:val="auto"/>
              </w:rPr>
            </w:pPr>
            <w:r>
              <w:rPr>
                <w:rFonts w:hint="default"/>
                <w:color w:val="auto"/>
                <w:lang w:val="zh-CN"/>
              </w:rPr>
              <w:t>G</w:t>
            </w:r>
            <w:r>
              <w:rPr>
                <w:rFonts w:hint="eastAsia"/>
                <w:color w:val="auto"/>
                <w:lang w:val="en-US" w:eastAsia="zh-CN"/>
              </w:rPr>
              <w:t>4-</w:t>
            </w:r>
            <w:r>
              <w:rPr>
                <w:rFonts w:hint="default"/>
                <w:color w:val="auto"/>
                <w:lang w:val="zh-CN"/>
              </w:rPr>
              <w:t>1</w:t>
            </w:r>
          </w:p>
        </w:tc>
        <w:tc>
          <w:tcPr>
            <w:tcW w:w="1133"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真空泵尾气</w:t>
            </w:r>
          </w:p>
        </w:tc>
        <w:tc>
          <w:tcPr>
            <w:tcW w:w="751"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非甲烷总烃</w:t>
            </w:r>
          </w:p>
        </w:tc>
        <w:tc>
          <w:tcPr>
            <w:tcW w:w="606" w:type="pct"/>
            <w:tcBorders>
              <w:tl2br w:val="nil"/>
              <w:tr2bl w:val="nil"/>
            </w:tcBorders>
            <w:noWrap w:val="0"/>
            <w:vAlign w:val="center"/>
          </w:tcPr>
          <w:p>
            <w:pPr>
              <w:pStyle w:val="35"/>
              <w:bidi w:val="0"/>
              <w:rPr>
                <w:color w:val="auto"/>
              </w:rPr>
            </w:pPr>
            <w:r>
              <w:rPr>
                <w:rFonts w:hint="eastAsia"/>
                <w:color w:val="auto"/>
              </w:rPr>
              <w:t>间歇</w:t>
            </w:r>
          </w:p>
        </w:tc>
        <w:tc>
          <w:tcPr>
            <w:tcW w:w="1329" w:type="pct"/>
            <w:vMerge w:val="restart"/>
            <w:tcBorders>
              <w:tl2br w:val="nil"/>
              <w:tr2bl w:val="nil"/>
            </w:tcBorders>
            <w:noWrap w:val="0"/>
            <w:vAlign w:val="center"/>
          </w:tcPr>
          <w:p>
            <w:pPr>
              <w:pStyle w:val="35"/>
              <w:bidi w:val="0"/>
              <w:rPr>
                <w:color w:val="auto"/>
              </w:rPr>
            </w:pPr>
            <w:r>
              <w:rPr>
                <w:rFonts w:hint="eastAsia"/>
                <w:color w:val="auto"/>
                <w:lang w:val="en-US" w:eastAsia="zh-CN"/>
              </w:rPr>
              <w:t>冷凝处理+碱液喷淋＋炭吸附+</w:t>
            </w:r>
            <w:r>
              <w:rPr>
                <w:rFonts w:hint="eastAsia"/>
                <w:color w:val="auto"/>
              </w:rPr>
              <w:t>20高排气筒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20" w:hRule="atLeast"/>
        </w:trPr>
        <w:tc>
          <w:tcPr>
            <w:tcW w:w="589" w:type="pct"/>
            <w:vMerge w:val="continue"/>
            <w:tcBorders>
              <w:tl2br w:val="nil"/>
              <w:tr2bl w:val="nil"/>
            </w:tcBorders>
            <w:noWrap w:val="0"/>
            <w:vAlign w:val="center"/>
          </w:tcPr>
          <w:p>
            <w:pPr>
              <w:pStyle w:val="35"/>
              <w:bidi w:val="0"/>
              <w:rPr>
                <w:rFonts w:hint="default"/>
                <w:color w:val="auto"/>
                <w:lang w:val="zh-CN"/>
              </w:rPr>
            </w:pPr>
          </w:p>
        </w:tc>
        <w:tc>
          <w:tcPr>
            <w:tcW w:w="589" w:type="pct"/>
            <w:tcBorders>
              <w:tl2br w:val="nil"/>
              <w:tr2bl w:val="nil"/>
            </w:tcBorders>
            <w:noWrap w:val="0"/>
            <w:vAlign w:val="center"/>
          </w:tcPr>
          <w:p>
            <w:pPr>
              <w:pStyle w:val="35"/>
              <w:bidi w:val="0"/>
              <w:rPr>
                <w:rFonts w:hint="default"/>
                <w:color w:val="auto"/>
                <w:lang w:val="zh-CN"/>
              </w:rPr>
            </w:pPr>
            <w:r>
              <w:rPr>
                <w:rFonts w:hint="default"/>
                <w:color w:val="auto"/>
                <w:lang w:val="zh-CN"/>
              </w:rPr>
              <w:t>G</w:t>
            </w:r>
            <w:r>
              <w:rPr>
                <w:rFonts w:hint="eastAsia"/>
                <w:color w:val="auto"/>
                <w:lang w:val="en-US" w:eastAsia="zh-CN"/>
              </w:rPr>
              <w:t>4-2</w:t>
            </w:r>
          </w:p>
        </w:tc>
        <w:tc>
          <w:tcPr>
            <w:tcW w:w="1133"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反应釜回流冷凝器顶部排口</w:t>
            </w:r>
          </w:p>
        </w:tc>
        <w:tc>
          <w:tcPr>
            <w:tcW w:w="751"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非甲烷总烃</w:t>
            </w:r>
          </w:p>
        </w:tc>
        <w:tc>
          <w:tcPr>
            <w:tcW w:w="606" w:type="pct"/>
            <w:tcBorders>
              <w:tl2br w:val="nil"/>
              <w:tr2bl w:val="nil"/>
            </w:tcBorders>
            <w:noWrap w:val="0"/>
            <w:vAlign w:val="center"/>
          </w:tcPr>
          <w:p>
            <w:pPr>
              <w:pStyle w:val="35"/>
              <w:bidi w:val="0"/>
              <w:rPr>
                <w:rFonts w:hint="eastAsia"/>
                <w:color w:val="auto"/>
              </w:rPr>
            </w:pPr>
            <w:r>
              <w:rPr>
                <w:rFonts w:hint="eastAsia"/>
                <w:color w:val="auto"/>
              </w:rPr>
              <w:t>间歇</w:t>
            </w:r>
          </w:p>
        </w:tc>
        <w:tc>
          <w:tcPr>
            <w:tcW w:w="1329" w:type="pct"/>
            <w:vMerge w:val="continue"/>
            <w:tcBorders>
              <w:tl2br w:val="nil"/>
              <w:tr2bl w:val="nil"/>
            </w:tcBorders>
            <w:noWrap w:val="0"/>
            <w:vAlign w:val="center"/>
          </w:tcPr>
          <w:p>
            <w:pPr>
              <w:pStyle w:val="35"/>
              <w:bidi w:val="0"/>
              <w:rPr>
                <w:rFonts w:hint="eastAsia"/>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82" w:hRule="atLeast"/>
        </w:trPr>
        <w:tc>
          <w:tcPr>
            <w:tcW w:w="589" w:type="pct"/>
            <w:vMerge w:val="continue"/>
            <w:tcBorders>
              <w:tl2br w:val="nil"/>
              <w:tr2bl w:val="nil"/>
            </w:tcBorders>
            <w:noWrap w:val="0"/>
            <w:vAlign w:val="center"/>
          </w:tcPr>
          <w:p>
            <w:pPr>
              <w:pStyle w:val="35"/>
              <w:bidi w:val="0"/>
              <w:rPr>
                <w:rFonts w:hint="default"/>
                <w:color w:val="auto"/>
                <w:lang w:val="zh-CN"/>
              </w:rPr>
            </w:pPr>
          </w:p>
        </w:tc>
        <w:tc>
          <w:tcPr>
            <w:tcW w:w="589" w:type="pct"/>
            <w:tcBorders>
              <w:tl2br w:val="nil"/>
              <w:tr2bl w:val="nil"/>
            </w:tcBorders>
            <w:noWrap w:val="0"/>
            <w:vAlign w:val="center"/>
          </w:tcPr>
          <w:p>
            <w:pPr>
              <w:pStyle w:val="35"/>
              <w:bidi w:val="0"/>
              <w:rPr>
                <w:rFonts w:hint="default"/>
                <w:color w:val="auto"/>
                <w:lang w:val="zh-CN"/>
              </w:rPr>
            </w:pPr>
            <w:r>
              <w:rPr>
                <w:rFonts w:hint="default"/>
                <w:color w:val="auto"/>
                <w:lang w:val="zh-CN"/>
              </w:rPr>
              <w:t>G</w:t>
            </w:r>
            <w:r>
              <w:rPr>
                <w:rFonts w:hint="eastAsia"/>
                <w:color w:val="auto"/>
                <w:lang w:val="en-US" w:eastAsia="zh-CN"/>
              </w:rPr>
              <w:t>4-3</w:t>
            </w:r>
          </w:p>
        </w:tc>
        <w:tc>
          <w:tcPr>
            <w:tcW w:w="1133"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脱溶减压精馏真空尾气</w:t>
            </w:r>
          </w:p>
        </w:tc>
        <w:tc>
          <w:tcPr>
            <w:tcW w:w="751"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非甲烷总烃</w:t>
            </w:r>
          </w:p>
        </w:tc>
        <w:tc>
          <w:tcPr>
            <w:tcW w:w="606" w:type="pct"/>
            <w:tcBorders>
              <w:tl2br w:val="nil"/>
              <w:tr2bl w:val="nil"/>
            </w:tcBorders>
            <w:noWrap w:val="0"/>
            <w:vAlign w:val="center"/>
          </w:tcPr>
          <w:p>
            <w:pPr>
              <w:pStyle w:val="35"/>
              <w:bidi w:val="0"/>
              <w:rPr>
                <w:rFonts w:hint="eastAsia"/>
                <w:color w:val="auto"/>
              </w:rPr>
            </w:pPr>
            <w:r>
              <w:rPr>
                <w:rFonts w:hint="eastAsia"/>
                <w:color w:val="auto"/>
              </w:rPr>
              <w:t>间歇</w:t>
            </w:r>
          </w:p>
        </w:tc>
        <w:tc>
          <w:tcPr>
            <w:tcW w:w="1329" w:type="pct"/>
            <w:vMerge w:val="continue"/>
            <w:tcBorders>
              <w:tl2br w:val="nil"/>
              <w:tr2bl w:val="nil"/>
            </w:tcBorders>
            <w:noWrap w:val="0"/>
            <w:vAlign w:val="center"/>
          </w:tcPr>
          <w:p>
            <w:pPr>
              <w:pStyle w:val="35"/>
              <w:bidi w:val="0"/>
              <w:rPr>
                <w:rFonts w:hint="eastAsia"/>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65" w:hRule="atLeast"/>
        </w:trPr>
        <w:tc>
          <w:tcPr>
            <w:tcW w:w="589" w:type="pct"/>
            <w:tcBorders>
              <w:tl2br w:val="nil"/>
              <w:tr2bl w:val="nil"/>
            </w:tcBorders>
            <w:noWrap w:val="0"/>
            <w:vAlign w:val="center"/>
          </w:tcPr>
          <w:p>
            <w:pPr>
              <w:pStyle w:val="35"/>
              <w:bidi w:val="0"/>
              <w:rPr>
                <w:rFonts w:hint="eastAsia"/>
                <w:color w:val="auto"/>
                <w:lang w:val="en-US" w:eastAsia="zh-CN"/>
              </w:rPr>
            </w:pPr>
            <w:r>
              <w:rPr>
                <w:rFonts w:hint="eastAsia"/>
                <w:color w:val="auto"/>
              </w:rPr>
              <w:t>固废</w:t>
            </w:r>
          </w:p>
        </w:tc>
        <w:tc>
          <w:tcPr>
            <w:tcW w:w="589" w:type="pct"/>
            <w:tcBorders>
              <w:tl2br w:val="nil"/>
              <w:tr2bl w:val="nil"/>
            </w:tcBorders>
            <w:noWrap w:val="0"/>
            <w:vAlign w:val="center"/>
          </w:tcPr>
          <w:p>
            <w:pPr>
              <w:pStyle w:val="35"/>
              <w:bidi w:val="0"/>
              <w:rPr>
                <w:color w:val="auto"/>
              </w:rPr>
            </w:pPr>
            <w:r>
              <w:rPr>
                <w:rFonts w:hint="eastAsia"/>
                <w:color w:val="auto"/>
                <w:lang w:val="en-US" w:eastAsia="zh-CN"/>
              </w:rPr>
              <w:t>S4</w:t>
            </w:r>
            <w:r>
              <w:rPr>
                <w:rFonts w:hint="default"/>
                <w:color w:val="auto"/>
                <w:lang w:val="zh-CN"/>
              </w:rPr>
              <w:t>-1</w:t>
            </w:r>
          </w:p>
        </w:tc>
        <w:tc>
          <w:tcPr>
            <w:tcW w:w="1133" w:type="pct"/>
            <w:tcBorders>
              <w:tl2br w:val="nil"/>
              <w:tr2bl w:val="nil"/>
            </w:tcBorders>
            <w:noWrap w:val="0"/>
            <w:vAlign w:val="center"/>
          </w:tcPr>
          <w:p>
            <w:pPr>
              <w:pStyle w:val="35"/>
              <w:bidi w:val="0"/>
              <w:rPr>
                <w:color w:val="auto"/>
              </w:rPr>
            </w:pPr>
            <w:r>
              <w:rPr>
                <w:rFonts w:hint="eastAsia"/>
                <w:color w:val="auto"/>
              </w:rPr>
              <w:t>过滤</w:t>
            </w:r>
          </w:p>
        </w:tc>
        <w:tc>
          <w:tcPr>
            <w:tcW w:w="751" w:type="pct"/>
            <w:tcBorders>
              <w:tl2br w:val="nil"/>
              <w:tr2bl w:val="nil"/>
            </w:tcBorders>
            <w:noWrap w:val="0"/>
            <w:vAlign w:val="center"/>
          </w:tcPr>
          <w:p>
            <w:pPr>
              <w:pStyle w:val="35"/>
              <w:bidi w:val="0"/>
              <w:rPr>
                <w:color w:val="auto"/>
              </w:rPr>
            </w:pPr>
            <w:r>
              <w:rPr>
                <w:rFonts w:hint="eastAsia"/>
                <w:color w:val="auto"/>
              </w:rPr>
              <w:t>滤渣</w:t>
            </w:r>
          </w:p>
        </w:tc>
        <w:tc>
          <w:tcPr>
            <w:tcW w:w="606" w:type="pct"/>
            <w:tcBorders>
              <w:tl2br w:val="nil"/>
              <w:tr2bl w:val="nil"/>
            </w:tcBorders>
            <w:noWrap w:val="0"/>
            <w:vAlign w:val="center"/>
          </w:tcPr>
          <w:p>
            <w:pPr>
              <w:pStyle w:val="35"/>
              <w:bidi w:val="0"/>
              <w:rPr>
                <w:color w:val="auto"/>
              </w:rPr>
            </w:pPr>
            <w:r>
              <w:rPr>
                <w:rFonts w:hint="eastAsia"/>
                <w:color w:val="auto"/>
              </w:rPr>
              <w:t>间歇</w:t>
            </w:r>
          </w:p>
        </w:tc>
        <w:tc>
          <w:tcPr>
            <w:tcW w:w="1329" w:type="pct"/>
            <w:tcBorders>
              <w:tl2br w:val="nil"/>
              <w:tr2bl w:val="nil"/>
            </w:tcBorders>
            <w:noWrap w:val="0"/>
            <w:vAlign w:val="center"/>
          </w:tcPr>
          <w:p>
            <w:pPr>
              <w:pStyle w:val="35"/>
              <w:bidi w:val="0"/>
              <w:rPr>
                <w:color w:val="auto"/>
              </w:rPr>
            </w:pPr>
            <w:r>
              <w:rPr>
                <w:rFonts w:hint="eastAsia"/>
                <w:color w:val="auto"/>
              </w:rPr>
              <w:t>交有资质单位处置</w:t>
            </w:r>
          </w:p>
        </w:tc>
      </w:tr>
    </w:tbl>
    <w:p>
      <w:pPr>
        <w:pStyle w:val="33"/>
        <w:bidi w:val="0"/>
        <w:rPr>
          <w:b/>
          <w:bCs/>
          <w:color w:val="auto"/>
          <w:lang w:val="de-DE"/>
        </w:rPr>
      </w:pPr>
      <w:r>
        <w:rPr>
          <w:rFonts w:hint="eastAsia"/>
          <w:b/>
          <w:bCs/>
          <w:color w:val="auto"/>
          <w:lang w:eastAsia="zh-CN"/>
        </w:rPr>
        <w:t>（</w:t>
      </w:r>
      <w:r>
        <w:rPr>
          <w:rFonts w:hint="eastAsia"/>
          <w:b/>
          <w:bCs/>
          <w:color w:val="auto"/>
          <w:lang w:val="en-US" w:eastAsia="zh-CN"/>
        </w:rPr>
        <w:t>3</w:t>
      </w:r>
      <w:r>
        <w:rPr>
          <w:rFonts w:hint="eastAsia"/>
          <w:b/>
          <w:bCs/>
          <w:color w:val="auto"/>
          <w:lang w:eastAsia="zh-CN"/>
        </w:rPr>
        <w:t>）</w:t>
      </w:r>
      <w:r>
        <w:rPr>
          <w:rFonts w:hint="eastAsia"/>
          <w:b/>
          <w:bCs/>
          <w:color w:val="auto"/>
        </w:rPr>
        <w:t>涂料助剂</w:t>
      </w:r>
      <w:r>
        <w:rPr>
          <w:rFonts w:hint="eastAsia"/>
          <w:b/>
          <w:bCs/>
          <w:color w:val="auto"/>
          <w:lang w:val="de-DE"/>
        </w:rPr>
        <w:t>生产工艺及产污环节</w:t>
      </w:r>
    </w:p>
    <w:p>
      <w:pPr>
        <w:pStyle w:val="33"/>
        <w:bidi w:val="0"/>
        <w:rPr>
          <w:b/>
          <w:bCs/>
          <w:color w:val="auto"/>
        </w:rPr>
      </w:pPr>
      <w:r>
        <w:rPr>
          <w:rFonts w:hint="eastAsia"/>
          <w:b/>
          <w:bCs/>
          <w:color w:val="auto"/>
          <w:lang w:val="en-US" w:eastAsia="zh-CN"/>
        </w:rPr>
        <w:t>1、</w:t>
      </w:r>
      <w:r>
        <w:rPr>
          <w:rFonts w:hint="eastAsia"/>
          <w:b/>
          <w:bCs/>
          <w:color w:val="auto"/>
        </w:rPr>
        <w:t>聚酯分散剂</w:t>
      </w:r>
    </w:p>
    <w:p>
      <w:pPr>
        <w:pStyle w:val="33"/>
        <w:bidi w:val="0"/>
        <w:rPr>
          <w:color w:val="auto"/>
        </w:rPr>
      </w:pPr>
      <w:r>
        <w:rPr>
          <w:rFonts w:hint="eastAsia"/>
          <w:color w:val="auto"/>
        </w:rPr>
        <w:t>（1）工艺流程</w:t>
      </w:r>
    </w:p>
    <w:p>
      <w:pPr>
        <w:pStyle w:val="33"/>
        <w:bidi w:val="0"/>
        <w:rPr>
          <w:rFonts w:hint="eastAsia"/>
          <w:color w:val="auto"/>
          <w:lang w:eastAsia="zh-CN"/>
        </w:rPr>
      </w:pPr>
      <w:r>
        <w:rPr>
          <w:rFonts w:hint="eastAsia"/>
          <w:color w:val="auto"/>
        </w:rPr>
        <w:t>①</w:t>
      </w:r>
      <w:r>
        <w:rPr>
          <w:rFonts w:hint="eastAsia"/>
          <w:color w:val="auto"/>
          <w:lang w:val="en-US" w:eastAsia="zh-CN"/>
        </w:rPr>
        <w:t>200L桶装</w:t>
      </w:r>
      <w:r>
        <w:rPr>
          <w:rFonts w:hint="eastAsia"/>
          <w:color w:val="auto"/>
        </w:rPr>
        <w:t>己二酸</w:t>
      </w:r>
      <w:r>
        <w:rPr>
          <w:rFonts w:hint="eastAsia"/>
          <w:color w:val="auto"/>
          <w:lang w:eastAsia="zh-CN"/>
        </w:rPr>
        <w:t>、</w:t>
      </w:r>
      <w:r>
        <w:rPr>
          <w:rFonts w:hint="eastAsia"/>
          <w:color w:val="auto"/>
        </w:rPr>
        <w:t>新戊二醇</w:t>
      </w:r>
      <w:r>
        <w:rPr>
          <w:rFonts w:hint="eastAsia"/>
          <w:color w:val="auto"/>
          <w:lang w:eastAsia="zh-CN"/>
        </w:rPr>
        <w:t>、</w:t>
      </w:r>
      <w:r>
        <w:rPr>
          <w:rFonts w:hint="eastAsia"/>
          <w:color w:val="auto"/>
        </w:rPr>
        <w:t>3-甲基戊二醇</w:t>
      </w:r>
      <w:r>
        <w:rPr>
          <w:rFonts w:hint="eastAsia"/>
          <w:color w:val="auto"/>
          <w:lang w:eastAsia="zh-CN"/>
        </w:rPr>
        <w:t>、</w:t>
      </w:r>
      <w:r>
        <w:rPr>
          <w:rFonts w:hint="eastAsia"/>
          <w:color w:val="auto"/>
        </w:rPr>
        <w:t>多聚磷酸</w:t>
      </w:r>
      <w:r>
        <w:rPr>
          <w:rFonts w:hint="eastAsia"/>
          <w:color w:val="auto"/>
          <w:lang w:eastAsia="zh-CN"/>
        </w:rPr>
        <w:t>、</w:t>
      </w:r>
      <w:r>
        <w:rPr>
          <w:rFonts w:hint="eastAsia"/>
          <w:color w:val="auto"/>
        </w:rPr>
        <w:t>丙二醇甲醚醋酸酯</w:t>
      </w:r>
      <w:r>
        <w:rPr>
          <w:rFonts w:hint="eastAsia"/>
          <w:color w:val="auto"/>
          <w:lang w:eastAsia="zh-CN"/>
        </w:rPr>
        <w:t>从原料仓库运送至新建生产车间。</w:t>
      </w:r>
      <w:r>
        <w:rPr>
          <w:rFonts w:hint="eastAsia"/>
          <w:color w:val="auto"/>
        </w:rPr>
        <w:t>首先</w:t>
      </w:r>
      <w:r>
        <w:rPr>
          <w:rFonts w:hint="eastAsia"/>
          <w:color w:val="auto"/>
          <w:lang w:eastAsia="zh-CN"/>
        </w:rPr>
        <w:t>开启真空吸料系统</w:t>
      </w:r>
      <w:r>
        <w:rPr>
          <w:rFonts w:hint="eastAsia"/>
          <w:color w:val="auto"/>
        </w:rPr>
        <w:t>往反应釜中投入计量后的己二酸345kg，新戊二醇323kg，3-甲基戊二醇103kg，升温至一定温度，待物料溶解后，开启搅拌，通入氮气，在一定温度下持续保温分水反应4小时。</w:t>
      </w:r>
    </w:p>
    <w:p>
      <w:pPr>
        <w:pStyle w:val="33"/>
        <w:bidi w:val="0"/>
        <w:rPr>
          <w:color w:val="auto"/>
        </w:rPr>
      </w:pPr>
      <w:r>
        <w:rPr>
          <w:rFonts w:hint="eastAsia"/>
          <w:color w:val="auto"/>
        </w:rPr>
        <w:t>②反应完毕后</w:t>
      </w:r>
      <w:r>
        <w:rPr>
          <w:rFonts w:hint="eastAsia"/>
          <w:color w:val="auto"/>
          <w:lang w:eastAsia="zh-CN"/>
        </w:rPr>
        <w:t>静置</w:t>
      </w:r>
      <w:r>
        <w:rPr>
          <w:rFonts w:hint="eastAsia"/>
          <w:color w:val="auto"/>
        </w:rPr>
        <w:t>分层，</w:t>
      </w:r>
      <w:r>
        <w:rPr>
          <w:rFonts w:hint="eastAsia"/>
          <w:color w:val="auto"/>
          <w:lang w:eastAsia="zh-CN"/>
        </w:rPr>
        <w:t>放出下层废水</w:t>
      </w:r>
      <w:r>
        <w:rPr>
          <w:rFonts w:hint="eastAsia"/>
          <w:color w:val="auto"/>
        </w:rPr>
        <w:t>送</w:t>
      </w:r>
      <w:r>
        <w:rPr>
          <w:rFonts w:hint="eastAsia"/>
          <w:color w:val="auto"/>
          <w:lang w:eastAsia="zh-CN"/>
        </w:rPr>
        <w:t>厂内新建</w:t>
      </w:r>
      <w:r>
        <w:rPr>
          <w:rFonts w:hint="eastAsia"/>
          <w:color w:val="auto"/>
        </w:rPr>
        <w:t>污水处理站处理</w:t>
      </w:r>
      <w:r>
        <w:rPr>
          <w:rFonts w:hint="eastAsia"/>
          <w:color w:val="auto"/>
          <w:lang w:eastAsia="zh-CN"/>
        </w:rPr>
        <w:t>，上层</w:t>
      </w:r>
      <w:r>
        <w:rPr>
          <w:rFonts w:hint="eastAsia"/>
          <w:color w:val="auto"/>
        </w:rPr>
        <w:t>油相</w:t>
      </w:r>
      <w:r>
        <w:rPr>
          <w:rFonts w:hint="eastAsia"/>
          <w:color w:val="auto"/>
          <w:lang w:eastAsia="zh-CN"/>
        </w:rPr>
        <w:t>进</w:t>
      </w:r>
      <w:r>
        <w:rPr>
          <w:rFonts w:hint="eastAsia"/>
          <w:color w:val="auto"/>
        </w:rPr>
        <w:t>入下一步工序</w:t>
      </w:r>
      <w:r>
        <w:rPr>
          <w:rFonts w:hint="eastAsia"/>
          <w:color w:val="auto"/>
          <w:lang w:eastAsia="zh-CN"/>
        </w:rPr>
        <w:t>继续反应</w:t>
      </w:r>
      <w:r>
        <w:rPr>
          <w:rFonts w:hint="eastAsia"/>
          <w:color w:val="auto"/>
        </w:rPr>
        <w:t>。</w:t>
      </w:r>
    </w:p>
    <w:p>
      <w:pPr>
        <w:pStyle w:val="33"/>
        <w:bidi w:val="0"/>
        <w:rPr>
          <w:rFonts w:hint="eastAsia"/>
          <w:color w:val="auto"/>
          <w:lang w:eastAsia="zh-CN"/>
        </w:rPr>
      </w:pPr>
      <w:r>
        <w:rPr>
          <w:rFonts w:hint="eastAsia"/>
          <w:color w:val="auto"/>
        </w:rPr>
        <w:t>③</w:t>
      </w:r>
      <w:r>
        <w:rPr>
          <w:rFonts w:hint="eastAsia"/>
          <w:color w:val="auto"/>
          <w:lang w:eastAsia="zh-CN"/>
        </w:rPr>
        <w:t>开启真空吸料系统抽</w:t>
      </w:r>
      <w:r>
        <w:rPr>
          <w:rFonts w:hint="eastAsia"/>
          <w:color w:val="auto"/>
        </w:rPr>
        <w:t>入计量好的多聚磷酸29kg，保温反应4小时后，取样测酸值，待酸值达到规定后，停止保温，</w:t>
      </w:r>
      <w:r>
        <w:rPr>
          <w:rFonts w:hint="eastAsia"/>
          <w:color w:val="auto"/>
          <w:lang w:eastAsia="zh-CN"/>
        </w:rPr>
        <w:t>反应方程式如下：</w:t>
      </w:r>
    </w:p>
    <w:p>
      <w:pPr>
        <w:rPr>
          <w:rFonts w:hint="eastAsia"/>
          <w:color w:val="auto"/>
          <w:lang w:eastAsia="zh-CN"/>
        </w:rPr>
      </w:pPr>
      <w:r>
        <w:rPr>
          <w:color w:val="auto"/>
        </w:rPr>
        <w:drawing>
          <wp:anchor distT="0" distB="0" distL="114935" distR="114935" simplePos="0" relativeHeight="251668480" behindDoc="0" locked="0" layoutInCell="1" allowOverlap="1">
            <wp:simplePos x="0" y="0"/>
            <wp:positionH relativeFrom="column">
              <wp:posOffset>285115</wp:posOffset>
            </wp:positionH>
            <wp:positionV relativeFrom="paragraph">
              <wp:posOffset>95250</wp:posOffset>
            </wp:positionV>
            <wp:extent cx="5342255" cy="1812290"/>
            <wp:effectExtent l="0" t="0" r="10795" b="16510"/>
            <wp:wrapNone/>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31"/>
                    <a:stretch>
                      <a:fillRect/>
                    </a:stretch>
                  </pic:blipFill>
                  <pic:spPr>
                    <a:xfrm>
                      <a:off x="0" y="0"/>
                      <a:ext cx="5342255" cy="1812290"/>
                    </a:xfrm>
                    <a:prstGeom prst="rect">
                      <a:avLst/>
                    </a:prstGeom>
                    <a:noFill/>
                    <a:ln>
                      <a:noFill/>
                    </a:ln>
                  </pic:spPr>
                </pic:pic>
              </a:graphicData>
            </a:graphic>
          </wp:anchor>
        </w:drawing>
      </w: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rPr>
          <w:rFonts w:hint="eastAsia"/>
          <w:color w:val="auto"/>
          <w:lang w:eastAsia="zh-CN"/>
        </w:rPr>
      </w:pPr>
    </w:p>
    <w:p>
      <w:pPr>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rPr>
          <w:rFonts w:hint="eastAsia"/>
          <w:color w:val="auto"/>
          <w:lang w:eastAsia="zh-CN"/>
        </w:rPr>
      </w:pPr>
    </w:p>
    <w:p>
      <w:pPr>
        <w:rPr>
          <w:rFonts w:hint="eastAsia"/>
          <w:color w:val="auto"/>
          <w:lang w:eastAsia="zh-CN"/>
        </w:rPr>
      </w:pPr>
    </w:p>
    <w:p>
      <w:pPr>
        <w:pStyle w:val="33"/>
        <w:bidi w:val="0"/>
        <w:rPr>
          <w:rFonts w:hint="eastAsia"/>
          <w:color w:val="auto"/>
        </w:rPr>
      </w:pPr>
      <w:r>
        <w:rPr>
          <w:rFonts w:hint="eastAsia"/>
          <w:color w:val="auto"/>
        </w:rPr>
        <w:t>④真空吸入丙二醇甲醚醋酸酯800kg，充分搅拌1h，冷却至室温</w:t>
      </w:r>
      <w:r>
        <w:rPr>
          <w:rFonts w:hint="eastAsia"/>
          <w:color w:val="auto"/>
          <w:lang w:eastAsia="zh-CN"/>
        </w:rPr>
        <w:t>，</w:t>
      </w:r>
      <w:r>
        <w:rPr>
          <w:rFonts w:hint="eastAsia"/>
          <w:color w:val="auto"/>
        </w:rPr>
        <w:t>最后</w:t>
      </w:r>
      <w:r>
        <w:rPr>
          <w:rFonts w:hint="eastAsia"/>
          <w:color w:val="auto"/>
          <w:lang w:eastAsia="zh-CN"/>
        </w:rPr>
        <w:t>经管式</w:t>
      </w:r>
      <w:r>
        <w:rPr>
          <w:rFonts w:hint="eastAsia"/>
          <w:color w:val="auto"/>
        </w:rPr>
        <w:t>过滤</w:t>
      </w:r>
      <w:r>
        <w:rPr>
          <w:rFonts w:hint="eastAsia"/>
          <w:color w:val="auto"/>
          <w:lang w:eastAsia="zh-CN"/>
        </w:rPr>
        <w:t>器（内含金属丝滤网）过滤后</w:t>
      </w:r>
      <w:r>
        <w:rPr>
          <w:rFonts w:hint="eastAsia"/>
          <w:color w:val="auto"/>
        </w:rPr>
        <w:t>包装罐桶。</w:t>
      </w:r>
    </w:p>
    <w:p>
      <w:pPr>
        <w:spacing w:line="360" w:lineRule="auto"/>
        <w:ind w:firstLine="480"/>
        <w:jc w:val="left"/>
        <w:rPr>
          <w:rFonts w:hint="eastAsia" w:ascii="Times New Roman" w:hAnsi="Times New Roman"/>
          <w:caps w:val="0"/>
          <w:smallCaps w:val="0"/>
          <w:color w:val="auto"/>
          <w:sz w:val="24"/>
          <w:szCs w:val="24"/>
          <w:u w:val="single"/>
        </w:rPr>
      </w:pPr>
      <w:r>
        <w:rPr>
          <w:rFonts w:ascii="Times New Roman" w:hAnsi="Times New Roman"/>
          <w:caps w:val="0"/>
          <w:smallCaps w:val="0"/>
          <w:color w:val="auto"/>
          <w:u w:val="none"/>
        </w:rPr>
        <w:object>
          <v:shape id="_x0000_i1030" o:spt="75" type="#_x0000_t75" style="height:359.25pt;width:380.25pt;" o:ole="t" filled="f" o:preferrelative="t" stroked="f" coordsize="21600,21600">
            <v:path/>
            <v:fill on="f" focussize="0,0"/>
            <v:stroke on="f"/>
            <v:imagedata r:id="rId33" o:title=""/>
            <o:lock v:ext="edit" aspectratio="f"/>
            <w10:wrap type="none"/>
            <w10:anchorlock/>
          </v:shape>
          <o:OLEObject Type="Embed" ProgID="Visio.Drawing.11" ShapeID="_x0000_i1030" DrawAspect="Content" ObjectID="_1468075730" r:id="rId32">
            <o:LockedField>false</o:LockedField>
          </o:OLEObject>
        </w:object>
      </w:r>
    </w:p>
    <w:p>
      <w:pPr>
        <w:pStyle w:val="36"/>
        <w:bidi w:val="0"/>
        <w:rPr>
          <w:color w:val="auto"/>
        </w:rPr>
      </w:pPr>
      <w:r>
        <w:rPr>
          <w:rFonts w:hint="eastAsia"/>
          <w:color w:val="auto"/>
        </w:rPr>
        <w:t>图</w:t>
      </w:r>
      <w:r>
        <w:rPr>
          <w:rFonts w:hint="eastAsia"/>
          <w:color w:val="auto"/>
          <w:lang w:val="en-US" w:eastAsia="zh-CN"/>
        </w:rPr>
        <w:t>3.2-8</w:t>
      </w:r>
      <w:r>
        <w:rPr>
          <w:rFonts w:hint="eastAsia"/>
          <w:color w:val="auto"/>
        </w:rPr>
        <w:t xml:space="preserve">  聚酯分散剂工艺流程及产污环节图</w:t>
      </w:r>
    </w:p>
    <w:p>
      <w:pPr>
        <w:pStyle w:val="33"/>
        <w:bidi w:val="0"/>
        <w:rPr>
          <w:rFonts w:hint="eastAsia"/>
          <w:color w:val="auto"/>
          <w:lang w:eastAsia="zh-CN"/>
        </w:rPr>
      </w:pPr>
      <w:r>
        <w:rPr>
          <w:rFonts w:hint="eastAsia"/>
          <w:color w:val="auto"/>
        </w:rPr>
        <w:t>（2）产污</w:t>
      </w:r>
      <w:r>
        <w:rPr>
          <w:rFonts w:hint="eastAsia"/>
          <w:color w:val="auto"/>
          <w:lang w:eastAsia="zh-CN"/>
        </w:rPr>
        <w:t>环节分析</w:t>
      </w:r>
    </w:p>
    <w:p>
      <w:pPr>
        <w:pStyle w:val="33"/>
        <w:bidi w:val="0"/>
        <w:rPr>
          <w:rFonts w:hint="eastAsia"/>
          <w:color w:val="auto"/>
          <w:lang w:eastAsia="zh-CN"/>
        </w:rPr>
      </w:pPr>
      <w:r>
        <w:rPr>
          <w:rFonts w:hint="default"/>
          <w:color w:val="auto"/>
          <w:lang w:eastAsia="zh-CN"/>
        </w:rPr>
        <w:t>①</w:t>
      </w:r>
      <w:r>
        <w:rPr>
          <w:rFonts w:hint="eastAsia"/>
          <w:color w:val="auto"/>
          <w:lang w:eastAsia="zh-CN"/>
        </w:rPr>
        <w:t>废气</w:t>
      </w:r>
    </w:p>
    <w:p>
      <w:pPr>
        <w:pStyle w:val="33"/>
        <w:bidi w:val="0"/>
        <w:rPr>
          <w:rFonts w:hint="eastAsia"/>
          <w:color w:val="auto"/>
        </w:rPr>
      </w:pPr>
      <w:r>
        <w:rPr>
          <w:rFonts w:hint="eastAsia"/>
          <w:color w:val="auto"/>
          <w:lang w:eastAsia="zh-CN"/>
        </w:rPr>
        <w:t>生产过程中，废气产生环节主要有：真空进料尾气</w:t>
      </w:r>
      <w:r>
        <w:rPr>
          <w:rFonts w:hint="default"/>
          <w:color w:val="auto"/>
          <w:lang w:val="zh-CN"/>
        </w:rPr>
        <w:t>G</w:t>
      </w:r>
      <w:r>
        <w:rPr>
          <w:rFonts w:hint="eastAsia"/>
          <w:color w:val="auto"/>
          <w:vertAlign w:val="subscript"/>
          <w:lang w:val="en-US" w:eastAsia="zh-CN"/>
        </w:rPr>
        <w:t>5</w:t>
      </w:r>
      <w:r>
        <w:rPr>
          <w:rFonts w:hint="default"/>
          <w:color w:val="auto"/>
          <w:vertAlign w:val="subscript"/>
          <w:lang w:val="zh-CN"/>
        </w:rPr>
        <w:t>-1</w:t>
      </w:r>
      <w:r>
        <w:rPr>
          <w:rFonts w:hint="eastAsia"/>
          <w:color w:val="auto"/>
          <w:lang w:eastAsia="zh-CN"/>
        </w:rPr>
        <w:t>、缩聚反应回流冷凝器尾气</w:t>
      </w:r>
      <w:r>
        <w:rPr>
          <w:rFonts w:hint="default"/>
          <w:color w:val="auto"/>
          <w:lang w:val="zh-CN"/>
        </w:rPr>
        <w:t>G</w:t>
      </w:r>
      <w:r>
        <w:rPr>
          <w:rFonts w:hint="eastAsia"/>
          <w:color w:val="auto"/>
          <w:vertAlign w:val="subscript"/>
          <w:lang w:val="en-US" w:eastAsia="zh-CN"/>
        </w:rPr>
        <w:t>5</w:t>
      </w:r>
      <w:r>
        <w:rPr>
          <w:rFonts w:hint="default"/>
          <w:color w:val="auto"/>
          <w:vertAlign w:val="subscript"/>
          <w:lang w:val="zh-CN"/>
        </w:rPr>
        <w:t>-</w:t>
      </w:r>
      <w:r>
        <w:rPr>
          <w:rFonts w:hint="eastAsia"/>
          <w:color w:val="auto"/>
          <w:vertAlign w:val="subscript"/>
          <w:lang w:val="en-US" w:eastAsia="zh-CN"/>
        </w:rPr>
        <w:t>2</w:t>
      </w:r>
      <w:r>
        <w:rPr>
          <w:rFonts w:hint="eastAsia"/>
          <w:color w:val="auto"/>
          <w:lang w:eastAsia="zh-CN"/>
        </w:rPr>
        <w:t>。均</w:t>
      </w:r>
      <w:r>
        <w:rPr>
          <w:rFonts w:hint="eastAsia"/>
          <w:color w:val="auto"/>
        </w:rPr>
        <w:t>进</w:t>
      </w:r>
      <w:r>
        <w:rPr>
          <w:rFonts w:hint="eastAsia"/>
          <w:color w:val="auto"/>
          <w:lang w:eastAsia="zh-CN"/>
        </w:rPr>
        <w:t>“冷凝</w:t>
      </w:r>
      <w:r>
        <w:rPr>
          <w:rFonts w:hint="eastAsia"/>
          <w:color w:val="auto"/>
          <w:lang w:val="en-US" w:eastAsia="zh-CN"/>
        </w:rPr>
        <w:t>+UV光解</w:t>
      </w:r>
      <w:r>
        <w:rPr>
          <w:rFonts w:hint="eastAsia"/>
          <w:color w:val="auto"/>
        </w:rPr>
        <w:t>装置</w:t>
      </w:r>
      <w:r>
        <w:rPr>
          <w:rFonts w:hint="eastAsia"/>
          <w:color w:val="auto"/>
          <w:lang w:eastAsia="zh-CN"/>
        </w:rPr>
        <w:t>”</w:t>
      </w:r>
      <w:r>
        <w:rPr>
          <w:rFonts w:hint="eastAsia"/>
          <w:color w:val="auto"/>
        </w:rPr>
        <w:t>处理后经</w:t>
      </w:r>
      <w:r>
        <w:rPr>
          <w:rFonts w:hint="eastAsia"/>
          <w:color w:val="auto"/>
          <w:lang w:val="en-US" w:eastAsia="zh-CN"/>
        </w:rPr>
        <w:t>15</w:t>
      </w:r>
      <w:r>
        <w:rPr>
          <w:rFonts w:hint="eastAsia"/>
          <w:color w:val="auto"/>
        </w:rPr>
        <w:t>米高排气筒排放。</w:t>
      </w:r>
    </w:p>
    <w:p>
      <w:pPr>
        <w:pStyle w:val="33"/>
        <w:bidi w:val="0"/>
        <w:rPr>
          <w:rFonts w:hint="eastAsia"/>
          <w:color w:val="auto"/>
          <w:lang w:eastAsia="zh-CN"/>
        </w:rPr>
      </w:pPr>
      <w:r>
        <w:rPr>
          <w:rFonts w:hint="default"/>
          <w:color w:val="auto"/>
          <w:lang w:eastAsia="zh-CN"/>
        </w:rPr>
        <w:t>②</w:t>
      </w:r>
      <w:r>
        <w:rPr>
          <w:rFonts w:hint="eastAsia"/>
          <w:color w:val="auto"/>
          <w:lang w:eastAsia="zh-CN"/>
        </w:rPr>
        <w:t>废水</w:t>
      </w:r>
    </w:p>
    <w:p>
      <w:pPr>
        <w:pStyle w:val="33"/>
        <w:bidi w:val="0"/>
        <w:rPr>
          <w:rFonts w:hint="eastAsia"/>
          <w:color w:val="auto"/>
          <w:lang w:eastAsia="zh-CN"/>
        </w:rPr>
      </w:pPr>
      <w:r>
        <w:rPr>
          <w:rFonts w:hint="eastAsia"/>
          <w:color w:val="auto"/>
          <w:lang w:eastAsia="zh-CN"/>
        </w:rPr>
        <w:t>生产过程中，废水主要为分水反应后静置分层放出的废水</w:t>
      </w:r>
      <w:r>
        <w:rPr>
          <w:rFonts w:hint="eastAsia"/>
          <w:color w:val="auto"/>
          <w:lang w:val="en-US" w:eastAsia="zh-CN"/>
        </w:rPr>
        <w:t>W</w:t>
      </w:r>
      <w:r>
        <w:rPr>
          <w:rFonts w:hint="eastAsia"/>
          <w:color w:val="auto"/>
          <w:vertAlign w:val="subscript"/>
          <w:lang w:val="en-US" w:eastAsia="zh-CN"/>
        </w:rPr>
        <w:t>5</w:t>
      </w:r>
      <w:r>
        <w:rPr>
          <w:rFonts w:hint="default"/>
          <w:color w:val="auto"/>
          <w:vertAlign w:val="subscript"/>
          <w:lang w:val="zh-CN"/>
        </w:rPr>
        <w:t>-1</w:t>
      </w:r>
      <w:r>
        <w:rPr>
          <w:rFonts w:hint="eastAsia"/>
          <w:color w:val="auto"/>
          <w:lang w:eastAsia="zh-CN"/>
        </w:rPr>
        <w:t>、真空吸料系统水环真空排水，设备及地面清洗等杂用水，均排入厂区内新建污水处理站处理。</w:t>
      </w:r>
    </w:p>
    <w:p>
      <w:pPr>
        <w:pStyle w:val="33"/>
        <w:bidi w:val="0"/>
        <w:rPr>
          <w:rFonts w:hint="eastAsia"/>
          <w:color w:val="auto"/>
          <w:lang w:eastAsia="zh-CN"/>
        </w:rPr>
      </w:pPr>
      <w:r>
        <w:rPr>
          <w:rFonts w:hint="default"/>
          <w:color w:val="auto"/>
          <w:lang w:eastAsia="zh-CN"/>
        </w:rPr>
        <w:t>③</w:t>
      </w:r>
      <w:r>
        <w:rPr>
          <w:rFonts w:hint="eastAsia"/>
          <w:color w:val="auto"/>
          <w:lang w:eastAsia="zh-CN"/>
        </w:rPr>
        <w:t>固体废物</w:t>
      </w:r>
    </w:p>
    <w:p>
      <w:pPr>
        <w:pStyle w:val="33"/>
        <w:bidi w:val="0"/>
        <w:rPr>
          <w:rFonts w:hint="eastAsia"/>
          <w:color w:val="auto"/>
          <w:lang w:eastAsia="zh-CN"/>
        </w:rPr>
      </w:pPr>
      <w:r>
        <w:rPr>
          <w:rFonts w:hint="eastAsia"/>
          <w:color w:val="auto"/>
          <w:lang w:eastAsia="zh-CN"/>
        </w:rPr>
        <w:t>生产过程中，固体废物主要来自产品出料过滤产生的滤渣</w:t>
      </w:r>
      <w:r>
        <w:rPr>
          <w:rFonts w:hint="eastAsia"/>
          <w:color w:val="auto"/>
          <w:lang w:val="en-US" w:eastAsia="zh-CN"/>
        </w:rPr>
        <w:t>S</w:t>
      </w:r>
      <w:r>
        <w:rPr>
          <w:rFonts w:hint="eastAsia"/>
          <w:color w:val="auto"/>
          <w:vertAlign w:val="subscript"/>
          <w:lang w:val="en-US" w:eastAsia="zh-CN"/>
        </w:rPr>
        <w:t>5</w:t>
      </w:r>
      <w:r>
        <w:rPr>
          <w:rFonts w:hint="default"/>
          <w:color w:val="auto"/>
          <w:vertAlign w:val="subscript"/>
          <w:lang w:val="zh-CN"/>
        </w:rPr>
        <w:t>-1</w:t>
      </w:r>
      <w:r>
        <w:rPr>
          <w:rFonts w:hint="eastAsia"/>
          <w:color w:val="auto"/>
          <w:lang w:eastAsia="zh-CN"/>
        </w:rPr>
        <w:t>、空原料桶。其中：滤渣利用铁桶盛装，送有资质单位处置；空原料桶收集、堆存于原料仓库分出空桶区，定期由原料供应商回收重复利用，厂区内不设洗桶工序。</w:t>
      </w:r>
    </w:p>
    <w:p>
      <w:pPr>
        <w:pStyle w:val="33"/>
        <w:bidi w:val="0"/>
        <w:rPr>
          <w:rFonts w:hint="eastAsia"/>
          <w:color w:val="auto"/>
          <w:lang w:eastAsia="zh-CN"/>
        </w:rPr>
      </w:pPr>
      <w:r>
        <w:rPr>
          <w:rFonts w:hint="eastAsia"/>
          <w:color w:val="auto"/>
          <w:lang w:eastAsia="zh-CN"/>
        </w:rPr>
        <w:t>④噪声</w:t>
      </w:r>
    </w:p>
    <w:p>
      <w:pPr>
        <w:pStyle w:val="33"/>
        <w:bidi w:val="0"/>
        <w:rPr>
          <w:rFonts w:hint="eastAsia"/>
          <w:color w:val="auto"/>
          <w:lang w:eastAsia="zh-CN"/>
        </w:rPr>
      </w:pPr>
      <w:r>
        <w:rPr>
          <w:rFonts w:hint="eastAsia"/>
          <w:color w:val="auto"/>
          <w:lang w:eastAsia="zh-CN"/>
        </w:rPr>
        <w:t>分散剂生产线没有大型设备，各反应釜搅拌机、物料输送泵的功率均较小，噪声源强一般为</w:t>
      </w:r>
      <w:r>
        <w:rPr>
          <w:rFonts w:hint="eastAsia"/>
          <w:color w:val="auto"/>
          <w:lang w:val="en-US" w:eastAsia="zh-CN"/>
        </w:rPr>
        <w:t>75~85dB(A)。</w:t>
      </w:r>
    </w:p>
    <w:p>
      <w:pPr>
        <w:pStyle w:val="36"/>
        <w:bidi w:val="0"/>
        <w:rPr>
          <w:color w:val="auto"/>
        </w:rPr>
      </w:pPr>
      <w:r>
        <w:rPr>
          <w:color w:val="auto"/>
        </w:rPr>
        <w:t>表</w:t>
      </w:r>
      <w:r>
        <w:rPr>
          <w:rFonts w:hint="eastAsia"/>
          <w:color w:val="auto"/>
          <w:lang w:val="en-US" w:eastAsia="zh-CN"/>
        </w:rPr>
        <w:t>3.2-7</w:t>
      </w:r>
      <w:r>
        <w:rPr>
          <w:color w:val="auto"/>
        </w:rPr>
        <w:t xml:space="preserve">  </w:t>
      </w:r>
      <w:r>
        <w:rPr>
          <w:rFonts w:hint="eastAsia"/>
          <w:color w:val="auto"/>
        </w:rPr>
        <w:t>聚酯分散剂</w:t>
      </w:r>
      <w:r>
        <w:rPr>
          <w:color w:val="auto"/>
        </w:rPr>
        <w:t>产污环节一览表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91"/>
        <w:gridCol w:w="2512"/>
        <w:gridCol w:w="1456"/>
        <w:gridCol w:w="1094"/>
        <w:gridCol w:w="315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7" w:hRule="atLeast"/>
        </w:trPr>
        <w:tc>
          <w:tcPr>
            <w:tcW w:w="679" w:type="pct"/>
            <w:tcBorders>
              <w:tl2br w:val="nil"/>
              <w:tr2bl w:val="nil"/>
            </w:tcBorders>
            <w:noWrap w:val="0"/>
            <w:vAlign w:val="center"/>
          </w:tcPr>
          <w:p>
            <w:pPr>
              <w:pStyle w:val="35"/>
              <w:bidi w:val="0"/>
              <w:rPr>
                <w:b/>
                <w:bCs/>
                <w:color w:val="auto"/>
              </w:rPr>
            </w:pPr>
            <w:r>
              <w:rPr>
                <w:rFonts w:hint="eastAsia"/>
                <w:b/>
                <w:bCs/>
                <w:color w:val="auto"/>
              </w:rPr>
              <w:t>污染</w:t>
            </w:r>
          </w:p>
          <w:p>
            <w:pPr>
              <w:pStyle w:val="35"/>
              <w:bidi w:val="0"/>
              <w:rPr>
                <w:b/>
                <w:bCs/>
                <w:color w:val="auto"/>
              </w:rPr>
            </w:pPr>
            <w:r>
              <w:rPr>
                <w:rFonts w:hint="eastAsia"/>
                <w:b/>
                <w:bCs/>
                <w:color w:val="auto"/>
              </w:rPr>
              <w:t>类型</w:t>
            </w:r>
          </w:p>
        </w:tc>
        <w:tc>
          <w:tcPr>
            <w:tcW w:w="1320" w:type="pct"/>
            <w:tcBorders>
              <w:tl2br w:val="nil"/>
              <w:tr2bl w:val="nil"/>
            </w:tcBorders>
            <w:noWrap w:val="0"/>
            <w:vAlign w:val="center"/>
          </w:tcPr>
          <w:p>
            <w:pPr>
              <w:pStyle w:val="35"/>
              <w:bidi w:val="0"/>
              <w:rPr>
                <w:b/>
                <w:bCs/>
                <w:color w:val="auto"/>
              </w:rPr>
            </w:pPr>
            <w:r>
              <w:rPr>
                <w:rFonts w:hint="eastAsia"/>
                <w:b/>
                <w:bCs/>
                <w:color w:val="auto"/>
              </w:rPr>
              <w:t>产物环节</w:t>
            </w:r>
          </w:p>
        </w:tc>
        <w:tc>
          <w:tcPr>
            <w:tcW w:w="765" w:type="pct"/>
            <w:tcBorders>
              <w:tl2br w:val="nil"/>
              <w:tr2bl w:val="nil"/>
            </w:tcBorders>
            <w:noWrap w:val="0"/>
            <w:vAlign w:val="center"/>
          </w:tcPr>
          <w:p>
            <w:pPr>
              <w:pStyle w:val="35"/>
              <w:bidi w:val="0"/>
              <w:rPr>
                <w:b/>
                <w:bCs/>
                <w:color w:val="auto"/>
              </w:rPr>
            </w:pPr>
            <w:r>
              <w:rPr>
                <w:rFonts w:hint="eastAsia"/>
                <w:b/>
                <w:bCs/>
                <w:color w:val="auto"/>
              </w:rPr>
              <w:t>产生污染物</w:t>
            </w:r>
          </w:p>
        </w:tc>
        <w:tc>
          <w:tcPr>
            <w:tcW w:w="575" w:type="pct"/>
            <w:tcBorders>
              <w:tl2br w:val="nil"/>
              <w:tr2bl w:val="nil"/>
            </w:tcBorders>
            <w:noWrap w:val="0"/>
            <w:vAlign w:val="center"/>
          </w:tcPr>
          <w:p>
            <w:pPr>
              <w:pStyle w:val="35"/>
              <w:bidi w:val="0"/>
              <w:rPr>
                <w:b/>
                <w:bCs/>
                <w:color w:val="auto"/>
              </w:rPr>
            </w:pPr>
            <w:r>
              <w:rPr>
                <w:rFonts w:hint="eastAsia"/>
                <w:b/>
                <w:bCs/>
                <w:color w:val="auto"/>
              </w:rPr>
              <w:t>产生</w:t>
            </w:r>
          </w:p>
          <w:p>
            <w:pPr>
              <w:pStyle w:val="35"/>
              <w:bidi w:val="0"/>
              <w:rPr>
                <w:b/>
                <w:bCs/>
                <w:color w:val="auto"/>
              </w:rPr>
            </w:pPr>
            <w:r>
              <w:rPr>
                <w:rFonts w:hint="eastAsia"/>
                <w:b/>
                <w:bCs/>
                <w:color w:val="auto"/>
              </w:rPr>
              <w:t>特点</w:t>
            </w:r>
          </w:p>
        </w:tc>
        <w:tc>
          <w:tcPr>
            <w:tcW w:w="1659" w:type="pct"/>
            <w:tcBorders>
              <w:tl2br w:val="nil"/>
              <w:tr2bl w:val="nil"/>
            </w:tcBorders>
            <w:noWrap w:val="0"/>
            <w:vAlign w:val="center"/>
          </w:tcPr>
          <w:p>
            <w:pPr>
              <w:pStyle w:val="35"/>
              <w:bidi w:val="0"/>
              <w:rPr>
                <w:b/>
                <w:bCs/>
                <w:color w:val="auto"/>
              </w:rPr>
            </w:pPr>
            <w:r>
              <w:rPr>
                <w:rFonts w:hint="eastAsia"/>
                <w:b/>
                <w:bCs/>
                <w:color w:val="auto"/>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7" w:hRule="atLeast"/>
        </w:trPr>
        <w:tc>
          <w:tcPr>
            <w:tcW w:w="679" w:type="pct"/>
            <w:tcBorders>
              <w:tl2br w:val="nil"/>
              <w:tr2bl w:val="nil"/>
            </w:tcBorders>
            <w:noWrap w:val="0"/>
            <w:vAlign w:val="center"/>
          </w:tcPr>
          <w:p>
            <w:pPr>
              <w:pStyle w:val="35"/>
              <w:bidi w:val="0"/>
              <w:rPr>
                <w:color w:val="auto"/>
              </w:rPr>
            </w:pPr>
            <w:r>
              <w:rPr>
                <w:rFonts w:hint="eastAsia"/>
                <w:color w:val="auto"/>
                <w:lang w:val="en-US" w:eastAsia="zh-CN"/>
              </w:rPr>
              <w:t>W5</w:t>
            </w:r>
            <w:r>
              <w:rPr>
                <w:rFonts w:hint="default"/>
                <w:color w:val="auto"/>
                <w:lang w:val="zh-CN"/>
              </w:rPr>
              <w:t>-1</w:t>
            </w:r>
            <w:r>
              <w:rPr>
                <w:rFonts w:hint="eastAsia"/>
                <w:color w:val="auto"/>
              </w:rPr>
              <w:t>废水</w:t>
            </w:r>
          </w:p>
        </w:tc>
        <w:tc>
          <w:tcPr>
            <w:tcW w:w="1320" w:type="pct"/>
            <w:tcBorders>
              <w:tl2br w:val="nil"/>
              <w:tr2bl w:val="nil"/>
            </w:tcBorders>
            <w:noWrap w:val="0"/>
            <w:vAlign w:val="center"/>
          </w:tcPr>
          <w:p>
            <w:pPr>
              <w:pStyle w:val="35"/>
              <w:bidi w:val="0"/>
              <w:rPr>
                <w:color w:val="auto"/>
              </w:rPr>
            </w:pPr>
            <w:r>
              <w:rPr>
                <w:rFonts w:hint="eastAsia"/>
                <w:color w:val="auto"/>
              </w:rPr>
              <w:t>油水</w:t>
            </w:r>
            <w:r>
              <w:rPr>
                <w:rFonts w:hint="eastAsia"/>
                <w:color w:val="auto"/>
                <w:lang w:eastAsia="zh-CN"/>
              </w:rPr>
              <w:t>静置</w:t>
            </w:r>
            <w:r>
              <w:rPr>
                <w:rFonts w:hint="eastAsia"/>
                <w:color w:val="auto"/>
              </w:rPr>
              <w:t>分</w:t>
            </w:r>
            <w:r>
              <w:rPr>
                <w:rFonts w:hint="eastAsia"/>
                <w:color w:val="auto"/>
                <w:lang w:eastAsia="zh-CN"/>
              </w:rPr>
              <w:t>层</w:t>
            </w:r>
          </w:p>
        </w:tc>
        <w:tc>
          <w:tcPr>
            <w:tcW w:w="765" w:type="pct"/>
            <w:tcBorders>
              <w:tl2br w:val="nil"/>
              <w:tr2bl w:val="nil"/>
            </w:tcBorders>
            <w:noWrap w:val="0"/>
            <w:vAlign w:val="center"/>
          </w:tcPr>
          <w:p>
            <w:pPr>
              <w:pStyle w:val="35"/>
              <w:bidi w:val="0"/>
              <w:rPr>
                <w:color w:val="auto"/>
              </w:rPr>
            </w:pPr>
            <w:r>
              <w:rPr>
                <w:rFonts w:hint="eastAsia"/>
                <w:color w:val="auto"/>
              </w:rPr>
              <w:t>有机物</w:t>
            </w:r>
          </w:p>
        </w:tc>
        <w:tc>
          <w:tcPr>
            <w:tcW w:w="575" w:type="pct"/>
            <w:tcBorders>
              <w:tl2br w:val="nil"/>
              <w:tr2bl w:val="nil"/>
            </w:tcBorders>
            <w:noWrap w:val="0"/>
            <w:vAlign w:val="center"/>
          </w:tcPr>
          <w:p>
            <w:pPr>
              <w:pStyle w:val="35"/>
              <w:bidi w:val="0"/>
              <w:rPr>
                <w:color w:val="auto"/>
              </w:rPr>
            </w:pPr>
            <w:r>
              <w:rPr>
                <w:rFonts w:hint="eastAsia"/>
                <w:color w:val="auto"/>
              </w:rPr>
              <w:t>间歇</w:t>
            </w:r>
          </w:p>
        </w:tc>
        <w:tc>
          <w:tcPr>
            <w:tcW w:w="1659" w:type="pct"/>
            <w:tcBorders>
              <w:tl2br w:val="nil"/>
              <w:tr2bl w:val="nil"/>
            </w:tcBorders>
            <w:noWrap w:val="0"/>
            <w:vAlign w:val="center"/>
          </w:tcPr>
          <w:p>
            <w:pPr>
              <w:pStyle w:val="35"/>
              <w:bidi w:val="0"/>
              <w:rPr>
                <w:color w:val="auto"/>
              </w:rPr>
            </w:pPr>
            <w:r>
              <w:rPr>
                <w:rFonts w:hint="eastAsia"/>
                <w:color w:val="auto"/>
              </w:rPr>
              <w:t>厂区内自建污水处理站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trPr>
        <w:tc>
          <w:tcPr>
            <w:tcW w:w="679" w:type="pct"/>
            <w:tcBorders>
              <w:tl2br w:val="nil"/>
              <w:tr2bl w:val="nil"/>
            </w:tcBorders>
            <w:noWrap w:val="0"/>
            <w:vAlign w:val="center"/>
          </w:tcPr>
          <w:p>
            <w:pPr>
              <w:pStyle w:val="35"/>
              <w:bidi w:val="0"/>
              <w:rPr>
                <w:color w:val="auto"/>
              </w:rPr>
            </w:pPr>
            <w:r>
              <w:rPr>
                <w:rFonts w:hint="default"/>
                <w:color w:val="auto"/>
                <w:lang w:val="zh-CN"/>
              </w:rPr>
              <w:t>G</w:t>
            </w:r>
            <w:r>
              <w:rPr>
                <w:rFonts w:hint="eastAsia"/>
                <w:color w:val="auto"/>
                <w:lang w:val="en-US" w:eastAsia="zh-CN"/>
              </w:rPr>
              <w:t>5-1</w:t>
            </w:r>
            <w:r>
              <w:rPr>
                <w:rFonts w:hint="eastAsia"/>
                <w:color w:val="auto"/>
              </w:rPr>
              <w:t>废气</w:t>
            </w:r>
          </w:p>
        </w:tc>
        <w:tc>
          <w:tcPr>
            <w:tcW w:w="1320" w:type="pct"/>
            <w:tcBorders>
              <w:tl2br w:val="nil"/>
              <w:tr2bl w:val="nil"/>
            </w:tcBorders>
            <w:noWrap w:val="0"/>
            <w:vAlign w:val="center"/>
          </w:tcPr>
          <w:p>
            <w:pPr>
              <w:pStyle w:val="35"/>
              <w:bidi w:val="0"/>
              <w:rPr>
                <w:color w:val="auto"/>
              </w:rPr>
            </w:pPr>
            <w:r>
              <w:rPr>
                <w:rFonts w:hint="eastAsia"/>
                <w:color w:val="auto"/>
                <w:lang w:eastAsia="zh-CN"/>
              </w:rPr>
              <w:t>进料真空泵尾气</w:t>
            </w:r>
          </w:p>
        </w:tc>
        <w:tc>
          <w:tcPr>
            <w:tcW w:w="765"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非甲烷总烃</w:t>
            </w:r>
          </w:p>
        </w:tc>
        <w:tc>
          <w:tcPr>
            <w:tcW w:w="575" w:type="pct"/>
            <w:tcBorders>
              <w:tl2br w:val="nil"/>
              <w:tr2bl w:val="nil"/>
            </w:tcBorders>
            <w:noWrap w:val="0"/>
            <w:vAlign w:val="center"/>
          </w:tcPr>
          <w:p>
            <w:pPr>
              <w:pStyle w:val="35"/>
              <w:bidi w:val="0"/>
              <w:rPr>
                <w:color w:val="auto"/>
              </w:rPr>
            </w:pPr>
            <w:r>
              <w:rPr>
                <w:rFonts w:hint="eastAsia"/>
                <w:color w:val="auto"/>
              </w:rPr>
              <w:t>间歇</w:t>
            </w:r>
          </w:p>
        </w:tc>
        <w:tc>
          <w:tcPr>
            <w:tcW w:w="1659" w:type="pct"/>
            <w:vMerge w:val="restart"/>
            <w:tcBorders>
              <w:tl2br w:val="nil"/>
              <w:tr2bl w:val="nil"/>
            </w:tcBorders>
            <w:noWrap w:val="0"/>
            <w:vAlign w:val="center"/>
          </w:tcPr>
          <w:p>
            <w:pPr>
              <w:pStyle w:val="35"/>
              <w:bidi w:val="0"/>
              <w:rPr>
                <w:color w:val="auto"/>
              </w:rPr>
            </w:pPr>
            <w:r>
              <w:rPr>
                <w:rFonts w:hint="eastAsia"/>
                <w:color w:val="auto"/>
                <w:lang w:eastAsia="zh-CN"/>
              </w:rPr>
              <w:t>冷凝</w:t>
            </w:r>
            <w:r>
              <w:rPr>
                <w:rFonts w:hint="eastAsia"/>
                <w:color w:val="auto"/>
                <w:lang w:val="en-US" w:eastAsia="zh-CN"/>
              </w:rPr>
              <w:t>+</w:t>
            </w:r>
            <w:r>
              <w:rPr>
                <w:rFonts w:hint="eastAsia"/>
                <w:color w:val="auto"/>
              </w:rPr>
              <w:t>UV光解+15高排气筒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71" w:hRule="atLeast"/>
        </w:trPr>
        <w:tc>
          <w:tcPr>
            <w:tcW w:w="679" w:type="pct"/>
            <w:tcBorders>
              <w:tl2br w:val="nil"/>
              <w:tr2bl w:val="nil"/>
            </w:tcBorders>
            <w:noWrap w:val="0"/>
            <w:vAlign w:val="center"/>
          </w:tcPr>
          <w:p>
            <w:pPr>
              <w:pStyle w:val="35"/>
              <w:bidi w:val="0"/>
              <w:rPr>
                <w:rFonts w:hint="default"/>
                <w:color w:val="auto"/>
                <w:lang w:val="zh-CN"/>
              </w:rPr>
            </w:pPr>
            <w:r>
              <w:rPr>
                <w:rFonts w:hint="default"/>
                <w:color w:val="auto"/>
                <w:lang w:val="zh-CN"/>
              </w:rPr>
              <w:t>G</w:t>
            </w:r>
            <w:r>
              <w:rPr>
                <w:rFonts w:hint="eastAsia"/>
                <w:color w:val="auto"/>
                <w:lang w:val="en-US" w:eastAsia="zh-CN"/>
              </w:rPr>
              <w:t>5-2</w:t>
            </w:r>
            <w:r>
              <w:rPr>
                <w:rFonts w:hint="eastAsia"/>
                <w:color w:val="auto"/>
              </w:rPr>
              <w:t>废气</w:t>
            </w:r>
          </w:p>
        </w:tc>
        <w:tc>
          <w:tcPr>
            <w:tcW w:w="1320" w:type="pct"/>
            <w:tcBorders>
              <w:tl2br w:val="nil"/>
              <w:tr2bl w:val="nil"/>
            </w:tcBorders>
            <w:noWrap w:val="0"/>
            <w:vAlign w:val="center"/>
          </w:tcPr>
          <w:p>
            <w:pPr>
              <w:pStyle w:val="35"/>
              <w:bidi w:val="0"/>
              <w:rPr>
                <w:color w:val="auto"/>
              </w:rPr>
            </w:pPr>
            <w:r>
              <w:rPr>
                <w:color w:val="auto"/>
              </w:rPr>
              <w:t>反应釜</w:t>
            </w:r>
            <w:r>
              <w:rPr>
                <w:rFonts w:hint="eastAsia"/>
                <w:color w:val="auto"/>
                <w:lang w:eastAsia="zh-CN"/>
              </w:rPr>
              <w:t>回流</w:t>
            </w:r>
            <w:r>
              <w:rPr>
                <w:color w:val="auto"/>
              </w:rPr>
              <w:t>冷凝器</w:t>
            </w:r>
            <w:r>
              <w:rPr>
                <w:rFonts w:hint="eastAsia"/>
                <w:color w:val="auto"/>
                <w:lang w:eastAsia="zh-CN"/>
              </w:rPr>
              <w:t>顶部</w:t>
            </w:r>
            <w:r>
              <w:rPr>
                <w:color w:val="auto"/>
              </w:rPr>
              <w:t>排气口</w:t>
            </w:r>
            <w:r>
              <w:rPr>
                <w:rFonts w:hint="eastAsia"/>
                <w:color w:val="auto"/>
                <w:lang w:eastAsia="zh-CN"/>
              </w:rPr>
              <w:t>及真空泵尾气</w:t>
            </w:r>
          </w:p>
        </w:tc>
        <w:tc>
          <w:tcPr>
            <w:tcW w:w="765"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非甲烷总烃</w:t>
            </w:r>
          </w:p>
        </w:tc>
        <w:tc>
          <w:tcPr>
            <w:tcW w:w="575" w:type="pct"/>
            <w:tcBorders>
              <w:tl2br w:val="nil"/>
              <w:tr2bl w:val="nil"/>
            </w:tcBorders>
            <w:noWrap w:val="0"/>
            <w:vAlign w:val="center"/>
          </w:tcPr>
          <w:p>
            <w:pPr>
              <w:pStyle w:val="35"/>
              <w:bidi w:val="0"/>
              <w:rPr>
                <w:rFonts w:hint="eastAsia"/>
                <w:color w:val="auto"/>
              </w:rPr>
            </w:pPr>
            <w:r>
              <w:rPr>
                <w:rFonts w:hint="eastAsia"/>
                <w:color w:val="auto"/>
              </w:rPr>
              <w:t>间歇</w:t>
            </w:r>
          </w:p>
        </w:tc>
        <w:tc>
          <w:tcPr>
            <w:tcW w:w="1659" w:type="pct"/>
            <w:vMerge w:val="continue"/>
            <w:tcBorders>
              <w:tl2br w:val="nil"/>
              <w:tr2bl w:val="nil"/>
            </w:tcBorders>
            <w:noWrap w:val="0"/>
            <w:vAlign w:val="center"/>
          </w:tcPr>
          <w:p>
            <w:pPr>
              <w:pStyle w:val="35"/>
              <w:bidi w:val="0"/>
              <w:rPr>
                <w:rFonts w:hint="eastAsia"/>
                <w:color w:val="auto"/>
                <w:lang w:eastAsia="zh-CN"/>
              </w:rPr>
            </w:pPr>
          </w:p>
        </w:tc>
      </w:tr>
    </w:tbl>
    <w:p>
      <w:pPr>
        <w:pStyle w:val="33"/>
        <w:bidi w:val="0"/>
        <w:rPr>
          <w:b/>
          <w:bCs/>
          <w:color w:val="auto"/>
        </w:rPr>
      </w:pPr>
      <w:r>
        <w:rPr>
          <w:rFonts w:hint="eastAsia"/>
          <w:b/>
          <w:bCs/>
          <w:color w:val="auto"/>
          <w:lang w:val="en-US" w:eastAsia="zh-CN"/>
        </w:rPr>
        <w:t>2、</w:t>
      </w:r>
      <w:r>
        <w:rPr>
          <w:rFonts w:hint="eastAsia"/>
          <w:b/>
          <w:bCs/>
          <w:color w:val="auto"/>
        </w:rPr>
        <w:t>丙烯酸酯分散剂</w:t>
      </w:r>
      <w:r>
        <w:rPr>
          <w:rFonts w:hint="eastAsia"/>
          <w:b/>
          <w:bCs/>
          <w:color w:val="auto"/>
          <w:lang w:val="en-US" w:eastAsia="zh-CN"/>
        </w:rPr>
        <w:t>1#</w:t>
      </w:r>
    </w:p>
    <w:p>
      <w:pPr>
        <w:pStyle w:val="33"/>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工艺流程</w:t>
      </w:r>
    </w:p>
    <w:p>
      <w:pPr>
        <w:pStyle w:val="33"/>
        <w:bidi w:val="0"/>
        <w:rPr>
          <w:rFonts w:hint="eastAsia"/>
          <w:color w:val="auto"/>
          <w:lang w:eastAsia="zh-CN"/>
        </w:rPr>
      </w:pPr>
      <w:r>
        <w:rPr>
          <w:rFonts w:hint="eastAsia"/>
          <w:color w:val="auto"/>
        </w:rPr>
        <w:t>①</w:t>
      </w:r>
      <w:r>
        <w:rPr>
          <w:rFonts w:hint="eastAsia"/>
          <w:color w:val="auto"/>
          <w:lang w:eastAsia="zh-CN"/>
        </w:rPr>
        <w:t>原料储存、转运</w:t>
      </w:r>
    </w:p>
    <w:p>
      <w:pPr>
        <w:pStyle w:val="33"/>
        <w:bidi w:val="0"/>
        <w:rPr>
          <w:rFonts w:hint="eastAsia"/>
          <w:color w:val="auto"/>
          <w:lang w:eastAsia="zh-CN"/>
        </w:rPr>
      </w:pPr>
      <w:r>
        <w:rPr>
          <w:rFonts w:hint="eastAsia"/>
          <w:color w:val="auto"/>
        </w:rPr>
        <w:t>甲基丙烯酸、丙烯酸、二叔丁基过氧化物（引发剂）</w:t>
      </w:r>
      <w:r>
        <w:rPr>
          <w:rFonts w:hint="eastAsia"/>
          <w:color w:val="auto"/>
          <w:lang w:eastAsia="zh-CN"/>
        </w:rPr>
        <w:t>等液体原料由</w:t>
      </w:r>
      <w:r>
        <w:rPr>
          <w:rFonts w:hint="eastAsia"/>
          <w:color w:val="auto"/>
          <w:lang w:val="en-US" w:eastAsia="zh-CN"/>
        </w:rPr>
        <w:t>200kg原料桶存放至原料库，氢氧化钠等固体原料由20kg/袋储存于原料库中</w:t>
      </w:r>
      <w:r>
        <w:rPr>
          <w:rFonts w:hint="eastAsia"/>
          <w:color w:val="auto"/>
        </w:rPr>
        <w:t>，</w:t>
      </w:r>
      <w:r>
        <w:rPr>
          <w:rFonts w:hint="eastAsia"/>
          <w:color w:val="auto"/>
          <w:lang w:eastAsia="zh-CN"/>
        </w:rPr>
        <w:t>原料均由人工转运至生产车间。各包装桶使用后立即将盖子扣好、拧紧。</w:t>
      </w:r>
    </w:p>
    <w:p>
      <w:pPr>
        <w:pStyle w:val="33"/>
        <w:bidi w:val="0"/>
        <w:rPr>
          <w:rFonts w:hint="eastAsia"/>
          <w:color w:val="auto"/>
          <w:lang w:eastAsia="zh-CN"/>
        </w:rPr>
      </w:pPr>
      <w:r>
        <w:rPr>
          <w:rFonts w:hint="eastAsia"/>
          <w:color w:val="auto"/>
        </w:rPr>
        <w:t>②</w:t>
      </w:r>
      <w:r>
        <w:rPr>
          <w:rFonts w:hint="eastAsia"/>
          <w:color w:val="auto"/>
          <w:lang w:eastAsia="zh-CN"/>
        </w:rPr>
        <w:t>聚合反应</w:t>
      </w:r>
    </w:p>
    <w:p>
      <w:pPr>
        <w:pStyle w:val="33"/>
        <w:bidi w:val="0"/>
        <w:rPr>
          <w:color w:val="auto"/>
        </w:rPr>
      </w:pPr>
      <w:r>
        <w:rPr>
          <w:rFonts w:hint="eastAsia"/>
          <w:color w:val="auto"/>
          <w:lang w:eastAsia="zh-CN"/>
        </w:rPr>
        <w:t>开启真空吸料系统，将</w:t>
      </w:r>
      <w:r>
        <w:rPr>
          <w:rFonts w:hint="eastAsia"/>
          <w:color w:val="auto"/>
        </w:rPr>
        <w:t>甲基丙烯酸、丙烯酸、二叔丁基过氧化物</w:t>
      </w:r>
      <w:r>
        <w:rPr>
          <w:rFonts w:hint="eastAsia"/>
          <w:color w:val="auto"/>
          <w:lang w:eastAsia="zh-CN"/>
        </w:rPr>
        <w:t>经管道通过原料桶直接进入聚合反应釜，</w:t>
      </w:r>
      <w:r>
        <w:rPr>
          <w:rFonts w:hint="eastAsia"/>
          <w:color w:val="auto"/>
        </w:rPr>
        <w:t>升温至45度，持续保温聚合反应3小时，反应方程式为：</w:t>
      </w:r>
    </w:p>
    <w:p>
      <w:pPr>
        <w:pStyle w:val="33"/>
        <w:bidi w:val="0"/>
        <w:rPr>
          <w:rFonts w:hint="eastAsia"/>
          <w:color w:val="auto"/>
          <w:lang w:eastAsia="zh-CN"/>
        </w:rPr>
      </w:pPr>
      <w:r>
        <w:rPr>
          <w:rFonts w:hint="eastAsia"/>
          <w:color w:val="auto"/>
        </w:rPr>
        <w:t>③</w:t>
      </w:r>
      <w:r>
        <w:rPr>
          <w:color w:val="auto"/>
        </w:rPr>
        <w:drawing>
          <wp:anchor distT="0" distB="0" distL="114300" distR="114300" simplePos="0" relativeHeight="251664384" behindDoc="0" locked="0" layoutInCell="1" allowOverlap="1">
            <wp:simplePos x="0" y="0"/>
            <wp:positionH relativeFrom="column">
              <wp:posOffset>1285875</wp:posOffset>
            </wp:positionH>
            <wp:positionV relativeFrom="paragraph">
              <wp:posOffset>62230</wp:posOffset>
            </wp:positionV>
            <wp:extent cx="3110865" cy="1364615"/>
            <wp:effectExtent l="0" t="0" r="13335" b="6985"/>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4"/>
                    <a:stretch>
                      <a:fillRect/>
                    </a:stretch>
                  </pic:blipFill>
                  <pic:spPr>
                    <a:xfrm>
                      <a:off x="0" y="0"/>
                      <a:ext cx="3110865" cy="1364615"/>
                    </a:xfrm>
                    <a:prstGeom prst="rect">
                      <a:avLst/>
                    </a:prstGeom>
                    <a:noFill/>
                    <a:ln>
                      <a:noFill/>
                    </a:ln>
                  </pic:spPr>
                </pic:pic>
              </a:graphicData>
            </a:graphic>
          </wp:anchor>
        </w:drawing>
      </w:r>
      <w:r>
        <w:rPr>
          <w:rFonts w:hint="eastAsia"/>
          <w:color w:val="auto"/>
          <w:lang w:eastAsia="zh-CN"/>
        </w:rPr>
        <w:t>减压精馏</w:t>
      </w:r>
    </w:p>
    <w:p>
      <w:pPr>
        <w:pStyle w:val="33"/>
        <w:bidi w:val="0"/>
        <w:rPr>
          <w:color w:val="auto"/>
        </w:rPr>
      </w:pPr>
      <w:r>
        <w:rPr>
          <w:rFonts w:hint="eastAsia"/>
          <w:color w:val="auto"/>
        </w:rPr>
        <w:t>反应完毕，</w:t>
      </w:r>
      <w:r>
        <w:rPr>
          <w:rFonts w:hint="eastAsia"/>
          <w:color w:val="auto"/>
          <w:lang w:eastAsia="zh-CN"/>
        </w:rPr>
        <w:t>物料经泵打入精馏釜，通过塔釜再沸器控制釜底温度</w:t>
      </w:r>
      <w:r>
        <w:rPr>
          <w:rFonts w:hint="eastAsia"/>
          <w:color w:val="auto"/>
          <w:lang w:val="en-US" w:eastAsia="zh-CN"/>
        </w:rPr>
        <w:t>145</w:t>
      </w:r>
      <w:r>
        <w:rPr>
          <w:rFonts w:hint="eastAsia"/>
          <w:color w:val="auto"/>
        </w:rPr>
        <w:t>℃</w:t>
      </w:r>
      <w:r>
        <w:rPr>
          <w:rFonts w:hint="eastAsia"/>
          <w:color w:val="auto"/>
          <w:lang w:eastAsia="zh-CN"/>
        </w:rPr>
        <w:t>，过量丙烯酸以气态形式蒸出，经塔顶冷凝器冷凝后循环至反应釜。精馏回流冷凝器</w:t>
      </w:r>
      <w:r>
        <w:rPr>
          <w:rFonts w:hint="eastAsia"/>
          <w:color w:val="auto"/>
        </w:rPr>
        <w:t>尾气通过集气管道送</w:t>
      </w:r>
      <w:r>
        <w:rPr>
          <w:rFonts w:hint="eastAsia"/>
          <w:color w:val="auto"/>
          <w:lang w:eastAsia="zh-CN"/>
        </w:rPr>
        <w:t>“冷凝</w:t>
      </w:r>
      <w:r>
        <w:rPr>
          <w:rFonts w:hint="eastAsia"/>
          <w:color w:val="auto"/>
          <w:lang w:val="en-US" w:eastAsia="zh-CN"/>
        </w:rPr>
        <w:t>+</w:t>
      </w:r>
      <w:r>
        <w:rPr>
          <w:rFonts w:hint="eastAsia"/>
          <w:color w:val="auto"/>
        </w:rPr>
        <w:t>UV光</w:t>
      </w:r>
      <w:r>
        <w:rPr>
          <w:rFonts w:hint="eastAsia"/>
          <w:color w:val="auto"/>
          <w:lang w:eastAsia="zh-CN"/>
        </w:rPr>
        <w:t>解</w:t>
      </w:r>
      <w:r>
        <w:rPr>
          <w:rFonts w:hint="eastAsia"/>
          <w:color w:val="auto"/>
        </w:rPr>
        <w:t>处理装置</w:t>
      </w:r>
      <w:r>
        <w:rPr>
          <w:rFonts w:hint="eastAsia"/>
          <w:color w:val="auto"/>
          <w:lang w:eastAsia="zh-CN"/>
        </w:rPr>
        <w:t>”</w:t>
      </w:r>
      <w:r>
        <w:rPr>
          <w:rFonts w:hint="eastAsia"/>
          <w:color w:val="auto"/>
        </w:rPr>
        <w:t>处理达标后15</w:t>
      </w:r>
      <w:r>
        <w:rPr>
          <w:rFonts w:hint="eastAsia"/>
          <w:color w:val="auto"/>
          <w:lang w:val="en-US" w:eastAsia="zh-CN"/>
        </w:rPr>
        <w:t>m</w:t>
      </w:r>
      <w:r>
        <w:rPr>
          <w:rFonts w:hint="eastAsia"/>
          <w:color w:val="auto"/>
        </w:rPr>
        <w:t>高排气筒排放。</w:t>
      </w:r>
    </w:p>
    <w:p>
      <w:pPr>
        <w:pStyle w:val="33"/>
        <w:bidi w:val="0"/>
        <w:rPr>
          <w:rFonts w:hint="eastAsia"/>
          <w:color w:val="auto"/>
          <w:lang w:eastAsia="zh-CN"/>
        </w:rPr>
      </w:pPr>
      <w:r>
        <w:rPr>
          <w:rFonts w:hint="eastAsia"/>
          <w:color w:val="auto"/>
        </w:rPr>
        <w:t>④</w:t>
      </w:r>
      <w:r>
        <w:rPr>
          <w:rFonts w:hint="eastAsia"/>
          <w:color w:val="auto"/>
          <w:lang w:eastAsia="zh-CN"/>
        </w:rPr>
        <w:t>中和反应</w:t>
      </w:r>
    </w:p>
    <w:p>
      <w:pPr>
        <w:pStyle w:val="33"/>
        <w:bidi w:val="0"/>
        <w:rPr>
          <w:color w:val="auto"/>
        </w:rPr>
      </w:pPr>
      <w:r>
        <w:rPr>
          <w:rFonts w:hint="eastAsia"/>
          <w:color w:val="auto"/>
          <w:lang w:eastAsia="zh-CN"/>
        </w:rPr>
        <w:t>最后配置</w:t>
      </w:r>
      <w:r>
        <w:rPr>
          <w:rFonts w:hint="eastAsia"/>
          <w:color w:val="auto"/>
          <w:lang w:val="en-US" w:eastAsia="zh-CN"/>
        </w:rPr>
        <w:t>30%氢氧化钠溶液。在化碱釜中，水经管道进入，氢氧化钠通过人工投入至化碱釜，配置的30%氢氧化钠溶液经泵打入高位槽，由高温槽定量滴加至</w:t>
      </w:r>
      <w:r>
        <w:rPr>
          <w:rFonts w:hint="eastAsia"/>
          <w:color w:val="auto"/>
        </w:rPr>
        <w:t>精馏</w:t>
      </w:r>
      <w:r>
        <w:rPr>
          <w:rFonts w:hint="eastAsia"/>
          <w:color w:val="auto"/>
          <w:lang w:eastAsia="zh-CN"/>
        </w:rPr>
        <w:t>釜中，至混合液</w:t>
      </w:r>
      <w:r>
        <w:rPr>
          <w:rFonts w:hint="eastAsia"/>
          <w:color w:val="auto"/>
          <w:lang w:val="en-US" w:eastAsia="zh-CN"/>
        </w:rPr>
        <w:t>PH值为8~9，反应结束，即得产品聚合物。</w:t>
      </w:r>
      <w:r>
        <w:rPr>
          <w:rFonts w:hint="eastAsia"/>
          <w:color w:val="auto"/>
          <w:lang w:eastAsia="zh-CN"/>
        </w:rPr>
        <w:t>产品直接由精馏釜顶部，人工分装至</w:t>
      </w:r>
      <w:r>
        <w:rPr>
          <w:rFonts w:hint="eastAsia"/>
          <w:color w:val="auto"/>
          <w:lang w:val="en-US" w:eastAsia="zh-CN"/>
        </w:rPr>
        <w:t>200kg塑料桶中，运至成品库待售</w:t>
      </w:r>
      <w:r>
        <w:rPr>
          <w:rFonts w:hint="eastAsia"/>
          <w:color w:val="auto"/>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aps w:val="0"/>
          <w:smallCaps w:val="0"/>
          <w:color w:val="auto"/>
          <w:sz w:val="24"/>
          <w:szCs w:val="24"/>
          <w:u w:val="single"/>
        </w:rPr>
      </w:pPr>
      <w:r>
        <w:rPr>
          <w:rFonts w:ascii="Times New Roman" w:hAnsi="Times New Roman"/>
          <w:caps w:val="0"/>
          <w:smallCaps w:val="0"/>
          <w:color w:val="auto"/>
          <w:sz w:val="24"/>
          <w:szCs w:val="24"/>
          <w:u w:val="none"/>
        </w:rPr>
        <w:object>
          <v:shape id="_x0000_i1031" o:spt="75" type="#_x0000_t75" style="height:312pt;width:352.5pt;" o:ole="t" filled="f" o:preferrelative="t" stroked="f" coordsize="21600,21600">
            <v:path/>
            <v:fill on="f" focussize="0,0"/>
            <v:stroke on="f"/>
            <v:imagedata r:id="rId36" o:title=""/>
            <o:lock v:ext="edit" aspectratio="f"/>
            <w10:wrap type="none"/>
            <w10:anchorlock/>
          </v:shape>
          <o:OLEObject Type="Embed" ProgID="Visio.Drawing.11" ShapeID="_x0000_i1031" DrawAspect="Content" ObjectID="_1468075731" r:id="rId35">
            <o:LockedField>false</o:LockedField>
          </o:OLEObject>
        </w:object>
      </w:r>
    </w:p>
    <w:p>
      <w:pPr>
        <w:pStyle w:val="36"/>
        <w:bidi w:val="0"/>
        <w:rPr>
          <w:color w:val="auto"/>
        </w:rPr>
      </w:pPr>
      <w:r>
        <w:rPr>
          <w:rFonts w:hint="eastAsia"/>
          <w:color w:val="auto"/>
        </w:rPr>
        <w:t>图</w:t>
      </w:r>
      <w:r>
        <w:rPr>
          <w:rFonts w:hint="eastAsia"/>
          <w:color w:val="auto"/>
          <w:lang w:val="en-US" w:eastAsia="zh-CN"/>
        </w:rPr>
        <w:t>3.2-9</w:t>
      </w:r>
      <w:r>
        <w:rPr>
          <w:rFonts w:hint="eastAsia"/>
          <w:color w:val="auto"/>
        </w:rPr>
        <w:t xml:space="preserve">  </w:t>
      </w:r>
      <w:r>
        <w:rPr>
          <w:rFonts w:hint="eastAsia"/>
          <w:color w:val="auto"/>
          <w:lang w:val="en-US" w:eastAsia="zh-CN"/>
        </w:rPr>
        <w:t>1#</w:t>
      </w:r>
      <w:r>
        <w:rPr>
          <w:rFonts w:hint="eastAsia"/>
          <w:color w:val="auto"/>
        </w:rPr>
        <w:t>丙烯酸酯分散助剂工艺流程及产污环节图</w:t>
      </w:r>
    </w:p>
    <w:p>
      <w:pPr>
        <w:pStyle w:val="33"/>
        <w:bidi w:val="0"/>
        <w:rPr>
          <w:rFonts w:hint="eastAsia"/>
          <w:color w:val="auto"/>
          <w:lang w:eastAsia="zh-CN"/>
        </w:rPr>
      </w:pPr>
      <w:r>
        <w:rPr>
          <w:rFonts w:hint="eastAsia"/>
          <w:color w:val="auto"/>
        </w:rPr>
        <w:t>（2）产污</w:t>
      </w:r>
      <w:r>
        <w:rPr>
          <w:rFonts w:hint="eastAsia"/>
          <w:color w:val="auto"/>
          <w:lang w:eastAsia="zh-CN"/>
        </w:rPr>
        <w:t>环节分析</w:t>
      </w:r>
    </w:p>
    <w:p>
      <w:pPr>
        <w:pStyle w:val="33"/>
        <w:bidi w:val="0"/>
        <w:rPr>
          <w:rFonts w:hint="eastAsia"/>
          <w:color w:val="auto"/>
          <w:lang w:eastAsia="zh-CN"/>
        </w:rPr>
      </w:pPr>
      <w:r>
        <w:rPr>
          <w:rFonts w:hint="default"/>
          <w:color w:val="auto"/>
          <w:lang w:eastAsia="zh-CN"/>
        </w:rPr>
        <w:t>①</w:t>
      </w:r>
      <w:r>
        <w:rPr>
          <w:rFonts w:hint="eastAsia"/>
          <w:color w:val="auto"/>
          <w:lang w:eastAsia="zh-CN"/>
        </w:rPr>
        <w:t>废气</w:t>
      </w:r>
    </w:p>
    <w:p>
      <w:pPr>
        <w:pStyle w:val="33"/>
        <w:bidi w:val="0"/>
        <w:rPr>
          <w:rFonts w:hint="eastAsia"/>
          <w:color w:val="auto"/>
        </w:rPr>
      </w:pPr>
      <w:r>
        <w:rPr>
          <w:rFonts w:hint="eastAsia"/>
          <w:color w:val="auto"/>
          <w:lang w:eastAsia="zh-CN"/>
        </w:rPr>
        <w:t>生产过程中，废气产生环节主要有：进料真空系统尾气</w:t>
      </w:r>
      <w:r>
        <w:rPr>
          <w:rFonts w:hint="default"/>
          <w:color w:val="auto"/>
          <w:lang w:val="zh-CN"/>
        </w:rPr>
        <w:t>G</w:t>
      </w:r>
      <w:r>
        <w:rPr>
          <w:rFonts w:hint="eastAsia"/>
          <w:color w:val="auto"/>
          <w:vertAlign w:val="subscript"/>
          <w:lang w:val="en-US" w:eastAsia="zh-CN"/>
        </w:rPr>
        <w:t>6</w:t>
      </w:r>
      <w:r>
        <w:rPr>
          <w:rFonts w:hint="default"/>
          <w:color w:val="auto"/>
          <w:vertAlign w:val="subscript"/>
          <w:lang w:val="zh-CN"/>
        </w:rPr>
        <w:t>-1</w:t>
      </w:r>
      <w:r>
        <w:rPr>
          <w:rFonts w:hint="eastAsia"/>
          <w:color w:val="auto"/>
          <w:lang w:eastAsia="zh-CN"/>
        </w:rPr>
        <w:t>、反应回流冷凝器尾气</w:t>
      </w:r>
      <w:r>
        <w:rPr>
          <w:rFonts w:hint="default"/>
          <w:color w:val="auto"/>
          <w:lang w:val="zh-CN"/>
        </w:rPr>
        <w:t>G</w:t>
      </w:r>
      <w:r>
        <w:rPr>
          <w:rFonts w:hint="eastAsia"/>
          <w:color w:val="auto"/>
          <w:vertAlign w:val="subscript"/>
          <w:lang w:val="en-US" w:eastAsia="zh-CN"/>
        </w:rPr>
        <w:t>6</w:t>
      </w:r>
      <w:r>
        <w:rPr>
          <w:rFonts w:hint="default"/>
          <w:color w:val="auto"/>
          <w:vertAlign w:val="subscript"/>
          <w:lang w:val="zh-CN"/>
        </w:rPr>
        <w:t>-</w:t>
      </w:r>
      <w:r>
        <w:rPr>
          <w:rFonts w:hint="eastAsia"/>
          <w:color w:val="auto"/>
          <w:vertAlign w:val="subscript"/>
          <w:lang w:val="en-US" w:eastAsia="zh-CN"/>
        </w:rPr>
        <w:t>2</w:t>
      </w:r>
      <w:r>
        <w:rPr>
          <w:rFonts w:hint="eastAsia"/>
          <w:color w:val="auto"/>
          <w:lang w:eastAsia="zh-CN"/>
        </w:rPr>
        <w:t>。均</w:t>
      </w:r>
      <w:r>
        <w:rPr>
          <w:rFonts w:hint="eastAsia"/>
          <w:color w:val="auto"/>
        </w:rPr>
        <w:t>进</w:t>
      </w:r>
      <w:r>
        <w:rPr>
          <w:rFonts w:hint="eastAsia"/>
          <w:color w:val="auto"/>
          <w:lang w:eastAsia="zh-CN"/>
        </w:rPr>
        <w:t>“冷凝</w:t>
      </w:r>
      <w:r>
        <w:rPr>
          <w:rFonts w:hint="eastAsia"/>
          <w:color w:val="auto"/>
          <w:lang w:val="en-US" w:eastAsia="zh-CN"/>
        </w:rPr>
        <w:t>+UV光解</w:t>
      </w:r>
      <w:r>
        <w:rPr>
          <w:rFonts w:hint="eastAsia"/>
          <w:color w:val="auto"/>
        </w:rPr>
        <w:t>装置</w:t>
      </w:r>
      <w:r>
        <w:rPr>
          <w:rFonts w:hint="eastAsia"/>
          <w:color w:val="auto"/>
          <w:lang w:eastAsia="zh-CN"/>
        </w:rPr>
        <w:t>”</w:t>
      </w:r>
      <w:r>
        <w:rPr>
          <w:rFonts w:hint="eastAsia"/>
          <w:color w:val="auto"/>
        </w:rPr>
        <w:t>处理后经</w:t>
      </w:r>
      <w:r>
        <w:rPr>
          <w:rFonts w:hint="eastAsia"/>
          <w:color w:val="auto"/>
          <w:lang w:val="en-US" w:eastAsia="zh-CN"/>
        </w:rPr>
        <w:t>15</w:t>
      </w:r>
      <w:r>
        <w:rPr>
          <w:rFonts w:hint="eastAsia"/>
          <w:color w:val="auto"/>
        </w:rPr>
        <w:t>米高排气筒排放。</w:t>
      </w:r>
    </w:p>
    <w:p>
      <w:pPr>
        <w:pStyle w:val="33"/>
        <w:bidi w:val="0"/>
        <w:rPr>
          <w:rFonts w:hint="eastAsia"/>
          <w:color w:val="auto"/>
          <w:lang w:eastAsia="zh-CN"/>
        </w:rPr>
      </w:pPr>
      <w:r>
        <w:rPr>
          <w:rFonts w:hint="default"/>
          <w:color w:val="auto"/>
          <w:lang w:eastAsia="zh-CN"/>
        </w:rPr>
        <w:t>②</w:t>
      </w:r>
      <w:r>
        <w:rPr>
          <w:rFonts w:hint="eastAsia"/>
          <w:color w:val="auto"/>
          <w:lang w:eastAsia="zh-CN"/>
        </w:rPr>
        <w:t>废水</w:t>
      </w:r>
    </w:p>
    <w:p>
      <w:pPr>
        <w:pStyle w:val="33"/>
        <w:bidi w:val="0"/>
        <w:rPr>
          <w:rFonts w:hint="eastAsia"/>
          <w:color w:val="auto"/>
          <w:lang w:eastAsia="zh-CN"/>
        </w:rPr>
      </w:pPr>
      <w:r>
        <w:rPr>
          <w:rFonts w:hint="eastAsia"/>
          <w:color w:val="auto"/>
          <w:lang w:eastAsia="zh-CN"/>
        </w:rPr>
        <w:t>生产过程中，废水主要为真空吸料系统水环真空排水，设备及地面清洗等杂用水，排入厂区内新建污水处理站处理。</w:t>
      </w:r>
    </w:p>
    <w:p>
      <w:pPr>
        <w:pStyle w:val="33"/>
        <w:bidi w:val="0"/>
        <w:rPr>
          <w:rFonts w:hint="eastAsia"/>
          <w:color w:val="auto"/>
          <w:lang w:eastAsia="zh-CN"/>
        </w:rPr>
      </w:pPr>
      <w:r>
        <w:rPr>
          <w:rFonts w:hint="default"/>
          <w:color w:val="auto"/>
          <w:lang w:eastAsia="zh-CN"/>
        </w:rPr>
        <w:t>③</w:t>
      </w:r>
      <w:r>
        <w:rPr>
          <w:rFonts w:hint="eastAsia"/>
          <w:color w:val="auto"/>
          <w:lang w:eastAsia="zh-CN"/>
        </w:rPr>
        <w:t>固体废物</w:t>
      </w:r>
    </w:p>
    <w:p>
      <w:pPr>
        <w:pStyle w:val="33"/>
        <w:bidi w:val="0"/>
        <w:rPr>
          <w:rFonts w:hint="eastAsia"/>
          <w:color w:val="auto"/>
          <w:lang w:eastAsia="zh-CN"/>
        </w:rPr>
      </w:pPr>
      <w:r>
        <w:rPr>
          <w:rFonts w:hint="eastAsia"/>
          <w:color w:val="auto"/>
          <w:lang w:eastAsia="zh-CN"/>
        </w:rPr>
        <w:t>生产过程中，固体废物主要为空原料桶，空原料桶收集、堆存于原料仓库分出空桶区，定期由原料供应商回收重复利用，厂区内不设洗桶工序。</w:t>
      </w:r>
    </w:p>
    <w:p>
      <w:pPr>
        <w:pStyle w:val="33"/>
        <w:bidi w:val="0"/>
        <w:rPr>
          <w:rFonts w:hint="eastAsia"/>
          <w:color w:val="auto"/>
          <w:lang w:eastAsia="zh-CN"/>
        </w:rPr>
      </w:pPr>
      <w:r>
        <w:rPr>
          <w:rFonts w:hint="eastAsia"/>
          <w:color w:val="auto"/>
          <w:lang w:eastAsia="zh-CN"/>
        </w:rPr>
        <w:t>④噪声</w:t>
      </w:r>
    </w:p>
    <w:p>
      <w:pPr>
        <w:pStyle w:val="33"/>
        <w:bidi w:val="0"/>
        <w:rPr>
          <w:rFonts w:hint="eastAsia"/>
          <w:color w:val="auto"/>
          <w:lang w:eastAsia="zh-CN"/>
        </w:rPr>
      </w:pPr>
      <w:r>
        <w:rPr>
          <w:rFonts w:hint="eastAsia"/>
          <w:color w:val="auto"/>
          <w:lang w:eastAsia="zh-CN"/>
        </w:rPr>
        <w:t>固化剂生产线没有大型设备，各反应釜搅拌机、物料输送泵的功率均较小，噪声源强一般为</w:t>
      </w:r>
      <w:r>
        <w:rPr>
          <w:rFonts w:hint="eastAsia"/>
          <w:color w:val="auto"/>
          <w:lang w:val="en-US" w:eastAsia="zh-CN"/>
        </w:rPr>
        <w:t>75~85dB(A)。</w:t>
      </w:r>
    </w:p>
    <w:p>
      <w:pPr>
        <w:pStyle w:val="36"/>
        <w:bidi w:val="0"/>
        <w:rPr>
          <w:color w:val="auto"/>
        </w:rPr>
      </w:pPr>
      <w:r>
        <w:rPr>
          <w:color w:val="auto"/>
        </w:rPr>
        <w:t>表</w:t>
      </w:r>
      <w:r>
        <w:rPr>
          <w:rFonts w:hint="eastAsia"/>
          <w:color w:val="auto"/>
          <w:lang w:val="en-US" w:eastAsia="zh-CN"/>
        </w:rPr>
        <w:t>3.2-8</w:t>
      </w:r>
      <w:r>
        <w:rPr>
          <w:color w:val="auto"/>
        </w:rPr>
        <w:t xml:space="preserve">  </w:t>
      </w:r>
      <w:r>
        <w:rPr>
          <w:rFonts w:hint="eastAsia"/>
          <w:color w:val="auto"/>
          <w:lang w:val="en-US" w:eastAsia="zh-CN"/>
        </w:rPr>
        <w:t>1#</w:t>
      </w:r>
      <w:r>
        <w:rPr>
          <w:rFonts w:hint="eastAsia"/>
          <w:color w:val="auto"/>
        </w:rPr>
        <w:t>丙烯酸分散助剂</w:t>
      </w:r>
      <w:r>
        <w:rPr>
          <w:color w:val="auto"/>
        </w:rPr>
        <w:t>产污环节一览表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26"/>
        <w:gridCol w:w="2458"/>
        <w:gridCol w:w="1461"/>
        <w:gridCol w:w="1309"/>
        <w:gridCol w:w="31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7" w:hRule="atLeast"/>
        </w:trPr>
        <w:tc>
          <w:tcPr>
            <w:tcW w:w="592" w:type="pct"/>
            <w:tcBorders>
              <w:tl2br w:val="nil"/>
              <w:tr2bl w:val="nil"/>
            </w:tcBorders>
            <w:noWrap w:val="0"/>
            <w:vAlign w:val="center"/>
          </w:tcPr>
          <w:p>
            <w:pPr>
              <w:pStyle w:val="35"/>
              <w:bidi w:val="0"/>
              <w:rPr>
                <w:b/>
                <w:bCs/>
                <w:color w:val="auto"/>
              </w:rPr>
            </w:pPr>
            <w:r>
              <w:rPr>
                <w:rFonts w:hint="eastAsia"/>
                <w:b/>
                <w:bCs/>
                <w:color w:val="auto"/>
              </w:rPr>
              <w:t>污染类型</w:t>
            </w:r>
          </w:p>
        </w:tc>
        <w:tc>
          <w:tcPr>
            <w:tcW w:w="1292" w:type="pct"/>
            <w:tcBorders>
              <w:tl2br w:val="nil"/>
              <w:tr2bl w:val="nil"/>
            </w:tcBorders>
            <w:noWrap w:val="0"/>
            <w:vAlign w:val="center"/>
          </w:tcPr>
          <w:p>
            <w:pPr>
              <w:pStyle w:val="35"/>
              <w:bidi w:val="0"/>
              <w:rPr>
                <w:b/>
                <w:bCs/>
                <w:color w:val="auto"/>
              </w:rPr>
            </w:pPr>
            <w:r>
              <w:rPr>
                <w:rFonts w:hint="eastAsia"/>
                <w:b/>
                <w:bCs/>
                <w:color w:val="auto"/>
              </w:rPr>
              <w:t>产物环节</w:t>
            </w:r>
          </w:p>
        </w:tc>
        <w:tc>
          <w:tcPr>
            <w:tcW w:w="768" w:type="pct"/>
            <w:tcBorders>
              <w:tl2br w:val="nil"/>
              <w:tr2bl w:val="nil"/>
            </w:tcBorders>
            <w:noWrap w:val="0"/>
            <w:vAlign w:val="center"/>
          </w:tcPr>
          <w:p>
            <w:pPr>
              <w:pStyle w:val="35"/>
              <w:bidi w:val="0"/>
              <w:rPr>
                <w:b/>
                <w:bCs/>
                <w:color w:val="auto"/>
              </w:rPr>
            </w:pPr>
            <w:r>
              <w:rPr>
                <w:rFonts w:hint="eastAsia"/>
                <w:b/>
                <w:bCs/>
                <w:color w:val="auto"/>
              </w:rPr>
              <w:t>产生污染物</w:t>
            </w:r>
          </w:p>
        </w:tc>
        <w:tc>
          <w:tcPr>
            <w:tcW w:w="688" w:type="pct"/>
            <w:tcBorders>
              <w:tl2br w:val="nil"/>
              <w:tr2bl w:val="nil"/>
            </w:tcBorders>
            <w:noWrap w:val="0"/>
            <w:vAlign w:val="center"/>
          </w:tcPr>
          <w:p>
            <w:pPr>
              <w:pStyle w:val="35"/>
              <w:bidi w:val="0"/>
              <w:rPr>
                <w:b/>
                <w:bCs/>
                <w:color w:val="auto"/>
              </w:rPr>
            </w:pPr>
            <w:r>
              <w:rPr>
                <w:rFonts w:hint="eastAsia"/>
                <w:b/>
                <w:bCs/>
                <w:color w:val="auto"/>
              </w:rPr>
              <w:t>产生特点</w:t>
            </w:r>
          </w:p>
        </w:tc>
        <w:tc>
          <w:tcPr>
            <w:tcW w:w="1658" w:type="pct"/>
            <w:tcBorders>
              <w:tl2br w:val="nil"/>
              <w:tr2bl w:val="nil"/>
            </w:tcBorders>
            <w:noWrap w:val="0"/>
            <w:vAlign w:val="center"/>
          </w:tcPr>
          <w:p>
            <w:pPr>
              <w:pStyle w:val="35"/>
              <w:bidi w:val="0"/>
              <w:rPr>
                <w:b/>
                <w:bCs/>
                <w:color w:val="auto"/>
              </w:rPr>
            </w:pPr>
            <w:r>
              <w:rPr>
                <w:rFonts w:hint="eastAsia"/>
                <w:b/>
                <w:bCs/>
                <w:color w:val="auto"/>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5" w:hRule="atLeast"/>
        </w:trPr>
        <w:tc>
          <w:tcPr>
            <w:tcW w:w="592" w:type="pct"/>
            <w:tcBorders>
              <w:tl2br w:val="nil"/>
              <w:tr2bl w:val="nil"/>
            </w:tcBorders>
            <w:noWrap w:val="0"/>
            <w:vAlign w:val="center"/>
          </w:tcPr>
          <w:p>
            <w:pPr>
              <w:pStyle w:val="35"/>
              <w:bidi w:val="0"/>
              <w:rPr>
                <w:color w:val="auto"/>
              </w:rPr>
            </w:pPr>
            <w:r>
              <w:rPr>
                <w:rFonts w:hint="default"/>
                <w:color w:val="auto"/>
                <w:lang w:val="zh-CN"/>
              </w:rPr>
              <w:t>G</w:t>
            </w:r>
            <w:r>
              <w:rPr>
                <w:rFonts w:hint="eastAsia"/>
                <w:color w:val="auto"/>
                <w:lang w:val="en-US" w:eastAsia="zh-CN"/>
              </w:rPr>
              <w:t>6</w:t>
            </w:r>
            <w:r>
              <w:rPr>
                <w:rFonts w:hint="default"/>
                <w:color w:val="auto"/>
                <w:lang w:val="zh-CN"/>
              </w:rPr>
              <w:t>-1</w:t>
            </w:r>
            <w:r>
              <w:rPr>
                <w:rFonts w:hint="eastAsia"/>
                <w:color w:val="auto"/>
              </w:rPr>
              <w:t>废气</w:t>
            </w:r>
          </w:p>
        </w:tc>
        <w:tc>
          <w:tcPr>
            <w:tcW w:w="1292" w:type="pct"/>
            <w:tcBorders>
              <w:tl2br w:val="nil"/>
              <w:tr2bl w:val="nil"/>
            </w:tcBorders>
            <w:noWrap w:val="0"/>
            <w:vAlign w:val="center"/>
          </w:tcPr>
          <w:p>
            <w:pPr>
              <w:pStyle w:val="35"/>
              <w:bidi w:val="0"/>
              <w:rPr>
                <w:color w:val="auto"/>
              </w:rPr>
            </w:pPr>
            <w:r>
              <w:rPr>
                <w:color w:val="auto"/>
              </w:rPr>
              <w:t>反应釜及</w:t>
            </w:r>
            <w:r>
              <w:rPr>
                <w:rFonts w:hint="eastAsia"/>
                <w:color w:val="auto"/>
                <w:lang w:eastAsia="zh-CN"/>
              </w:rPr>
              <w:t>回流</w:t>
            </w:r>
            <w:r>
              <w:rPr>
                <w:color w:val="auto"/>
              </w:rPr>
              <w:t>冷凝器排气口</w:t>
            </w:r>
            <w:r>
              <w:rPr>
                <w:rFonts w:hint="eastAsia"/>
                <w:color w:val="auto"/>
                <w:lang w:eastAsia="zh-CN"/>
              </w:rPr>
              <w:t>、真空泵尾气</w:t>
            </w:r>
          </w:p>
        </w:tc>
        <w:tc>
          <w:tcPr>
            <w:tcW w:w="768"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丙烯酸、非甲烷总烃</w:t>
            </w:r>
          </w:p>
        </w:tc>
        <w:tc>
          <w:tcPr>
            <w:tcW w:w="688" w:type="pct"/>
            <w:tcBorders>
              <w:tl2br w:val="nil"/>
              <w:tr2bl w:val="nil"/>
            </w:tcBorders>
            <w:noWrap w:val="0"/>
            <w:vAlign w:val="center"/>
          </w:tcPr>
          <w:p>
            <w:pPr>
              <w:pStyle w:val="35"/>
              <w:bidi w:val="0"/>
              <w:rPr>
                <w:color w:val="auto"/>
              </w:rPr>
            </w:pPr>
            <w:r>
              <w:rPr>
                <w:rFonts w:hint="eastAsia"/>
                <w:color w:val="auto"/>
              </w:rPr>
              <w:t>间歇</w:t>
            </w:r>
          </w:p>
        </w:tc>
        <w:tc>
          <w:tcPr>
            <w:tcW w:w="1658" w:type="pct"/>
            <w:vMerge w:val="restart"/>
            <w:tcBorders>
              <w:tl2br w:val="nil"/>
              <w:tr2bl w:val="nil"/>
            </w:tcBorders>
            <w:noWrap w:val="0"/>
            <w:vAlign w:val="center"/>
          </w:tcPr>
          <w:p>
            <w:pPr>
              <w:pStyle w:val="35"/>
              <w:bidi w:val="0"/>
              <w:rPr>
                <w:color w:val="auto"/>
              </w:rPr>
            </w:pPr>
            <w:r>
              <w:rPr>
                <w:rFonts w:hint="eastAsia"/>
                <w:color w:val="auto"/>
                <w:lang w:eastAsia="zh-CN"/>
              </w:rPr>
              <w:t>冷凝</w:t>
            </w:r>
            <w:r>
              <w:rPr>
                <w:rFonts w:hint="eastAsia"/>
                <w:color w:val="auto"/>
                <w:lang w:val="en-US" w:eastAsia="zh-CN"/>
              </w:rPr>
              <w:t>+</w:t>
            </w:r>
            <w:r>
              <w:rPr>
                <w:rFonts w:hint="eastAsia"/>
                <w:color w:val="auto"/>
              </w:rPr>
              <w:t>UV光解+15高排气筒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5" w:hRule="atLeast"/>
        </w:trPr>
        <w:tc>
          <w:tcPr>
            <w:tcW w:w="592" w:type="pct"/>
            <w:tcBorders>
              <w:tl2br w:val="nil"/>
              <w:tr2bl w:val="nil"/>
            </w:tcBorders>
            <w:noWrap w:val="0"/>
            <w:vAlign w:val="center"/>
          </w:tcPr>
          <w:p>
            <w:pPr>
              <w:pStyle w:val="35"/>
              <w:bidi w:val="0"/>
              <w:rPr>
                <w:rFonts w:hint="default"/>
                <w:color w:val="auto"/>
                <w:lang w:val="zh-CN"/>
              </w:rPr>
            </w:pPr>
            <w:r>
              <w:rPr>
                <w:rFonts w:hint="default"/>
                <w:color w:val="auto"/>
                <w:lang w:val="zh-CN"/>
              </w:rPr>
              <w:t>G</w:t>
            </w:r>
            <w:r>
              <w:rPr>
                <w:rFonts w:hint="eastAsia"/>
                <w:color w:val="auto"/>
                <w:lang w:val="en-US" w:eastAsia="zh-CN"/>
              </w:rPr>
              <w:t>6</w:t>
            </w:r>
            <w:r>
              <w:rPr>
                <w:rFonts w:hint="default"/>
                <w:color w:val="auto"/>
                <w:lang w:val="zh-CN"/>
              </w:rPr>
              <w:t>-</w:t>
            </w:r>
            <w:r>
              <w:rPr>
                <w:rFonts w:hint="eastAsia"/>
                <w:color w:val="auto"/>
                <w:lang w:val="en-US" w:eastAsia="zh-CN"/>
              </w:rPr>
              <w:t>2</w:t>
            </w:r>
            <w:r>
              <w:rPr>
                <w:rFonts w:hint="eastAsia"/>
                <w:color w:val="auto"/>
              </w:rPr>
              <w:t>废气</w:t>
            </w:r>
          </w:p>
        </w:tc>
        <w:tc>
          <w:tcPr>
            <w:tcW w:w="1292" w:type="pct"/>
            <w:tcBorders>
              <w:tl2br w:val="nil"/>
              <w:tr2bl w:val="nil"/>
            </w:tcBorders>
            <w:noWrap w:val="0"/>
            <w:vAlign w:val="center"/>
          </w:tcPr>
          <w:p>
            <w:pPr>
              <w:pStyle w:val="35"/>
              <w:bidi w:val="0"/>
              <w:rPr>
                <w:color w:val="auto"/>
              </w:rPr>
            </w:pPr>
            <w:r>
              <w:rPr>
                <w:rFonts w:hint="eastAsia"/>
                <w:color w:val="auto"/>
                <w:lang w:eastAsia="zh-CN"/>
              </w:rPr>
              <w:t>精馏</w:t>
            </w:r>
            <w:r>
              <w:rPr>
                <w:color w:val="auto"/>
              </w:rPr>
              <w:t>釜及冷凝器排气口</w:t>
            </w:r>
            <w:r>
              <w:rPr>
                <w:rFonts w:hint="eastAsia"/>
                <w:color w:val="auto"/>
                <w:lang w:eastAsia="zh-CN"/>
              </w:rPr>
              <w:t>、真空泵尾气</w:t>
            </w:r>
          </w:p>
        </w:tc>
        <w:tc>
          <w:tcPr>
            <w:tcW w:w="768"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丙烯酸、非甲烷总烃</w:t>
            </w:r>
          </w:p>
        </w:tc>
        <w:tc>
          <w:tcPr>
            <w:tcW w:w="688" w:type="pct"/>
            <w:tcBorders>
              <w:tl2br w:val="nil"/>
              <w:tr2bl w:val="nil"/>
            </w:tcBorders>
            <w:noWrap w:val="0"/>
            <w:vAlign w:val="center"/>
          </w:tcPr>
          <w:p>
            <w:pPr>
              <w:pStyle w:val="35"/>
              <w:bidi w:val="0"/>
              <w:rPr>
                <w:rFonts w:hint="eastAsia"/>
                <w:color w:val="auto"/>
              </w:rPr>
            </w:pPr>
            <w:r>
              <w:rPr>
                <w:rFonts w:hint="eastAsia"/>
                <w:color w:val="auto"/>
              </w:rPr>
              <w:t>间歇</w:t>
            </w:r>
          </w:p>
        </w:tc>
        <w:tc>
          <w:tcPr>
            <w:tcW w:w="1658" w:type="pct"/>
            <w:vMerge w:val="continue"/>
            <w:tcBorders>
              <w:tl2br w:val="nil"/>
              <w:tr2bl w:val="nil"/>
            </w:tcBorders>
            <w:noWrap w:val="0"/>
            <w:vAlign w:val="center"/>
          </w:tcPr>
          <w:p>
            <w:pPr>
              <w:pStyle w:val="35"/>
              <w:bidi w:val="0"/>
              <w:rPr>
                <w:rFonts w:hint="eastAsia"/>
                <w:color w:val="auto"/>
                <w:lang w:eastAsia="zh-CN"/>
              </w:rPr>
            </w:pPr>
          </w:p>
        </w:tc>
      </w:tr>
    </w:tbl>
    <w:p>
      <w:pPr>
        <w:pStyle w:val="33"/>
        <w:bidi w:val="0"/>
        <w:rPr>
          <w:b/>
          <w:bCs/>
          <w:color w:val="auto"/>
        </w:rPr>
      </w:pPr>
      <w:r>
        <w:rPr>
          <w:rFonts w:hint="eastAsia"/>
          <w:b/>
          <w:bCs/>
          <w:color w:val="auto"/>
          <w:lang w:val="en-US" w:eastAsia="zh-CN"/>
        </w:rPr>
        <w:t>2、</w:t>
      </w:r>
      <w:r>
        <w:rPr>
          <w:rFonts w:hint="eastAsia"/>
          <w:b/>
          <w:bCs/>
          <w:color w:val="auto"/>
        </w:rPr>
        <w:t>丙烯酸酯分散剂2</w:t>
      </w:r>
      <w:r>
        <w:rPr>
          <w:rFonts w:hint="eastAsia"/>
          <w:b/>
          <w:bCs/>
          <w:color w:val="auto"/>
          <w:lang w:val="en-US" w:eastAsia="zh-CN"/>
        </w:rPr>
        <w:t>#</w:t>
      </w:r>
    </w:p>
    <w:p>
      <w:pPr>
        <w:pStyle w:val="33"/>
        <w:bidi w:val="0"/>
        <w:rPr>
          <w:color w:val="auto"/>
        </w:rPr>
      </w:pPr>
      <w:r>
        <w:rPr>
          <w:rFonts w:hint="eastAsia"/>
          <w:color w:val="auto"/>
        </w:rPr>
        <w:t>（1）工艺流程</w:t>
      </w:r>
    </w:p>
    <w:p>
      <w:pPr>
        <w:pStyle w:val="33"/>
        <w:bidi w:val="0"/>
        <w:rPr>
          <w:color w:val="auto"/>
        </w:rPr>
      </w:pPr>
      <w:r>
        <w:rPr>
          <w:rFonts w:hint="eastAsia"/>
          <w:color w:val="auto"/>
        </w:rPr>
        <w:t>首先往反应釜中投入甲基丙烯酸甲酯、丙烯酸、二甲苯，升温至140度聚合反应3小时，加入二甲苯溶液进行稀释，冷却至室温降温出料装桶。废气主要为反应釜产生不凝气，主要成分为</w:t>
      </w:r>
      <w:r>
        <w:rPr>
          <w:rFonts w:hint="eastAsia"/>
          <w:color w:val="auto"/>
          <w:lang w:eastAsia="zh-CN"/>
        </w:rPr>
        <w:t>非甲烷总烃</w:t>
      </w:r>
      <w:r>
        <w:rPr>
          <w:rFonts w:hint="eastAsia"/>
          <w:color w:val="auto"/>
        </w:rPr>
        <w:t>，通过集气管道送</w:t>
      </w:r>
      <w:r>
        <w:rPr>
          <w:rFonts w:hint="eastAsia"/>
          <w:color w:val="auto"/>
          <w:lang w:eastAsia="zh-CN"/>
        </w:rPr>
        <w:t>“冷凝</w:t>
      </w:r>
      <w:r>
        <w:rPr>
          <w:rFonts w:hint="eastAsia"/>
          <w:color w:val="auto"/>
          <w:lang w:val="en-US" w:eastAsia="zh-CN"/>
        </w:rPr>
        <w:t>+</w:t>
      </w:r>
      <w:r>
        <w:rPr>
          <w:rFonts w:hint="eastAsia"/>
          <w:color w:val="auto"/>
        </w:rPr>
        <w:t>UV光</w:t>
      </w:r>
      <w:r>
        <w:rPr>
          <w:rFonts w:hint="eastAsia"/>
          <w:color w:val="auto"/>
          <w:lang w:eastAsia="zh-CN"/>
        </w:rPr>
        <w:t>解</w:t>
      </w:r>
      <w:r>
        <w:rPr>
          <w:rFonts w:hint="eastAsia"/>
          <w:color w:val="auto"/>
        </w:rPr>
        <w:t>处理装置</w:t>
      </w:r>
      <w:r>
        <w:rPr>
          <w:rFonts w:hint="eastAsia"/>
          <w:color w:val="auto"/>
          <w:lang w:eastAsia="zh-CN"/>
        </w:rPr>
        <w:t>”</w:t>
      </w:r>
      <w:r>
        <w:rPr>
          <w:rFonts w:hint="eastAsia"/>
          <w:color w:val="auto"/>
        </w:rPr>
        <w:t>处理达标后经15高排气筒排放。</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Times New Roman" w:hAnsi="Times New Roman"/>
          <w:caps w:val="0"/>
          <w:smallCaps w:val="0"/>
          <w:color w:val="auto"/>
          <w:sz w:val="24"/>
          <w:szCs w:val="24"/>
        </w:rPr>
      </w:pPr>
      <w:r>
        <w:rPr>
          <w:rFonts w:ascii="Times New Roman" w:hAnsi="Times New Roman"/>
          <w:caps w:val="0"/>
          <w:smallCaps w:val="0"/>
          <w:color w:val="auto"/>
          <w:sz w:val="24"/>
          <w:szCs w:val="24"/>
        </w:rPr>
        <mc:AlternateContent>
          <mc:Choice Requires="wpc">
            <w:drawing>
              <wp:inline distT="0" distB="0" distL="114300" distR="114300">
                <wp:extent cx="5604510" cy="4097655"/>
                <wp:effectExtent l="0" t="0" r="0" b="17145"/>
                <wp:docPr id="3" name="画布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 name="AutoShape 490"/>
                        <wps:cNvCnPr/>
                        <wps:spPr>
                          <a:xfrm>
                            <a:off x="2880843" y="986405"/>
                            <a:ext cx="1600" cy="485602"/>
                          </a:xfrm>
                          <a:prstGeom prst="straightConnector1">
                            <a:avLst/>
                          </a:prstGeom>
                          <a:ln w="9525" cap="flat" cmpd="sng">
                            <a:solidFill>
                              <a:srgbClr val="000000"/>
                            </a:solidFill>
                            <a:prstDash val="solid"/>
                            <a:headEnd type="none" w="med" len="med"/>
                            <a:tailEnd type="triangle" w="med" len="med"/>
                          </a:ln>
                          <a:effectLst/>
                        </wps:spPr>
                        <wps:bodyPr/>
                      </wps:wsp>
                      <wps:wsp>
                        <wps:cNvPr id="74" name="Rectangle 491"/>
                        <wps:cNvSpPr/>
                        <wps:spPr>
                          <a:xfrm>
                            <a:off x="2339235" y="691203"/>
                            <a:ext cx="1037615" cy="29520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140</w:t>
                              </w:r>
                              <w:r>
                                <w:rPr>
                                  <w:rFonts w:hint="eastAsia" w:ascii="宋体" w:hAnsi="宋体" w:eastAsia="宋体"/>
                                  <w:szCs w:val="21"/>
                                </w:rPr>
                                <w:t>℃</w:t>
                              </w:r>
                              <w:r>
                                <w:rPr>
                                  <w:rFonts w:hint="eastAsia"/>
                                  <w:szCs w:val="21"/>
                                </w:rPr>
                                <w:t>聚合反应</w:t>
                              </w:r>
                            </w:p>
                          </w:txbxContent>
                        </wps:txbx>
                        <wps:bodyPr vert="horz" wrap="square" lIns="0" tIns="45720" rIns="0" bIns="45720" anchor="t" upright="1"/>
                      </wps:wsp>
                      <wps:wsp>
                        <wps:cNvPr id="75" name="AutoShape 492"/>
                        <wps:cNvCnPr/>
                        <wps:spPr>
                          <a:xfrm>
                            <a:off x="2880043" y="338402"/>
                            <a:ext cx="800" cy="352802"/>
                          </a:xfrm>
                          <a:prstGeom prst="straightConnector1">
                            <a:avLst/>
                          </a:prstGeom>
                          <a:ln w="9525" cap="flat" cmpd="sng">
                            <a:solidFill>
                              <a:srgbClr val="000000"/>
                            </a:solidFill>
                            <a:prstDash val="solid"/>
                            <a:headEnd type="none" w="med" len="med"/>
                            <a:tailEnd type="triangle" w="med" len="med"/>
                          </a:ln>
                          <a:effectLst/>
                        </wps:spPr>
                        <wps:bodyPr/>
                      </wps:wsp>
                      <wps:wsp>
                        <wps:cNvPr id="76" name="Rectangle 493"/>
                        <wps:cNvSpPr/>
                        <wps:spPr>
                          <a:xfrm>
                            <a:off x="1323920" y="86400"/>
                            <a:ext cx="2594538" cy="252001"/>
                          </a:xfrm>
                          <a:prstGeom prst="rect">
                            <a:avLst/>
                          </a:prstGeom>
                          <a:solidFill>
                            <a:srgbClr val="FFFFFF"/>
                          </a:solidFill>
                          <a:ln w="9525">
                            <a:noFill/>
                          </a:ln>
                          <a:effectLst/>
                        </wps:spPr>
                        <wps:txbx>
                          <w:txbxContent>
                            <w:p>
                              <w:pPr>
                                <w:ind w:firstLine="315" w:firstLineChars="150"/>
                                <w:rPr>
                                  <w:szCs w:val="21"/>
                                </w:rPr>
                              </w:pPr>
                              <w:r>
                                <w:rPr>
                                  <w:rFonts w:hint="eastAsia"/>
                                  <w:szCs w:val="21"/>
                                </w:rPr>
                                <w:t>甲基丙烯酸甲酯    丙烯酸  二甲苯</w:t>
                              </w:r>
                            </w:p>
                          </w:txbxContent>
                        </wps:txbx>
                        <wps:bodyPr vert="horz" wrap="square" lIns="0" tIns="0" rIns="0" bIns="0" anchor="t" upright="1"/>
                      </wps:wsp>
                      <wps:wsp>
                        <wps:cNvPr id="77" name="Rectangle 494"/>
                        <wps:cNvSpPr/>
                        <wps:spPr>
                          <a:xfrm>
                            <a:off x="2339235" y="1472007"/>
                            <a:ext cx="1037615" cy="29520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稀释</w:t>
                              </w:r>
                            </w:p>
                          </w:txbxContent>
                        </wps:txbx>
                        <wps:bodyPr vert="horz" wrap="square" anchor="t" upright="1"/>
                      </wps:wsp>
                      <wps:wsp>
                        <wps:cNvPr id="78" name="AutoShape 495"/>
                        <wps:cNvCnPr/>
                        <wps:spPr>
                          <a:xfrm>
                            <a:off x="2882443" y="1767208"/>
                            <a:ext cx="800" cy="484802"/>
                          </a:xfrm>
                          <a:prstGeom prst="straightConnector1">
                            <a:avLst/>
                          </a:prstGeom>
                          <a:ln w="9525" cap="flat" cmpd="sng">
                            <a:solidFill>
                              <a:srgbClr val="000000"/>
                            </a:solidFill>
                            <a:prstDash val="solid"/>
                            <a:headEnd type="none" w="med" len="med"/>
                            <a:tailEnd type="triangle" w="med" len="med"/>
                          </a:ln>
                          <a:effectLst/>
                        </wps:spPr>
                        <wps:bodyPr/>
                      </wps:wsp>
                      <wps:wsp>
                        <wps:cNvPr id="79" name="Rectangle 496"/>
                        <wps:cNvSpPr/>
                        <wps:spPr>
                          <a:xfrm>
                            <a:off x="2339235" y="2252011"/>
                            <a:ext cx="1037615" cy="29520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冷却</w:t>
                              </w:r>
                            </w:p>
                          </w:txbxContent>
                        </wps:txbx>
                        <wps:bodyPr vert="horz" wrap="square" anchor="t" upright="1"/>
                      </wps:wsp>
                      <wps:wsp>
                        <wps:cNvPr id="80" name="AutoShape 497"/>
                        <wps:cNvCnPr/>
                        <wps:spPr>
                          <a:xfrm>
                            <a:off x="2001630" y="1608008"/>
                            <a:ext cx="361605" cy="800"/>
                          </a:xfrm>
                          <a:prstGeom prst="straightConnector1">
                            <a:avLst/>
                          </a:prstGeom>
                          <a:ln w="9525" cap="flat" cmpd="sng">
                            <a:solidFill>
                              <a:srgbClr val="000000"/>
                            </a:solidFill>
                            <a:prstDash val="solid"/>
                            <a:headEnd type="none" w="med" len="med"/>
                            <a:tailEnd type="triangle" w="med" len="med"/>
                          </a:ln>
                          <a:effectLst/>
                        </wps:spPr>
                        <wps:bodyPr/>
                      </wps:wsp>
                      <wps:wsp>
                        <wps:cNvPr id="81" name="Rectangle 498"/>
                        <wps:cNvSpPr/>
                        <wps:spPr>
                          <a:xfrm>
                            <a:off x="1089016" y="1525607"/>
                            <a:ext cx="912613" cy="241601"/>
                          </a:xfrm>
                          <a:prstGeom prst="rect">
                            <a:avLst/>
                          </a:prstGeom>
                          <a:solidFill>
                            <a:srgbClr val="FFFFFF"/>
                          </a:solidFill>
                          <a:ln w="9525">
                            <a:noFill/>
                          </a:ln>
                          <a:effectLst/>
                        </wps:spPr>
                        <wps:txbx>
                          <w:txbxContent>
                            <w:p>
                              <w:pPr>
                                <w:jc w:val="center"/>
                                <w:rPr>
                                  <w:szCs w:val="21"/>
                                </w:rPr>
                              </w:pPr>
                              <w:r>
                                <w:rPr>
                                  <w:rFonts w:hint="eastAsia"/>
                                  <w:szCs w:val="21"/>
                                </w:rPr>
                                <w:t>二甲苯</w:t>
                              </w:r>
                            </w:p>
                          </w:txbxContent>
                        </wps:txbx>
                        <wps:bodyPr vert="horz" wrap="square" lIns="0" tIns="0" rIns="0" bIns="0" anchor="t" upright="1"/>
                      </wps:wsp>
                      <wps:wsp>
                        <wps:cNvPr id="82" name="AutoShape 499"/>
                        <wps:cNvCnPr/>
                        <wps:spPr>
                          <a:xfrm>
                            <a:off x="2878442" y="2547212"/>
                            <a:ext cx="1600" cy="485602"/>
                          </a:xfrm>
                          <a:prstGeom prst="straightConnector1">
                            <a:avLst/>
                          </a:prstGeom>
                          <a:ln w="9525" cap="flat" cmpd="sng">
                            <a:solidFill>
                              <a:srgbClr val="000000"/>
                            </a:solidFill>
                            <a:prstDash val="solid"/>
                            <a:headEnd type="none" w="med" len="med"/>
                            <a:tailEnd type="triangle" w="med" len="med"/>
                          </a:ln>
                          <a:effectLst/>
                        </wps:spPr>
                        <wps:bodyPr/>
                      </wps:wsp>
                      <wps:wsp>
                        <wps:cNvPr id="83" name="Rectangle 500"/>
                        <wps:cNvSpPr/>
                        <wps:spPr>
                          <a:xfrm>
                            <a:off x="2339235" y="3032814"/>
                            <a:ext cx="1037615" cy="29520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出料包装</w:t>
                              </w:r>
                            </w:p>
                          </w:txbxContent>
                        </wps:txbx>
                        <wps:bodyPr vert="horz" wrap="square" anchor="t" upright="1"/>
                      </wps:wsp>
                      <wps:wsp>
                        <wps:cNvPr id="84" name="AutoShape 501"/>
                        <wps:cNvCnPr/>
                        <wps:spPr>
                          <a:xfrm>
                            <a:off x="2876842" y="3328016"/>
                            <a:ext cx="1600" cy="485702"/>
                          </a:xfrm>
                          <a:prstGeom prst="straightConnector1">
                            <a:avLst/>
                          </a:prstGeom>
                          <a:ln w="9525" cap="flat" cmpd="sng">
                            <a:solidFill>
                              <a:srgbClr val="000000"/>
                            </a:solidFill>
                            <a:prstDash val="solid"/>
                            <a:headEnd type="none" w="med" len="med"/>
                            <a:tailEnd type="triangle" w="med" len="med"/>
                          </a:ln>
                          <a:effectLst/>
                        </wps:spPr>
                        <wps:bodyPr/>
                      </wps:wsp>
                      <wps:wsp>
                        <wps:cNvPr id="85" name="Rectangle 502"/>
                        <wps:cNvSpPr/>
                        <wps:spPr>
                          <a:xfrm>
                            <a:off x="2339235" y="3813718"/>
                            <a:ext cx="1037615" cy="294401"/>
                          </a:xfrm>
                          <a:prstGeom prst="rect">
                            <a:avLst/>
                          </a:prstGeom>
                          <a:solidFill>
                            <a:srgbClr val="FFFFFF"/>
                          </a:solidFill>
                          <a:ln w="9525">
                            <a:noFill/>
                          </a:ln>
                          <a:effectLst/>
                        </wps:spPr>
                        <wps:txbx>
                          <w:txbxContent>
                            <w:p>
                              <w:pPr>
                                <w:jc w:val="center"/>
                                <w:rPr>
                                  <w:szCs w:val="21"/>
                                </w:rPr>
                              </w:pPr>
                              <w:r>
                                <w:rPr>
                                  <w:rFonts w:hint="eastAsia"/>
                                  <w:szCs w:val="21"/>
                                </w:rPr>
                                <w:t>分散剂</w:t>
                              </w:r>
                            </w:p>
                          </w:txbxContent>
                        </wps:txbx>
                        <wps:bodyPr vert="horz" wrap="square" anchor="t" upright="1"/>
                      </wps:wsp>
                      <wps:wsp>
                        <wps:cNvPr id="86" name="AutoShape 503"/>
                        <wps:cNvCnPr/>
                        <wps:spPr>
                          <a:xfrm>
                            <a:off x="3763010" y="1630680"/>
                            <a:ext cx="385445" cy="3810"/>
                          </a:xfrm>
                          <a:prstGeom prst="straightConnector1">
                            <a:avLst/>
                          </a:prstGeom>
                          <a:ln w="9525" cap="flat" cmpd="sng">
                            <a:solidFill>
                              <a:srgbClr val="000000"/>
                            </a:solidFill>
                            <a:prstDash val="solid"/>
                            <a:headEnd type="none" w="med" len="med"/>
                            <a:tailEnd type="triangle" w="med" len="med"/>
                          </a:ln>
                          <a:effectLst/>
                        </wps:spPr>
                        <wps:bodyPr/>
                      </wps:wsp>
                      <wps:wsp>
                        <wps:cNvPr id="87" name="Rectangle 506"/>
                        <wps:cNvSpPr/>
                        <wps:spPr>
                          <a:xfrm>
                            <a:off x="4142105" y="1486535"/>
                            <a:ext cx="446405" cy="240665"/>
                          </a:xfrm>
                          <a:prstGeom prst="rect">
                            <a:avLst/>
                          </a:prstGeom>
                          <a:noFill/>
                          <a:ln w="9525">
                            <a:noFill/>
                          </a:ln>
                          <a:effectLst/>
                        </wps:spPr>
                        <wps:txbx>
                          <w:txbxContent>
                            <w:p>
                              <w:pPr>
                                <w:jc w:val="center"/>
                                <w:rPr>
                                  <w:szCs w:val="21"/>
                                </w:rPr>
                              </w:pPr>
                              <w:r>
                                <w:rPr>
                                  <w:rFonts w:hint="default" w:ascii="Times New Roman" w:hAnsi="Times New Roman" w:eastAsia="Times New Roman"/>
                                  <w:b/>
                                  <w:color w:val="000000"/>
                                  <w:sz w:val="24"/>
                                  <w:lang w:val="zh-CN"/>
                                </w:rPr>
                                <w:t>G</w:t>
                              </w:r>
                              <w:r>
                                <w:rPr>
                                  <w:rFonts w:hint="eastAsia" w:ascii="Times New Roman" w:hAnsi="Times New Roman" w:eastAsia="宋体"/>
                                  <w:b/>
                                  <w:color w:val="000000"/>
                                  <w:sz w:val="16"/>
                                  <w:lang w:val="en-US" w:eastAsia="zh-CN"/>
                                </w:rPr>
                                <w:t>7</w:t>
                              </w:r>
                              <w:r>
                                <w:rPr>
                                  <w:rFonts w:hint="default" w:ascii="Times New Roman" w:hAnsi="Times New Roman" w:eastAsia="Times New Roman"/>
                                  <w:b/>
                                  <w:color w:val="000000"/>
                                  <w:sz w:val="16"/>
                                  <w:lang w:val="zh-CN"/>
                                </w:rPr>
                                <w:t>-1</w:t>
                              </w:r>
                            </w:p>
                          </w:txbxContent>
                        </wps:txbx>
                        <wps:bodyPr vert="horz" wrap="square" lIns="0" tIns="0" rIns="0" bIns="0" anchor="t" upright="1"/>
                      </wps:wsp>
                      <wps:wsp>
                        <wps:cNvPr id="88" name="AutoShape 503"/>
                        <wps:cNvCnPr/>
                        <wps:spPr>
                          <a:xfrm>
                            <a:off x="1977629" y="847504"/>
                            <a:ext cx="385606" cy="4000"/>
                          </a:xfrm>
                          <a:prstGeom prst="straightConnector1">
                            <a:avLst/>
                          </a:prstGeom>
                          <a:ln w="9525" cap="flat" cmpd="sng">
                            <a:solidFill>
                              <a:srgbClr val="000000"/>
                            </a:solidFill>
                            <a:prstDash val="solid"/>
                            <a:headEnd type="none" w="med" len="med"/>
                            <a:tailEnd type="triangle" w="med" len="med"/>
                          </a:ln>
                          <a:effectLst/>
                        </wps:spPr>
                        <wps:bodyPr/>
                      </wps:wsp>
                      <wps:wsp>
                        <wps:cNvPr id="89" name="Rectangle 506"/>
                        <wps:cNvSpPr/>
                        <wps:spPr>
                          <a:xfrm>
                            <a:off x="742911" y="691203"/>
                            <a:ext cx="1234718" cy="240801"/>
                          </a:xfrm>
                          <a:prstGeom prst="rect">
                            <a:avLst/>
                          </a:prstGeom>
                          <a:noFill/>
                          <a:ln w="9525">
                            <a:noFill/>
                          </a:ln>
                          <a:effectLst/>
                        </wps:spPr>
                        <wps:txbx>
                          <w:txbxContent>
                            <w:p>
                              <w:pPr>
                                <w:jc w:val="center"/>
                                <w:rPr>
                                  <w:szCs w:val="21"/>
                                </w:rPr>
                              </w:pPr>
                              <w:r>
                                <w:rPr>
                                  <w:rFonts w:hint="eastAsia"/>
                                  <w:szCs w:val="21"/>
                                </w:rPr>
                                <w:t>二叔丁基过氧化物</w:t>
                              </w:r>
                            </w:p>
                          </w:txbxContent>
                        </wps:txbx>
                        <wps:bodyPr vert="horz" wrap="square" lIns="0" tIns="0" rIns="0" bIns="0" anchor="t" upright="1"/>
                      </wps:wsp>
                      <wps:wsp>
                        <wps:cNvPr id="90" name="矩形 73"/>
                        <wps:cNvSpPr/>
                        <wps:spPr>
                          <a:xfrm>
                            <a:off x="2110105" y="521335"/>
                            <a:ext cx="1617345" cy="3019425"/>
                          </a:xfrm>
                          <a:prstGeom prst="rect">
                            <a:avLst/>
                          </a:prstGeom>
                          <a:noFill/>
                          <a:ln w="28575" cap="flat" cmpd="sng" algn="ctr">
                            <a:solidFill>
                              <a:srgbClr val="000000"/>
                            </a:solidFill>
                            <a:prstDash val="sysDot"/>
                          </a:ln>
                          <a:effectLst/>
                        </wps:spPr>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画布 260" o:spid="_x0000_s1026" o:spt="203" style="height:322.65pt;width:441.3pt;" coordsize="5604510,4097655" editas="canvas" o:gfxdata="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">
                <o:lock v:ext="edit" aspectratio="f"/>
                <v:shape id="画布 260" o:spid="_x0000_s1026" style="position:absolute;left:0;top:0;height:4097655;width:5604510;" filled="f" stroked="f" coordsize="21600,21600" o:gfxdata="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FgAAAGRycy9QSwECFAAUAAAACACHTuJAnzb9fdcAAAAFAQAADwAAAAAAAAAB&#10;ACAAAAA4AAAAZHJzL2Rvd25yZXYueG1sUEsBAhQAFAAAAAgAh07iQAt9nLD9BQAAOCoAAA4AAAAA&#10;AAAAAQAgAAAAPAEAAGRycy9lMm9Eb2MueG1sUEsFBgAAAAAGAAYAWQEAAKsJAAAAAA==&#10;">
                  <v:fill on="f" focussize="0,0"/>
                  <v:stroke on="f"/>
                  <v:imagedata o:title=""/>
                  <o:lock v:ext="edit" aspectratio="t"/>
                </v:shape>
                <v:shape id="AutoShape 490" o:spid="_x0000_s1026" o:spt="32" type="#_x0000_t32" style="position:absolute;left:2880843;top:986405;height:485602;width:1600;" filled="f" stroked="t" coordsize="21600,21600" o:gfxdata="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OgqGhjXAAAABQEAAA8AAAAAAAAAAQAgAAAAOAAAAGRycy9kb3ducmV2LnhtbFBLAQIU&#10;ABQAAAAIAIdO4kDCwST63gEAALQDAAAOAAAAAAAAAAEAIAAAADwBAABkcnMvZTJvRG9jLnhtbFBL&#10;BQYAAAAABgAGAFkBAACMBQAAAAA=&#10;">
                  <v:fill on="f" focussize="0,0"/>
                  <v:stroke color="#000000" joinstyle="round" endarrow="block"/>
                  <v:imagedata o:title=""/>
                  <o:lock v:ext="edit" aspectratio="f"/>
                </v:shape>
                <v:rect id="Rectangle 491" o:spid="_x0000_s1026" o:spt="1" style="position:absolute;left:2339235;top:691203;height:295201;width:1037615;" fillcolor="#FFFFFF" filled="t" stroked="t" coordsize="21600,21600" o:gfxdata="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r6A95NQAAAAFAQAADwAAAAAAAAABACAAAAA4AAAAZHJzL2Rvd25yZXYueG1sUEsBAhQA&#10;FAAAAAgAh07iQFlcamkZAgAASwQAAA4AAAAAAAAAAQAgAAAAOQEAAGRycy9lMm9Eb2MueG1sUEsF&#10;BgAAAAAGAAYAWQEAAMQFAAAAAA==&#10;">
                  <v:fill on="t" focussize="0,0"/>
                  <v:stroke color="#000000" joinstyle="miter"/>
                  <v:imagedata o:title=""/>
                  <o:lock v:ext="edit" aspectratio="f"/>
                  <v:textbox inset="0mm,1.27mm,0mm,1.27mm">
                    <w:txbxContent>
                      <w:p>
                        <w:pPr>
                          <w:jc w:val="center"/>
                          <w:rPr>
                            <w:szCs w:val="21"/>
                          </w:rPr>
                        </w:pPr>
                        <w:r>
                          <w:rPr>
                            <w:rFonts w:hint="eastAsia"/>
                            <w:szCs w:val="21"/>
                          </w:rPr>
                          <w:t>140</w:t>
                        </w:r>
                        <w:r>
                          <w:rPr>
                            <w:rFonts w:hint="eastAsia" w:ascii="宋体" w:hAnsi="宋体" w:eastAsia="宋体"/>
                            <w:szCs w:val="21"/>
                          </w:rPr>
                          <w:t>℃</w:t>
                        </w:r>
                        <w:r>
                          <w:rPr>
                            <w:rFonts w:hint="eastAsia"/>
                            <w:szCs w:val="21"/>
                          </w:rPr>
                          <w:t>聚合反应</w:t>
                        </w:r>
                      </w:p>
                    </w:txbxContent>
                  </v:textbox>
                </v:rect>
                <v:shape id="AutoShape 492" o:spid="_x0000_s1026" o:spt="32" type="#_x0000_t32" style="position:absolute;left:2880043;top:338402;height:352802;width:800;" filled="f" stroked="t" coordsize="21600,21600" o:gfxdata="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6CoaGNcAAAAFAQAADwAAAAAAAAABACAAAAA4AAAAZHJzL2Rvd25yZXYueG1sUEsB&#10;AhQAFAAAAAgAh07iQNwTxj/gAQAAswMAAA4AAAAAAAAAAQAgAAAAPAEAAGRycy9lMm9Eb2MueG1s&#10;UEsFBgAAAAAGAAYAWQEAAI4FAAAAAA==&#10;">
                  <v:fill on="f" focussize="0,0"/>
                  <v:stroke color="#000000" joinstyle="round" endarrow="block"/>
                  <v:imagedata o:title=""/>
                  <o:lock v:ext="edit" aspectratio="f"/>
                </v:shape>
                <v:rect id="Rectangle 493" o:spid="_x0000_s1026" o:spt="1" style="position:absolute;left:1323920;top:86400;height:252001;width:2594538;" fillcolor="#FFFFFF" filled="t" stroked="f" coordsize="21600,21600" o:gfxdata="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Fvhb1PTAAAABQEA&#10;AA8AAAAAAAAAAQAgAAAAOAAAAGRycy9kb3ducmV2LnhtbFBLAQIUABQAAAAIAIdO4kDau1r+0AEA&#10;AIwDAAAOAAAAAAAAAAEAIAAAADgBAABkcnMvZTJvRG9jLnhtbFBLBQYAAAAABgAGAFkBAAB6BQAA&#10;AAA=&#10;">
                  <v:fill on="t" focussize="0,0"/>
                  <v:stroke on="f"/>
                  <v:imagedata o:title=""/>
                  <o:lock v:ext="edit" aspectratio="f"/>
                  <v:textbox inset="0mm,0mm,0mm,0mm">
                    <w:txbxContent>
                      <w:p>
                        <w:pPr>
                          <w:ind w:firstLine="315" w:firstLineChars="150"/>
                          <w:rPr>
                            <w:szCs w:val="21"/>
                          </w:rPr>
                        </w:pPr>
                        <w:r>
                          <w:rPr>
                            <w:rFonts w:hint="eastAsia"/>
                            <w:szCs w:val="21"/>
                          </w:rPr>
                          <w:t>甲基丙烯酸甲酯    丙烯酸  二甲苯</w:t>
                        </w:r>
                      </w:p>
                    </w:txbxContent>
                  </v:textbox>
                </v:rect>
                <v:rect id="Rectangle 494" o:spid="_x0000_s1026" o:spt="1" style="position:absolute;left:2339235;top:1472007;height:295201;width:1037615;" fillcolor="#FFFFFF" filled="t" stroked="t" coordsize="21600,21600" o:gfxdata="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WlbnqNUAAAAFAQAA&#10;DwAAAAAAAAABACAAAAA4AAAAZHJzL2Rvd25yZXYueG1sUEsBAhQAFAAAAAgAh07iQLvKg/kGAgAA&#10;IAQAAA4AAAAAAAAAAQAgAAAAOgEAAGRycy9lMm9Eb2MueG1sUEsFBgAAAAAGAAYAWQEAALIFAAAA&#10;AA==&#10;">
                  <v:fill on="t" focussize="0,0"/>
                  <v:stroke color="#000000" joinstyle="miter"/>
                  <v:imagedata o:title=""/>
                  <o:lock v:ext="edit" aspectratio="f"/>
                  <v:textbox>
                    <w:txbxContent>
                      <w:p>
                        <w:pPr>
                          <w:jc w:val="center"/>
                          <w:rPr>
                            <w:szCs w:val="21"/>
                          </w:rPr>
                        </w:pPr>
                        <w:r>
                          <w:rPr>
                            <w:rFonts w:hint="eastAsia"/>
                            <w:szCs w:val="21"/>
                          </w:rPr>
                          <w:t>稀释</w:t>
                        </w:r>
                      </w:p>
                    </w:txbxContent>
                  </v:textbox>
                </v:rect>
                <v:shape id="AutoShape 495" o:spid="_x0000_s1026" o:spt="32" type="#_x0000_t32" style="position:absolute;left:2882443;top:1767208;height:484802;width:800;" filled="f" stroked="t" coordsize="21600,21600" o:gfxdata="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6CoaGNcAAAAFAQAADwAAAAAAAAABACAAAAA4AAAAZHJzL2Rvd25yZXYueG1sUEsB&#10;AhQAFAAAAAgAh07iQCPtCJfgAQAAtAMAAA4AAAAAAAAAAQAgAAAAPAEAAGRycy9lMm9Eb2MueG1s&#10;UEsFBgAAAAAGAAYAWQEAAI4FAAAAAA==&#10;">
                  <v:fill on="f" focussize="0,0"/>
                  <v:stroke color="#000000" joinstyle="round" endarrow="block"/>
                  <v:imagedata o:title=""/>
                  <o:lock v:ext="edit" aspectratio="f"/>
                </v:shape>
                <v:rect id="Rectangle 496" o:spid="_x0000_s1026" o:spt="1" style="position:absolute;left:2339235;top:2252011;height:295201;width:1037615;" fillcolor="#FFFFFF" filled="t" stroked="t" coordsize="21600,21600" o:gfxdata="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WlbnqNUAAAAFAQAADwAA&#10;AAAAAAABACAAAAA4AAAAZHJzL2Rvd25yZXYueG1sUEsBAhQAFAAAAAgAh07iQFEH3EcDAgAAIAQA&#10;AA4AAAAAAAAAAQAgAAAAOgEAAGRycy9lMm9Eb2MueG1sUEsFBgAAAAAGAAYAWQEAAK8FAAAAAA==&#10;">
                  <v:fill on="t" focussize="0,0"/>
                  <v:stroke color="#000000" joinstyle="miter"/>
                  <v:imagedata o:title=""/>
                  <o:lock v:ext="edit" aspectratio="f"/>
                  <v:textbox>
                    <w:txbxContent>
                      <w:p>
                        <w:pPr>
                          <w:jc w:val="center"/>
                          <w:rPr>
                            <w:szCs w:val="21"/>
                          </w:rPr>
                        </w:pPr>
                        <w:r>
                          <w:rPr>
                            <w:rFonts w:hint="eastAsia"/>
                            <w:szCs w:val="21"/>
                          </w:rPr>
                          <w:t>冷却</w:t>
                        </w:r>
                      </w:p>
                    </w:txbxContent>
                  </v:textbox>
                </v:rect>
                <v:shape id="AutoShape 497" o:spid="_x0000_s1026" o:spt="32" type="#_x0000_t32" style="position:absolute;left:2001630;top:1608008;height:800;width:361605;" filled="f" stroked="t" coordsize="21600,21600" o:gfxdata="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OgqGhjXAAAABQEAAA8AAAAAAAAAAQAgAAAAOAAAAGRycy9kb3ducmV2LnhtbFBLAQIU&#10;ABQAAAAIAIdO4kB5+q+p3gEAALQDAAAOAAAAAAAAAAEAIAAAADwBAABkcnMvZTJvRG9jLnhtbFBL&#10;BQYAAAAABgAGAFkBAACMBQAAAAA=&#10;">
                  <v:fill on="f" focussize="0,0"/>
                  <v:stroke color="#000000" joinstyle="round" endarrow="block"/>
                  <v:imagedata o:title=""/>
                  <o:lock v:ext="edit" aspectratio="f"/>
                </v:shape>
                <v:rect id="Rectangle 498" o:spid="_x0000_s1026" o:spt="1" style="position:absolute;left:1089016;top:1525607;height:241601;width:912613;" fillcolor="#FFFFFF" filled="t" stroked="f" coordsize="21600,21600" o:gfxdata="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Fvhb1PTAAAABQEA&#10;AA8AAAAAAAAAAQAgAAAAOAAAAGRycy9kb3ducmV2LnhtbFBLAQIUABQAAAAIAIdO4kAMt/5n0AEA&#10;AI0DAAAOAAAAAAAAAAEAIAAAADgBAABkcnMvZTJvRG9jLnhtbFBLBQYAAAAABgAGAFkBAAB6BQAA&#10;AAA=&#10;">
                  <v:fill on="t" focussize="0,0"/>
                  <v:stroke on="f"/>
                  <v:imagedata o:title=""/>
                  <o:lock v:ext="edit" aspectratio="f"/>
                  <v:textbox inset="0mm,0mm,0mm,0mm">
                    <w:txbxContent>
                      <w:p>
                        <w:pPr>
                          <w:jc w:val="center"/>
                          <w:rPr>
                            <w:szCs w:val="21"/>
                          </w:rPr>
                        </w:pPr>
                        <w:r>
                          <w:rPr>
                            <w:rFonts w:hint="eastAsia"/>
                            <w:szCs w:val="21"/>
                          </w:rPr>
                          <w:t>二甲苯</w:t>
                        </w:r>
                      </w:p>
                    </w:txbxContent>
                  </v:textbox>
                </v:rect>
                <v:shape id="AutoShape 499" o:spid="_x0000_s1026" o:spt="32" type="#_x0000_t32" style="position:absolute;left:2878442;top:2547212;height:485602;width:1600;" filled="f" stroked="t" coordsize="21600,21600" o:gfxdata="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6CoaGNcAAAAFAQAADwAAAAAAAAABACAAAAA4AAAAZHJzL2Rvd25yZXYueG1s&#10;UEsBAhQAFAAAAAgAh07iQPX6/qjjAQAAtQMAAA4AAAAAAAAAAQAgAAAAPAEAAGRycy9lMm9Eb2Mu&#10;eG1sUEsFBgAAAAAGAAYAWQEAAJEFAAAAAA==&#10;">
                  <v:fill on="f" focussize="0,0"/>
                  <v:stroke color="#000000" joinstyle="round" endarrow="block"/>
                  <v:imagedata o:title=""/>
                  <o:lock v:ext="edit" aspectratio="f"/>
                </v:shape>
                <v:rect id="Rectangle 500" o:spid="_x0000_s1026" o:spt="1" style="position:absolute;left:2339235;top:3032814;height:295201;width:1037615;" fillcolor="#FFFFFF" filled="t" stroked="t" coordsize="21600,21600" o:gfxdata="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FpW56jVAAAABQEAAA8A&#10;AAAAAAAAAQAgAAAAOAAAAGRycy9kb3ducmV2LnhtbFBLAQIUABQAAAAIAIdO4kAX5iKpBAIAACAE&#10;AAAOAAAAAAAAAAEAIAAAADoBAABkcnMvZTJvRG9jLnhtbFBLBQYAAAAABgAGAFkBAACwBQAAAAA=&#10;">
                  <v:fill on="t" focussize="0,0"/>
                  <v:stroke color="#000000" joinstyle="miter"/>
                  <v:imagedata o:title=""/>
                  <o:lock v:ext="edit" aspectratio="f"/>
                  <v:textbox>
                    <w:txbxContent>
                      <w:p>
                        <w:pPr>
                          <w:jc w:val="center"/>
                          <w:rPr>
                            <w:szCs w:val="21"/>
                          </w:rPr>
                        </w:pPr>
                        <w:r>
                          <w:rPr>
                            <w:rFonts w:hint="eastAsia"/>
                            <w:szCs w:val="21"/>
                          </w:rPr>
                          <w:t>出料包装</w:t>
                        </w:r>
                      </w:p>
                    </w:txbxContent>
                  </v:textbox>
                </v:rect>
                <v:shape id="AutoShape 501" o:spid="_x0000_s1026" o:spt="32" type="#_x0000_t32" style="position:absolute;left:2876842;top:3328016;height:485702;width:1600;" filled="f" stroked="t" coordsize="21600,21600" o:gfxdata="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oKhoY1wAAAAUBAAAPAAAAAAAAAAEAIAAAADgAAABkcnMvZG93bnJldi54bWxQ&#10;SwECFAAUAAAACACHTuJAWw5qDuIBAAC1AwAADgAAAAAAAAABACAAAAA8AQAAZHJzL2Uyb0RvYy54&#10;bWxQSwUGAAAAAAYABgBZAQAAkAUAAAAA&#10;">
                  <v:fill on="f" focussize="0,0"/>
                  <v:stroke color="#000000" joinstyle="round" endarrow="block"/>
                  <v:imagedata o:title=""/>
                  <o:lock v:ext="edit" aspectratio="f"/>
                </v:shape>
                <v:rect id="Rectangle 502" o:spid="_x0000_s1026" o:spt="1" style="position:absolute;left:2339235;top:3813718;height:294401;width:1037615;" fillcolor="#FFFFFF" filled="t" stroked="f" coordsize="21600,21600" o:gfxdata="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BQryj21AAAAAUBAAAPAAAAAAAAAAEA&#10;IAAAADgAAABkcnMvZG93bnJldi54bWxQSwECFAAUAAAACACHTuJAzoCC+cQBAABqAwAADgAAAAAA&#10;AAABACAAAAA5AQAAZHJzL2Uyb0RvYy54bWxQSwUGAAAAAAYABgBZAQAAbwUAAAAA&#10;">
                  <v:fill on="t" focussize="0,0"/>
                  <v:stroke on="f"/>
                  <v:imagedata o:title=""/>
                  <o:lock v:ext="edit" aspectratio="f"/>
                  <v:textbox>
                    <w:txbxContent>
                      <w:p>
                        <w:pPr>
                          <w:jc w:val="center"/>
                          <w:rPr>
                            <w:szCs w:val="21"/>
                          </w:rPr>
                        </w:pPr>
                        <w:r>
                          <w:rPr>
                            <w:rFonts w:hint="eastAsia"/>
                            <w:szCs w:val="21"/>
                          </w:rPr>
                          <w:t>分散剂</w:t>
                        </w:r>
                      </w:p>
                    </w:txbxContent>
                  </v:textbox>
                </v:rect>
                <v:shape id="AutoShape 503" o:spid="_x0000_s1026" o:spt="32" type="#_x0000_t32" style="position:absolute;left:3763010;top:1630680;height:3810;width:385445;" filled="f" stroked="t" coordsize="21600,21600" o:gfxdata="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6CoaGNcAAAAFAQAADwAAAAAAAAABACAAAAA4AAAAZHJzL2Rvd25yZXYueG1sUEsBAhQA&#10;FAAAAAgAh07iQHtyvq7dAQAAtQMAAA4AAAAAAAAAAQAgAAAAPAEAAGRycy9lMm9Eb2MueG1sUEsF&#10;BgAAAAAGAAYAWQEAAIsFAAAAAA==&#10;">
                  <v:fill on="f" focussize="0,0"/>
                  <v:stroke color="#000000" joinstyle="round" endarrow="block"/>
                  <v:imagedata o:title=""/>
                  <o:lock v:ext="edit" aspectratio="f"/>
                </v:shape>
                <v:rect id="Rectangle 506" o:spid="_x0000_s1026" o:spt="1" style="position:absolute;left:4142105;top:1486535;height:240665;width:446405;" filled="f" stroked="f" coordsize="21600,21600" o:gfxdata="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AeXaqL2AAAAAUBAAAPAAAAAAAAAAEA&#10;IAAAADgAAABkcnMvZG93bnJldi54bWxQSwECFAAUAAAACACHTuJALxmNs8ABAABkAwAADgAAAAAA&#10;AAABACAAAAA9AQAAZHJzL2Uyb0RvYy54bWxQSwUGAAAAAAYABgBZAQAAbwUAAAAA&#10;">
                  <v:fill on="f" focussize="0,0"/>
                  <v:stroke on="f"/>
                  <v:imagedata o:title=""/>
                  <o:lock v:ext="edit" aspectratio="f"/>
                  <v:textbox inset="0mm,0mm,0mm,0mm">
                    <w:txbxContent>
                      <w:p>
                        <w:pPr>
                          <w:jc w:val="center"/>
                          <w:rPr>
                            <w:szCs w:val="21"/>
                          </w:rPr>
                        </w:pPr>
                        <w:r>
                          <w:rPr>
                            <w:rFonts w:hint="default" w:ascii="Times New Roman" w:hAnsi="Times New Roman" w:eastAsia="Times New Roman"/>
                            <w:b/>
                            <w:color w:val="000000"/>
                            <w:sz w:val="24"/>
                            <w:lang w:val="zh-CN"/>
                          </w:rPr>
                          <w:t>G</w:t>
                        </w:r>
                        <w:r>
                          <w:rPr>
                            <w:rFonts w:hint="eastAsia" w:ascii="Times New Roman" w:hAnsi="Times New Roman" w:eastAsia="宋体"/>
                            <w:b/>
                            <w:color w:val="000000"/>
                            <w:sz w:val="16"/>
                            <w:lang w:val="en-US" w:eastAsia="zh-CN"/>
                          </w:rPr>
                          <w:t>7</w:t>
                        </w:r>
                        <w:r>
                          <w:rPr>
                            <w:rFonts w:hint="default" w:ascii="Times New Roman" w:hAnsi="Times New Roman" w:eastAsia="Times New Roman"/>
                            <w:b/>
                            <w:color w:val="000000"/>
                            <w:sz w:val="16"/>
                            <w:lang w:val="zh-CN"/>
                          </w:rPr>
                          <w:t>-1</w:t>
                        </w:r>
                      </w:p>
                    </w:txbxContent>
                  </v:textbox>
                </v:rect>
                <v:shape id="AutoShape 503" o:spid="_x0000_s1026" o:spt="32" type="#_x0000_t32" style="position:absolute;left:1977629;top:847504;height:4000;width:385606;" filled="f" stroked="t" coordsize="21600,21600" o:gfxdata="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OgqGhjXAAAABQEAAA8AAAAAAAAAAQAgAAAAOAAAAGRycy9kb3ducmV2Lnht&#10;bFBLAQIUABQAAAAIAIdO4kDb2ywr5AEAALQDAAAOAAAAAAAAAAEAIAAAADwBAABkcnMvZTJvRG9j&#10;LnhtbFBLBQYAAAAABgAGAFkBAACSBQAAAAA=&#10;">
                  <v:fill on="f" focussize="0,0"/>
                  <v:stroke color="#000000" joinstyle="round" endarrow="block"/>
                  <v:imagedata o:title=""/>
                  <o:lock v:ext="edit" aspectratio="f"/>
                </v:shape>
                <v:rect id="Rectangle 506" o:spid="_x0000_s1026" o:spt="1" style="position:absolute;left:742911;top:691203;height:240801;width:1234718;" filled="f" stroked="f" coordsize="21600,21600" o:gfxdata="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B5dqovYAAAABQEAAA8AAAAAAAAAAQAg&#10;AAAAOAAAAGRycy9kb3ducmV2LnhtbFBLAQIUABQAAAAIAIdO4kDtZjklvwEAAGMDAAAOAAAAAAAA&#10;AAEAIAAAAD0BAABkcnMvZTJvRG9jLnhtbFBLBQYAAAAABgAGAFkBAABuBQAAAAA=&#10;">
                  <v:fill on="f" focussize="0,0"/>
                  <v:stroke on="f"/>
                  <v:imagedata o:title=""/>
                  <o:lock v:ext="edit" aspectratio="f"/>
                  <v:textbox inset="0mm,0mm,0mm,0mm">
                    <w:txbxContent>
                      <w:p>
                        <w:pPr>
                          <w:jc w:val="center"/>
                          <w:rPr>
                            <w:szCs w:val="21"/>
                          </w:rPr>
                        </w:pPr>
                        <w:r>
                          <w:rPr>
                            <w:rFonts w:hint="eastAsia"/>
                            <w:szCs w:val="21"/>
                          </w:rPr>
                          <w:t>二叔丁基过氧化物</w:t>
                        </w:r>
                      </w:p>
                    </w:txbxContent>
                  </v:textbox>
                </v:rect>
                <v:rect id="矩形 73" o:spid="_x0000_s1026" o:spt="1" style="position:absolute;left:2110105;top:521335;height:3019425;width:1617345;v-text-anchor:middle;" filled="f" stroked="t" coordsize="21600,21600" o:gfxdata="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UDvzqNcAAAAFAQAADwAAAAAAAAABACAAAAA4AAAAZHJzL2Rvd25yZXYu&#10;eG1sUEsBAhQAFAAAAAgAh07iQLb+JoJYAgAAgwQAAA4AAAAAAAAAAQAgAAAAPAEAAGRycy9lMm9E&#10;b2MueG1sUEsFBgAAAAAGAAYAWQEAAAYGAAAAAA==&#10;">
                  <v:fill on="f" focussize="0,0"/>
                  <v:stroke weight="2.25pt" color="#000000" joinstyle="round" dashstyle="1 1"/>
                  <v:imagedata o:title=""/>
                  <o:lock v:ext="edit" aspectratio="f"/>
                </v:rect>
                <w10:wrap type="none"/>
                <w10:anchorlock/>
              </v:group>
            </w:pict>
          </mc:Fallback>
        </mc:AlternateContent>
      </w:r>
    </w:p>
    <w:p>
      <w:pPr>
        <w:pStyle w:val="36"/>
        <w:bidi w:val="0"/>
        <w:rPr>
          <w:color w:val="auto"/>
        </w:rPr>
      </w:pPr>
      <w:r>
        <w:rPr>
          <w:rFonts w:hint="eastAsia"/>
          <w:color w:val="auto"/>
        </w:rPr>
        <w:t>图</w:t>
      </w:r>
      <w:r>
        <w:rPr>
          <w:rFonts w:hint="eastAsia"/>
          <w:color w:val="auto"/>
          <w:lang w:val="en-US" w:eastAsia="zh-CN"/>
        </w:rPr>
        <w:t>3.2-10</w:t>
      </w:r>
      <w:r>
        <w:rPr>
          <w:rFonts w:hint="eastAsia"/>
          <w:color w:val="auto"/>
        </w:rPr>
        <w:t xml:space="preserve">  </w:t>
      </w:r>
      <w:r>
        <w:rPr>
          <w:rFonts w:hint="eastAsia"/>
          <w:color w:val="auto"/>
          <w:lang w:val="en-US" w:eastAsia="zh-CN"/>
        </w:rPr>
        <w:t>2#</w:t>
      </w:r>
      <w:r>
        <w:rPr>
          <w:rFonts w:hint="eastAsia"/>
          <w:color w:val="auto"/>
        </w:rPr>
        <w:t>丙烯酸酯分散助剂工艺流程及产污环节图</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Times New Roman" w:hAnsi="Times New Roman"/>
          <w:caps w:val="0"/>
          <w:smallCaps w:val="0"/>
          <w:color w:val="auto"/>
          <w:sz w:val="24"/>
          <w:szCs w:val="24"/>
        </w:rPr>
      </w:pPr>
      <w:r>
        <w:rPr>
          <w:rFonts w:hint="eastAsia" w:ascii="Times New Roman" w:hAnsi="Times New Roman"/>
          <w:caps w:val="0"/>
          <w:smallCaps w:val="0"/>
          <w:color w:val="auto"/>
          <w:sz w:val="24"/>
          <w:szCs w:val="24"/>
        </w:rPr>
        <w:t>（2）产污节点</w:t>
      </w:r>
    </w:p>
    <w:p>
      <w:pPr>
        <w:pStyle w:val="36"/>
        <w:bidi w:val="0"/>
        <w:rPr>
          <w:color w:val="auto"/>
        </w:rPr>
      </w:pPr>
      <w:r>
        <w:rPr>
          <w:color w:val="auto"/>
        </w:rPr>
        <w:t>表</w:t>
      </w:r>
      <w:r>
        <w:rPr>
          <w:rFonts w:hint="eastAsia"/>
          <w:color w:val="auto"/>
          <w:lang w:val="en-US" w:eastAsia="zh-CN"/>
        </w:rPr>
        <w:t>3.2-9</w:t>
      </w:r>
      <w:r>
        <w:rPr>
          <w:color w:val="auto"/>
        </w:rPr>
        <w:t xml:space="preserve">  </w:t>
      </w:r>
      <w:r>
        <w:rPr>
          <w:rFonts w:hint="eastAsia"/>
          <w:color w:val="auto"/>
          <w:lang w:val="en-US" w:eastAsia="zh-CN"/>
        </w:rPr>
        <w:t>2#</w:t>
      </w:r>
      <w:r>
        <w:rPr>
          <w:rFonts w:hint="eastAsia"/>
          <w:color w:val="auto"/>
        </w:rPr>
        <w:t>丙烯酸分散助剂</w:t>
      </w:r>
      <w:r>
        <w:rPr>
          <w:color w:val="auto"/>
        </w:rPr>
        <w:t>产污环节一览表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26"/>
        <w:gridCol w:w="1905"/>
        <w:gridCol w:w="2014"/>
        <w:gridCol w:w="1309"/>
        <w:gridCol w:w="31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7" w:hRule="atLeast"/>
        </w:trPr>
        <w:tc>
          <w:tcPr>
            <w:tcW w:w="592" w:type="pct"/>
            <w:tcBorders>
              <w:tl2br w:val="nil"/>
              <w:tr2bl w:val="nil"/>
            </w:tcBorders>
            <w:noWrap w:val="0"/>
            <w:vAlign w:val="center"/>
          </w:tcPr>
          <w:p>
            <w:pPr>
              <w:pStyle w:val="35"/>
              <w:bidi w:val="0"/>
              <w:rPr>
                <w:b/>
                <w:bCs/>
                <w:color w:val="auto"/>
              </w:rPr>
            </w:pPr>
            <w:r>
              <w:rPr>
                <w:rFonts w:hint="eastAsia"/>
                <w:b/>
                <w:bCs/>
                <w:color w:val="auto"/>
              </w:rPr>
              <w:t>污染类型</w:t>
            </w:r>
          </w:p>
        </w:tc>
        <w:tc>
          <w:tcPr>
            <w:tcW w:w="1001" w:type="pct"/>
            <w:tcBorders>
              <w:tl2br w:val="nil"/>
              <w:tr2bl w:val="nil"/>
            </w:tcBorders>
            <w:noWrap w:val="0"/>
            <w:vAlign w:val="center"/>
          </w:tcPr>
          <w:p>
            <w:pPr>
              <w:pStyle w:val="35"/>
              <w:bidi w:val="0"/>
              <w:rPr>
                <w:b/>
                <w:bCs/>
                <w:color w:val="auto"/>
              </w:rPr>
            </w:pPr>
            <w:r>
              <w:rPr>
                <w:rFonts w:hint="eastAsia"/>
                <w:b/>
                <w:bCs/>
                <w:color w:val="auto"/>
              </w:rPr>
              <w:t>产物环节</w:t>
            </w:r>
          </w:p>
        </w:tc>
        <w:tc>
          <w:tcPr>
            <w:tcW w:w="1058" w:type="pct"/>
            <w:tcBorders>
              <w:tl2br w:val="nil"/>
              <w:tr2bl w:val="nil"/>
            </w:tcBorders>
            <w:noWrap w:val="0"/>
            <w:vAlign w:val="center"/>
          </w:tcPr>
          <w:p>
            <w:pPr>
              <w:pStyle w:val="35"/>
              <w:bidi w:val="0"/>
              <w:rPr>
                <w:b/>
                <w:bCs/>
                <w:color w:val="auto"/>
              </w:rPr>
            </w:pPr>
            <w:r>
              <w:rPr>
                <w:rFonts w:hint="eastAsia"/>
                <w:b/>
                <w:bCs/>
                <w:color w:val="auto"/>
              </w:rPr>
              <w:t>产生污染物</w:t>
            </w:r>
          </w:p>
        </w:tc>
        <w:tc>
          <w:tcPr>
            <w:tcW w:w="688" w:type="pct"/>
            <w:tcBorders>
              <w:tl2br w:val="nil"/>
              <w:tr2bl w:val="nil"/>
            </w:tcBorders>
            <w:noWrap w:val="0"/>
            <w:vAlign w:val="center"/>
          </w:tcPr>
          <w:p>
            <w:pPr>
              <w:pStyle w:val="35"/>
              <w:bidi w:val="0"/>
              <w:rPr>
                <w:b/>
                <w:bCs/>
                <w:color w:val="auto"/>
              </w:rPr>
            </w:pPr>
            <w:r>
              <w:rPr>
                <w:rFonts w:hint="eastAsia"/>
                <w:b/>
                <w:bCs/>
                <w:color w:val="auto"/>
              </w:rPr>
              <w:t>产生特点</w:t>
            </w:r>
          </w:p>
        </w:tc>
        <w:tc>
          <w:tcPr>
            <w:tcW w:w="1658" w:type="pct"/>
            <w:tcBorders>
              <w:tl2br w:val="nil"/>
              <w:tr2bl w:val="nil"/>
            </w:tcBorders>
            <w:noWrap w:val="0"/>
            <w:vAlign w:val="center"/>
          </w:tcPr>
          <w:p>
            <w:pPr>
              <w:pStyle w:val="35"/>
              <w:bidi w:val="0"/>
              <w:rPr>
                <w:b/>
                <w:bCs/>
                <w:color w:val="auto"/>
              </w:rPr>
            </w:pPr>
            <w:r>
              <w:rPr>
                <w:rFonts w:hint="eastAsia"/>
                <w:b/>
                <w:bCs/>
                <w:color w:val="auto"/>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7" w:hRule="atLeast"/>
        </w:trPr>
        <w:tc>
          <w:tcPr>
            <w:tcW w:w="592" w:type="pct"/>
            <w:tcBorders>
              <w:tl2br w:val="nil"/>
              <w:tr2bl w:val="nil"/>
            </w:tcBorders>
            <w:noWrap w:val="0"/>
            <w:vAlign w:val="center"/>
          </w:tcPr>
          <w:p>
            <w:pPr>
              <w:pStyle w:val="35"/>
              <w:bidi w:val="0"/>
              <w:rPr>
                <w:color w:val="auto"/>
              </w:rPr>
            </w:pPr>
            <w:r>
              <w:rPr>
                <w:rFonts w:hint="default"/>
                <w:color w:val="auto"/>
                <w:lang w:val="zh-CN"/>
              </w:rPr>
              <w:t>G</w:t>
            </w:r>
            <w:r>
              <w:rPr>
                <w:rFonts w:hint="eastAsia"/>
                <w:color w:val="auto"/>
                <w:lang w:val="en-US" w:eastAsia="zh-CN"/>
              </w:rPr>
              <w:t>7</w:t>
            </w:r>
            <w:r>
              <w:rPr>
                <w:rFonts w:hint="default"/>
                <w:color w:val="auto"/>
                <w:lang w:val="zh-CN"/>
              </w:rPr>
              <w:t>-1</w:t>
            </w:r>
            <w:r>
              <w:rPr>
                <w:rFonts w:hint="eastAsia"/>
                <w:color w:val="auto"/>
              </w:rPr>
              <w:t>废气</w:t>
            </w:r>
          </w:p>
        </w:tc>
        <w:tc>
          <w:tcPr>
            <w:tcW w:w="1001" w:type="pct"/>
            <w:tcBorders>
              <w:tl2br w:val="nil"/>
              <w:tr2bl w:val="nil"/>
            </w:tcBorders>
            <w:noWrap w:val="0"/>
            <w:vAlign w:val="center"/>
          </w:tcPr>
          <w:p>
            <w:pPr>
              <w:pStyle w:val="35"/>
              <w:bidi w:val="0"/>
              <w:rPr>
                <w:color w:val="auto"/>
              </w:rPr>
            </w:pPr>
            <w:r>
              <w:rPr>
                <w:color w:val="auto"/>
              </w:rPr>
              <w:t>反应釜（罐）及冷凝器排气口</w:t>
            </w:r>
            <w:r>
              <w:rPr>
                <w:rFonts w:hint="eastAsia"/>
                <w:color w:val="auto"/>
                <w:lang w:eastAsia="zh-CN"/>
              </w:rPr>
              <w:t>及真空泵尾气</w:t>
            </w:r>
          </w:p>
        </w:tc>
        <w:tc>
          <w:tcPr>
            <w:tcW w:w="1058" w:type="pct"/>
            <w:tcBorders>
              <w:tl2br w:val="nil"/>
              <w:tr2bl w:val="nil"/>
            </w:tcBorders>
            <w:noWrap w:val="0"/>
            <w:vAlign w:val="center"/>
          </w:tcPr>
          <w:p>
            <w:pPr>
              <w:pStyle w:val="35"/>
              <w:bidi w:val="0"/>
              <w:rPr>
                <w:rFonts w:hint="eastAsia"/>
                <w:color w:val="auto"/>
                <w:lang w:eastAsia="zh-CN"/>
              </w:rPr>
            </w:pPr>
            <w:r>
              <w:rPr>
                <w:rFonts w:hint="eastAsia"/>
                <w:color w:val="auto"/>
              </w:rPr>
              <w:t>二甲苯</w:t>
            </w:r>
            <w:r>
              <w:rPr>
                <w:rFonts w:hint="eastAsia"/>
                <w:color w:val="auto"/>
                <w:lang w:val="en-US" w:eastAsia="zh-CN"/>
              </w:rPr>
              <w:t>、丙烯酸、甲基丙烯酸甲酯、非甲烷总烃</w:t>
            </w:r>
          </w:p>
        </w:tc>
        <w:tc>
          <w:tcPr>
            <w:tcW w:w="688" w:type="pct"/>
            <w:tcBorders>
              <w:tl2br w:val="nil"/>
              <w:tr2bl w:val="nil"/>
            </w:tcBorders>
            <w:noWrap w:val="0"/>
            <w:vAlign w:val="center"/>
          </w:tcPr>
          <w:p>
            <w:pPr>
              <w:pStyle w:val="35"/>
              <w:bidi w:val="0"/>
              <w:rPr>
                <w:color w:val="auto"/>
              </w:rPr>
            </w:pPr>
            <w:r>
              <w:rPr>
                <w:rFonts w:hint="eastAsia"/>
                <w:color w:val="auto"/>
              </w:rPr>
              <w:t>间歇</w:t>
            </w:r>
          </w:p>
        </w:tc>
        <w:tc>
          <w:tcPr>
            <w:tcW w:w="1658" w:type="pct"/>
            <w:tcBorders>
              <w:tl2br w:val="nil"/>
              <w:tr2bl w:val="nil"/>
            </w:tcBorders>
            <w:noWrap w:val="0"/>
            <w:vAlign w:val="center"/>
          </w:tcPr>
          <w:p>
            <w:pPr>
              <w:pStyle w:val="35"/>
              <w:bidi w:val="0"/>
              <w:rPr>
                <w:color w:val="auto"/>
              </w:rPr>
            </w:pPr>
            <w:r>
              <w:rPr>
                <w:rFonts w:hint="eastAsia"/>
                <w:color w:val="auto"/>
                <w:lang w:eastAsia="zh-CN"/>
              </w:rPr>
              <w:t>冷凝</w:t>
            </w:r>
            <w:r>
              <w:rPr>
                <w:rFonts w:hint="eastAsia"/>
                <w:color w:val="auto"/>
                <w:lang w:val="en-US" w:eastAsia="zh-CN"/>
              </w:rPr>
              <w:t>+</w:t>
            </w:r>
            <w:r>
              <w:rPr>
                <w:rFonts w:hint="eastAsia"/>
                <w:color w:val="auto"/>
              </w:rPr>
              <w:t>UV光解+15高排气筒</w:t>
            </w:r>
          </w:p>
        </w:tc>
      </w:tr>
    </w:tbl>
    <w:p>
      <w:pPr>
        <w:pStyle w:val="33"/>
        <w:bidi w:val="0"/>
        <w:rPr>
          <w:b/>
          <w:bCs/>
          <w:color w:val="auto"/>
        </w:rPr>
      </w:pPr>
      <w:r>
        <w:rPr>
          <w:rFonts w:hint="eastAsia"/>
          <w:b/>
          <w:bCs/>
          <w:color w:val="auto"/>
          <w:lang w:eastAsia="zh-CN"/>
        </w:rPr>
        <w:t>（</w:t>
      </w:r>
      <w:r>
        <w:rPr>
          <w:rFonts w:hint="eastAsia"/>
          <w:b/>
          <w:bCs/>
          <w:color w:val="auto"/>
          <w:lang w:val="en-US" w:eastAsia="zh-CN"/>
        </w:rPr>
        <w:t>4</w:t>
      </w:r>
      <w:r>
        <w:rPr>
          <w:rFonts w:hint="eastAsia"/>
          <w:b/>
          <w:bCs/>
          <w:color w:val="auto"/>
          <w:lang w:eastAsia="zh-CN"/>
        </w:rPr>
        <w:t>）</w:t>
      </w:r>
      <w:r>
        <w:rPr>
          <w:rFonts w:hint="eastAsia"/>
          <w:b/>
          <w:bCs/>
          <w:color w:val="auto"/>
        </w:rPr>
        <w:t>环氧地坪涂料生产</w:t>
      </w:r>
    </w:p>
    <w:p>
      <w:pPr>
        <w:pStyle w:val="33"/>
        <w:bidi w:val="0"/>
        <w:rPr>
          <w:color w:val="auto"/>
        </w:rPr>
      </w:pPr>
      <w:r>
        <w:rPr>
          <w:rFonts w:hint="eastAsia"/>
          <w:color w:val="auto"/>
        </w:rPr>
        <w:t>（1）工艺流程</w:t>
      </w:r>
    </w:p>
    <w:p>
      <w:pPr>
        <w:pStyle w:val="33"/>
        <w:bidi w:val="0"/>
        <w:rPr>
          <w:color w:val="auto"/>
        </w:rPr>
      </w:pPr>
      <w:r>
        <w:rPr>
          <w:rFonts w:hint="eastAsia"/>
          <w:color w:val="auto"/>
        </w:rPr>
        <w:t>环氧地坪涂料生产是纯物理混合过程，按批次生产。基本工艺主要由配料---分散---研磨---调和----检验----过滤包装等6工序组成。具体是：各类涂料生产时，按一定比例准确称取所需物料，如环氧树脂（均为外购）、溶剂置于配料罐中，开启搅拌，搅拌均匀后，加入分散剂、流平助剂进行高速分散，着色颜料、填料、助剂等，置于高速分散机内高速搅拌混合均匀，待高速分散均匀后，进入研磨工序，研磨到细度达到工艺要求，再将研磨好的物料输送入调漆罐中，搅拌20-30分钟，加入溶剂进行调和，待成品达到产品要求后，输送到过滤机中过滤，再称重灌装成成品。</w:t>
      </w:r>
    </w:p>
    <w:p>
      <w:pPr>
        <w:pStyle w:val="33"/>
        <w:bidi w:val="0"/>
        <w:rPr>
          <w:color w:val="auto"/>
        </w:rPr>
      </w:pPr>
      <w:r>
        <w:rPr>
          <w:rFonts w:hint="eastAsia"/>
          <w:color w:val="auto"/>
        </w:rPr>
        <w:t>生产过程的物料周转设备：配料罐→过滤器→砂磨机→调和槽→过滤机→灌装机，物料周转设备用溶剂清洗，清洗后的溶剂直接用于物料生产。</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ascii="Times New Roman" w:hAnsi="Times New Roman"/>
          <w:caps w:val="0"/>
          <w:smallCaps w:val="0"/>
          <w:color w:val="auto"/>
          <w:sz w:val="24"/>
          <w:szCs w:val="24"/>
        </w:rPr>
      </w:pPr>
      <w:r>
        <w:rPr>
          <w:rFonts w:ascii="Times New Roman" w:hAnsi="Times New Roman"/>
          <w:caps w:val="0"/>
          <w:smallCaps w:val="0"/>
          <w:color w:val="auto"/>
        </w:rPr>
        <w:object>
          <v:shape id="_x0000_i1032" o:spt="75" type="#_x0000_t75" style="height:329.65pt;width:376.25pt;" o:ole="t" filled="f" o:preferrelative="t" stroked="f" coordsize="21600,21600">
            <v:path/>
            <v:fill on="f" focussize="0,0"/>
            <v:stroke on="f"/>
            <v:imagedata r:id="rId38" o:title=""/>
            <o:lock v:ext="edit" aspectratio="t"/>
            <w10:wrap type="none"/>
            <w10:anchorlock/>
          </v:shape>
          <o:OLEObject Type="Embed" ProgID="Visio.Drawing.11" ShapeID="_x0000_i1032" DrawAspect="Content" ObjectID="_1468075732" r:id="rId37">
            <o:LockedField>false</o:LockedField>
          </o:OLEObject>
        </w:object>
      </w:r>
    </w:p>
    <w:p>
      <w:pPr>
        <w:pStyle w:val="36"/>
        <w:bidi w:val="0"/>
        <w:rPr>
          <w:color w:val="auto"/>
        </w:rPr>
      </w:pPr>
      <w:r>
        <w:rPr>
          <w:rFonts w:hint="eastAsia"/>
          <w:color w:val="auto"/>
        </w:rPr>
        <w:t>图</w:t>
      </w:r>
      <w:r>
        <w:rPr>
          <w:rFonts w:hint="eastAsia"/>
          <w:color w:val="auto"/>
          <w:lang w:val="en-US" w:eastAsia="zh-CN"/>
        </w:rPr>
        <w:t>3.2-11</w:t>
      </w:r>
      <w:r>
        <w:rPr>
          <w:rFonts w:hint="eastAsia"/>
          <w:color w:val="auto"/>
        </w:rPr>
        <w:t xml:space="preserve">  环氧地坪涂料工艺流程及产物环节图</w:t>
      </w:r>
    </w:p>
    <w:p>
      <w:pPr>
        <w:pStyle w:val="33"/>
        <w:bidi w:val="0"/>
        <w:rPr>
          <w:color w:val="auto"/>
        </w:rPr>
      </w:pPr>
      <w:r>
        <w:rPr>
          <w:rFonts w:hint="eastAsia"/>
          <w:color w:val="auto"/>
        </w:rPr>
        <w:t>（2）产污节点</w:t>
      </w:r>
    </w:p>
    <w:p>
      <w:pPr>
        <w:pStyle w:val="33"/>
        <w:bidi w:val="0"/>
        <w:rPr>
          <w:color w:val="auto"/>
        </w:rPr>
      </w:pPr>
      <w:r>
        <w:rPr>
          <w:rFonts w:hint="eastAsia"/>
          <w:color w:val="auto"/>
        </w:rPr>
        <w:t>①分散、研磨、调和、过滤和包装工序产生有机废气，有组织废气经聚集在一起经</w:t>
      </w:r>
      <w:r>
        <w:rPr>
          <w:rFonts w:hint="eastAsia"/>
          <w:color w:val="auto"/>
          <w:lang w:eastAsia="zh-CN"/>
        </w:rPr>
        <w:t>“冷凝</w:t>
      </w:r>
      <w:r>
        <w:rPr>
          <w:rFonts w:hint="eastAsia"/>
          <w:color w:val="auto"/>
          <w:lang w:val="en-US" w:eastAsia="zh-CN"/>
        </w:rPr>
        <w:t>+</w:t>
      </w:r>
      <w:r>
        <w:rPr>
          <w:rFonts w:hint="eastAsia"/>
          <w:color w:val="auto"/>
        </w:rPr>
        <w:t>UV光</w:t>
      </w:r>
      <w:r>
        <w:rPr>
          <w:rFonts w:hint="eastAsia"/>
          <w:color w:val="auto"/>
          <w:lang w:eastAsia="zh-CN"/>
        </w:rPr>
        <w:t>解</w:t>
      </w:r>
      <w:r>
        <w:rPr>
          <w:rFonts w:hint="eastAsia"/>
          <w:color w:val="auto"/>
        </w:rPr>
        <w:t>处理装置</w:t>
      </w:r>
      <w:r>
        <w:rPr>
          <w:rFonts w:hint="eastAsia"/>
          <w:color w:val="auto"/>
          <w:lang w:eastAsia="zh-CN"/>
        </w:rPr>
        <w:t>”</w:t>
      </w:r>
      <w:r>
        <w:rPr>
          <w:rFonts w:hint="eastAsia"/>
          <w:color w:val="auto"/>
        </w:rPr>
        <w:t>处理后</w:t>
      </w:r>
      <w:r>
        <w:rPr>
          <w:rFonts w:hint="eastAsia"/>
          <w:color w:val="auto"/>
          <w:lang w:eastAsia="zh-CN"/>
        </w:rPr>
        <w:t>经</w:t>
      </w:r>
      <w:r>
        <w:rPr>
          <w:rFonts w:hint="eastAsia"/>
          <w:color w:val="auto"/>
        </w:rPr>
        <w:t>排气筒（15m）排放；</w:t>
      </w:r>
    </w:p>
    <w:p>
      <w:pPr>
        <w:pStyle w:val="33"/>
        <w:bidi w:val="0"/>
        <w:rPr>
          <w:color w:val="auto"/>
        </w:rPr>
      </w:pPr>
      <w:r>
        <w:rPr>
          <w:rFonts w:hint="eastAsia"/>
          <w:color w:val="auto"/>
        </w:rPr>
        <w:t>②涂料生产的着色颜料和填料均为固态粉末状，在加入这类物料时有粉尘外溢，粉尘捕集率99%，采用布袋收尘，含尘废气通过同一个排气筒（15m）排放；</w:t>
      </w:r>
    </w:p>
    <w:p>
      <w:pPr>
        <w:pStyle w:val="33"/>
        <w:bidi w:val="0"/>
        <w:rPr>
          <w:color w:val="auto"/>
        </w:rPr>
      </w:pPr>
      <w:r>
        <w:rPr>
          <w:rFonts w:hint="eastAsia"/>
          <w:color w:val="auto"/>
        </w:rPr>
        <w:t>③涂料在配料罐进行配料时需搅拌，搅拌器有噪声污染，砂磨机在研磨过程有噪声污染，调漆时有搅拌，搅拌器有噪声污染；</w:t>
      </w:r>
    </w:p>
    <w:p>
      <w:pPr>
        <w:pStyle w:val="33"/>
        <w:bidi w:val="0"/>
        <w:rPr>
          <w:color w:val="auto"/>
        </w:rPr>
      </w:pPr>
      <w:r>
        <w:rPr>
          <w:rFonts w:hint="eastAsia"/>
          <w:color w:val="auto"/>
        </w:rPr>
        <w:t>④每批次产品将会对产品质量进行检验，将产生有机废气。</w:t>
      </w:r>
    </w:p>
    <w:p>
      <w:pPr>
        <w:pStyle w:val="33"/>
        <w:bidi w:val="0"/>
        <w:rPr>
          <w:color w:val="auto"/>
        </w:rPr>
      </w:pPr>
      <w:r>
        <w:rPr>
          <w:rFonts w:hint="eastAsia"/>
          <w:color w:val="auto"/>
        </w:rPr>
        <w:t>⑤涂料在过滤灌装时有少许残渣。</w:t>
      </w:r>
    </w:p>
    <w:p>
      <w:pPr>
        <w:pStyle w:val="36"/>
        <w:bidi w:val="0"/>
        <w:rPr>
          <w:color w:val="auto"/>
        </w:rPr>
      </w:pPr>
      <w:r>
        <w:rPr>
          <w:color w:val="auto"/>
        </w:rPr>
        <w:t>表</w:t>
      </w:r>
      <w:r>
        <w:rPr>
          <w:rFonts w:hint="eastAsia"/>
          <w:color w:val="auto"/>
          <w:lang w:val="en-US" w:eastAsia="zh-CN"/>
        </w:rPr>
        <w:t>3.2-10</w:t>
      </w:r>
      <w:r>
        <w:rPr>
          <w:color w:val="auto"/>
        </w:rPr>
        <w:t xml:space="preserve">  </w:t>
      </w:r>
      <w:r>
        <w:rPr>
          <w:rFonts w:hint="eastAsia"/>
          <w:color w:val="auto"/>
        </w:rPr>
        <w:t>环氧地坪涂料</w:t>
      </w:r>
      <w:r>
        <w:rPr>
          <w:color w:val="auto"/>
        </w:rPr>
        <w:t>产污环节一览表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80"/>
        <w:gridCol w:w="2321"/>
        <w:gridCol w:w="1663"/>
        <w:gridCol w:w="1191"/>
        <w:gridCol w:w="3155"/>
      </w:tblGrid>
      <w:tr>
        <w:trPr>
          <w:trHeight w:val="357" w:hRule="atLeast"/>
        </w:trPr>
        <w:tc>
          <w:tcPr>
            <w:tcW w:w="620" w:type="pct"/>
            <w:tcBorders>
              <w:tl2br w:val="nil"/>
              <w:tr2bl w:val="nil"/>
            </w:tcBorders>
            <w:noWrap w:val="0"/>
            <w:vAlign w:val="center"/>
          </w:tcPr>
          <w:p>
            <w:pPr>
              <w:pStyle w:val="35"/>
              <w:bidi w:val="0"/>
              <w:rPr>
                <w:b/>
                <w:bCs/>
                <w:color w:val="auto"/>
              </w:rPr>
            </w:pPr>
            <w:r>
              <w:rPr>
                <w:rFonts w:hint="eastAsia"/>
                <w:b/>
                <w:bCs/>
                <w:color w:val="auto"/>
              </w:rPr>
              <w:t>污染类型</w:t>
            </w:r>
          </w:p>
        </w:tc>
        <w:tc>
          <w:tcPr>
            <w:tcW w:w="1220" w:type="pct"/>
            <w:tcBorders>
              <w:tl2br w:val="nil"/>
              <w:tr2bl w:val="nil"/>
            </w:tcBorders>
            <w:noWrap w:val="0"/>
            <w:vAlign w:val="center"/>
          </w:tcPr>
          <w:p>
            <w:pPr>
              <w:pStyle w:val="35"/>
              <w:bidi w:val="0"/>
              <w:rPr>
                <w:b/>
                <w:bCs/>
                <w:color w:val="auto"/>
              </w:rPr>
            </w:pPr>
            <w:r>
              <w:rPr>
                <w:rFonts w:hint="eastAsia"/>
                <w:b/>
                <w:bCs/>
                <w:color w:val="auto"/>
              </w:rPr>
              <w:t>产物环节</w:t>
            </w:r>
          </w:p>
        </w:tc>
        <w:tc>
          <w:tcPr>
            <w:tcW w:w="874" w:type="pct"/>
            <w:tcBorders>
              <w:tl2br w:val="nil"/>
              <w:tr2bl w:val="nil"/>
            </w:tcBorders>
            <w:noWrap w:val="0"/>
            <w:vAlign w:val="center"/>
          </w:tcPr>
          <w:p>
            <w:pPr>
              <w:pStyle w:val="35"/>
              <w:bidi w:val="0"/>
              <w:rPr>
                <w:b/>
                <w:bCs/>
                <w:color w:val="auto"/>
              </w:rPr>
            </w:pPr>
            <w:r>
              <w:rPr>
                <w:rFonts w:hint="eastAsia"/>
                <w:b/>
                <w:bCs/>
                <w:color w:val="auto"/>
              </w:rPr>
              <w:t>产生污染物</w:t>
            </w:r>
          </w:p>
        </w:tc>
        <w:tc>
          <w:tcPr>
            <w:tcW w:w="626" w:type="pct"/>
            <w:tcBorders>
              <w:tl2br w:val="nil"/>
              <w:tr2bl w:val="nil"/>
            </w:tcBorders>
            <w:noWrap w:val="0"/>
            <w:vAlign w:val="center"/>
          </w:tcPr>
          <w:p>
            <w:pPr>
              <w:pStyle w:val="35"/>
              <w:bidi w:val="0"/>
              <w:rPr>
                <w:b/>
                <w:bCs/>
                <w:color w:val="auto"/>
              </w:rPr>
            </w:pPr>
            <w:r>
              <w:rPr>
                <w:rFonts w:hint="eastAsia"/>
                <w:b/>
                <w:bCs/>
                <w:color w:val="auto"/>
              </w:rPr>
              <w:t>产生特点</w:t>
            </w:r>
          </w:p>
        </w:tc>
        <w:tc>
          <w:tcPr>
            <w:tcW w:w="1658" w:type="pct"/>
            <w:tcBorders>
              <w:tl2br w:val="nil"/>
              <w:tr2bl w:val="nil"/>
            </w:tcBorders>
            <w:noWrap w:val="0"/>
            <w:vAlign w:val="center"/>
          </w:tcPr>
          <w:p>
            <w:pPr>
              <w:pStyle w:val="35"/>
              <w:bidi w:val="0"/>
              <w:rPr>
                <w:b/>
                <w:bCs/>
                <w:color w:val="auto"/>
              </w:rPr>
            </w:pPr>
            <w:r>
              <w:rPr>
                <w:rFonts w:hint="eastAsia"/>
                <w:b/>
                <w:bCs/>
                <w:color w:val="auto"/>
              </w:rPr>
              <w:t>去向</w:t>
            </w:r>
          </w:p>
        </w:tc>
      </w:tr>
      <w:tr>
        <w:trPr>
          <w:trHeight w:val="180" w:hRule="atLeast"/>
        </w:trPr>
        <w:tc>
          <w:tcPr>
            <w:tcW w:w="620" w:type="pct"/>
            <w:vMerge w:val="restart"/>
            <w:tcBorders>
              <w:tl2br w:val="nil"/>
              <w:tr2bl w:val="nil"/>
            </w:tcBorders>
            <w:noWrap w:val="0"/>
            <w:vAlign w:val="center"/>
          </w:tcPr>
          <w:p>
            <w:pPr>
              <w:pStyle w:val="35"/>
              <w:bidi w:val="0"/>
              <w:rPr>
                <w:color w:val="auto"/>
              </w:rPr>
            </w:pPr>
            <w:r>
              <w:rPr>
                <w:rFonts w:hint="eastAsia"/>
                <w:color w:val="auto"/>
              </w:rPr>
              <w:t>废气</w:t>
            </w:r>
          </w:p>
        </w:tc>
        <w:tc>
          <w:tcPr>
            <w:tcW w:w="1220" w:type="pct"/>
            <w:tcBorders>
              <w:tl2br w:val="nil"/>
              <w:tr2bl w:val="nil"/>
            </w:tcBorders>
            <w:noWrap w:val="0"/>
            <w:vAlign w:val="center"/>
          </w:tcPr>
          <w:p>
            <w:pPr>
              <w:pStyle w:val="35"/>
              <w:bidi w:val="0"/>
              <w:rPr>
                <w:color w:val="auto"/>
              </w:rPr>
            </w:pPr>
            <w:r>
              <w:rPr>
                <w:rFonts w:hint="eastAsia"/>
                <w:color w:val="auto"/>
              </w:rPr>
              <w:t>G</w:t>
            </w:r>
            <w:r>
              <w:rPr>
                <w:rFonts w:hint="eastAsia"/>
                <w:color w:val="auto"/>
                <w:lang w:val="en-US" w:eastAsia="zh-CN"/>
              </w:rPr>
              <w:t>8</w:t>
            </w:r>
            <w:r>
              <w:rPr>
                <w:rFonts w:hint="eastAsia"/>
                <w:color w:val="auto"/>
              </w:rPr>
              <w:t>-1分散、调和</w:t>
            </w:r>
          </w:p>
        </w:tc>
        <w:tc>
          <w:tcPr>
            <w:tcW w:w="874"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非甲烷总烃</w:t>
            </w:r>
          </w:p>
        </w:tc>
        <w:tc>
          <w:tcPr>
            <w:tcW w:w="626" w:type="pct"/>
            <w:tcBorders>
              <w:tl2br w:val="nil"/>
              <w:tr2bl w:val="nil"/>
            </w:tcBorders>
            <w:noWrap w:val="0"/>
            <w:vAlign w:val="center"/>
          </w:tcPr>
          <w:p>
            <w:pPr>
              <w:pStyle w:val="35"/>
              <w:bidi w:val="0"/>
              <w:rPr>
                <w:color w:val="auto"/>
              </w:rPr>
            </w:pPr>
            <w:r>
              <w:rPr>
                <w:rFonts w:hint="eastAsia"/>
                <w:color w:val="auto"/>
              </w:rPr>
              <w:t>间歇</w:t>
            </w:r>
          </w:p>
        </w:tc>
        <w:tc>
          <w:tcPr>
            <w:tcW w:w="1658" w:type="pct"/>
            <w:tcBorders>
              <w:tl2br w:val="nil"/>
              <w:tr2bl w:val="nil"/>
            </w:tcBorders>
            <w:noWrap w:val="0"/>
            <w:vAlign w:val="center"/>
          </w:tcPr>
          <w:p>
            <w:pPr>
              <w:pStyle w:val="35"/>
              <w:bidi w:val="0"/>
              <w:rPr>
                <w:color w:val="auto"/>
              </w:rPr>
            </w:pPr>
            <w:r>
              <w:rPr>
                <w:rFonts w:hint="eastAsia"/>
                <w:color w:val="auto"/>
                <w:lang w:eastAsia="zh-CN"/>
              </w:rPr>
              <w:t>冷凝</w:t>
            </w:r>
            <w:r>
              <w:rPr>
                <w:rFonts w:hint="eastAsia"/>
                <w:color w:val="auto"/>
                <w:lang w:val="en-US" w:eastAsia="zh-CN"/>
              </w:rPr>
              <w:t>+</w:t>
            </w:r>
            <w:r>
              <w:rPr>
                <w:rFonts w:hint="eastAsia"/>
                <w:color w:val="auto"/>
              </w:rPr>
              <w:t>UV光解+15高排气筒</w:t>
            </w:r>
          </w:p>
        </w:tc>
      </w:tr>
      <w:tr>
        <w:trPr>
          <w:trHeight w:val="165" w:hRule="atLeast"/>
        </w:trPr>
        <w:tc>
          <w:tcPr>
            <w:tcW w:w="620" w:type="pct"/>
            <w:vMerge w:val="continue"/>
            <w:tcBorders>
              <w:tl2br w:val="nil"/>
              <w:tr2bl w:val="nil"/>
            </w:tcBorders>
            <w:noWrap w:val="0"/>
            <w:vAlign w:val="center"/>
          </w:tcPr>
          <w:p>
            <w:pPr>
              <w:pStyle w:val="35"/>
              <w:bidi w:val="0"/>
              <w:rPr>
                <w:color w:val="auto"/>
              </w:rPr>
            </w:pPr>
          </w:p>
        </w:tc>
        <w:tc>
          <w:tcPr>
            <w:tcW w:w="1220" w:type="pct"/>
            <w:tcBorders>
              <w:tl2br w:val="nil"/>
              <w:tr2bl w:val="nil"/>
            </w:tcBorders>
            <w:noWrap w:val="0"/>
            <w:vAlign w:val="center"/>
          </w:tcPr>
          <w:p>
            <w:pPr>
              <w:pStyle w:val="35"/>
              <w:bidi w:val="0"/>
              <w:rPr>
                <w:color w:val="auto"/>
              </w:rPr>
            </w:pPr>
            <w:r>
              <w:rPr>
                <w:rFonts w:hint="eastAsia"/>
                <w:color w:val="auto"/>
              </w:rPr>
              <w:t>G</w:t>
            </w:r>
            <w:r>
              <w:rPr>
                <w:rFonts w:hint="eastAsia"/>
                <w:color w:val="auto"/>
                <w:lang w:val="en-US" w:eastAsia="zh-CN"/>
              </w:rPr>
              <w:t>8</w:t>
            </w:r>
            <w:r>
              <w:rPr>
                <w:rFonts w:hint="eastAsia"/>
                <w:color w:val="auto"/>
              </w:rPr>
              <w:t>-2研磨</w:t>
            </w:r>
          </w:p>
        </w:tc>
        <w:tc>
          <w:tcPr>
            <w:tcW w:w="874" w:type="pct"/>
            <w:tcBorders>
              <w:tl2br w:val="nil"/>
              <w:tr2bl w:val="nil"/>
            </w:tcBorders>
            <w:noWrap w:val="0"/>
            <w:vAlign w:val="center"/>
          </w:tcPr>
          <w:p>
            <w:pPr>
              <w:pStyle w:val="35"/>
              <w:bidi w:val="0"/>
              <w:rPr>
                <w:color w:val="auto"/>
              </w:rPr>
            </w:pPr>
            <w:r>
              <w:rPr>
                <w:rFonts w:hint="eastAsia"/>
                <w:color w:val="auto"/>
              </w:rPr>
              <w:t>颗粒物</w:t>
            </w:r>
          </w:p>
        </w:tc>
        <w:tc>
          <w:tcPr>
            <w:tcW w:w="626" w:type="pct"/>
            <w:tcBorders>
              <w:tl2br w:val="nil"/>
              <w:tr2bl w:val="nil"/>
            </w:tcBorders>
            <w:noWrap w:val="0"/>
            <w:vAlign w:val="center"/>
          </w:tcPr>
          <w:p>
            <w:pPr>
              <w:pStyle w:val="35"/>
              <w:bidi w:val="0"/>
              <w:rPr>
                <w:color w:val="auto"/>
              </w:rPr>
            </w:pPr>
            <w:r>
              <w:rPr>
                <w:rFonts w:hint="eastAsia"/>
                <w:color w:val="auto"/>
              </w:rPr>
              <w:t>间歇</w:t>
            </w:r>
          </w:p>
        </w:tc>
        <w:tc>
          <w:tcPr>
            <w:tcW w:w="1658" w:type="pct"/>
            <w:tcBorders>
              <w:tl2br w:val="nil"/>
              <w:tr2bl w:val="nil"/>
            </w:tcBorders>
            <w:noWrap w:val="0"/>
            <w:vAlign w:val="center"/>
          </w:tcPr>
          <w:p>
            <w:pPr>
              <w:pStyle w:val="35"/>
              <w:bidi w:val="0"/>
              <w:rPr>
                <w:color w:val="auto"/>
              </w:rPr>
            </w:pPr>
            <w:r>
              <w:rPr>
                <w:rFonts w:hint="eastAsia"/>
                <w:color w:val="auto"/>
              </w:rPr>
              <w:t>布袋除尘器</w:t>
            </w:r>
          </w:p>
        </w:tc>
      </w:tr>
      <w:tr>
        <w:trPr>
          <w:trHeight w:val="357" w:hRule="atLeast"/>
        </w:trPr>
        <w:tc>
          <w:tcPr>
            <w:tcW w:w="620" w:type="pct"/>
            <w:tcBorders>
              <w:tl2br w:val="nil"/>
              <w:tr2bl w:val="nil"/>
            </w:tcBorders>
            <w:noWrap w:val="0"/>
            <w:vAlign w:val="center"/>
          </w:tcPr>
          <w:p>
            <w:pPr>
              <w:pStyle w:val="35"/>
              <w:bidi w:val="0"/>
              <w:rPr>
                <w:color w:val="auto"/>
              </w:rPr>
            </w:pPr>
            <w:r>
              <w:rPr>
                <w:rFonts w:hint="eastAsia"/>
                <w:color w:val="auto"/>
              </w:rPr>
              <w:t>固废</w:t>
            </w:r>
          </w:p>
        </w:tc>
        <w:tc>
          <w:tcPr>
            <w:tcW w:w="1220" w:type="pct"/>
            <w:tcBorders>
              <w:tl2br w:val="nil"/>
              <w:tr2bl w:val="nil"/>
            </w:tcBorders>
            <w:noWrap w:val="0"/>
            <w:vAlign w:val="center"/>
          </w:tcPr>
          <w:p>
            <w:pPr>
              <w:pStyle w:val="35"/>
              <w:bidi w:val="0"/>
              <w:rPr>
                <w:color w:val="auto"/>
              </w:rPr>
            </w:pPr>
            <w:r>
              <w:rPr>
                <w:rFonts w:hint="eastAsia"/>
                <w:color w:val="auto"/>
              </w:rPr>
              <w:t>S</w:t>
            </w:r>
            <w:r>
              <w:rPr>
                <w:rFonts w:hint="eastAsia"/>
                <w:color w:val="auto"/>
                <w:lang w:val="en-US" w:eastAsia="zh-CN"/>
              </w:rPr>
              <w:t>8</w:t>
            </w:r>
            <w:r>
              <w:rPr>
                <w:rFonts w:hint="eastAsia"/>
                <w:color w:val="auto"/>
              </w:rPr>
              <w:t>-1滤渣、滤袋</w:t>
            </w:r>
          </w:p>
        </w:tc>
        <w:tc>
          <w:tcPr>
            <w:tcW w:w="874" w:type="pct"/>
            <w:tcBorders>
              <w:tl2br w:val="nil"/>
              <w:tr2bl w:val="nil"/>
            </w:tcBorders>
            <w:noWrap w:val="0"/>
            <w:vAlign w:val="center"/>
          </w:tcPr>
          <w:p>
            <w:pPr>
              <w:pStyle w:val="35"/>
              <w:bidi w:val="0"/>
              <w:rPr>
                <w:color w:val="auto"/>
              </w:rPr>
            </w:pPr>
            <w:r>
              <w:rPr>
                <w:rFonts w:hint="eastAsia"/>
                <w:color w:val="auto"/>
              </w:rPr>
              <w:t>有机物</w:t>
            </w:r>
          </w:p>
        </w:tc>
        <w:tc>
          <w:tcPr>
            <w:tcW w:w="626" w:type="pct"/>
            <w:tcBorders>
              <w:tl2br w:val="nil"/>
              <w:tr2bl w:val="nil"/>
            </w:tcBorders>
            <w:noWrap w:val="0"/>
            <w:vAlign w:val="center"/>
          </w:tcPr>
          <w:p>
            <w:pPr>
              <w:pStyle w:val="35"/>
              <w:bidi w:val="0"/>
              <w:rPr>
                <w:color w:val="auto"/>
              </w:rPr>
            </w:pPr>
            <w:r>
              <w:rPr>
                <w:rFonts w:hint="eastAsia"/>
                <w:color w:val="auto"/>
              </w:rPr>
              <w:t>间歇</w:t>
            </w:r>
          </w:p>
        </w:tc>
        <w:tc>
          <w:tcPr>
            <w:tcW w:w="1658" w:type="pct"/>
            <w:tcBorders>
              <w:tl2br w:val="nil"/>
              <w:tr2bl w:val="nil"/>
            </w:tcBorders>
            <w:noWrap w:val="0"/>
            <w:vAlign w:val="center"/>
          </w:tcPr>
          <w:p>
            <w:pPr>
              <w:pStyle w:val="35"/>
              <w:bidi w:val="0"/>
              <w:rPr>
                <w:color w:val="auto"/>
              </w:rPr>
            </w:pPr>
            <w:r>
              <w:rPr>
                <w:rFonts w:hint="eastAsia"/>
                <w:color w:val="auto"/>
              </w:rPr>
              <w:t>交由资质单位处置。</w:t>
            </w:r>
          </w:p>
        </w:tc>
      </w:tr>
      <w:tr>
        <w:trPr>
          <w:trHeight w:val="357" w:hRule="atLeast"/>
        </w:trPr>
        <w:tc>
          <w:tcPr>
            <w:tcW w:w="620" w:type="pct"/>
            <w:tcBorders>
              <w:tl2br w:val="nil"/>
              <w:tr2bl w:val="nil"/>
            </w:tcBorders>
            <w:noWrap w:val="0"/>
            <w:vAlign w:val="center"/>
          </w:tcPr>
          <w:p>
            <w:pPr>
              <w:pStyle w:val="35"/>
              <w:bidi w:val="0"/>
              <w:rPr>
                <w:color w:val="auto"/>
              </w:rPr>
            </w:pPr>
            <w:r>
              <w:rPr>
                <w:rFonts w:hint="eastAsia"/>
                <w:color w:val="auto"/>
              </w:rPr>
              <w:t>噪声</w:t>
            </w:r>
          </w:p>
        </w:tc>
        <w:tc>
          <w:tcPr>
            <w:tcW w:w="1220" w:type="pct"/>
            <w:tcBorders>
              <w:tl2br w:val="nil"/>
              <w:tr2bl w:val="nil"/>
            </w:tcBorders>
            <w:noWrap w:val="0"/>
            <w:vAlign w:val="center"/>
          </w:tcPr>
          <w:p>
            <w:pPr>
              <w:pStyle w:val="35"/>
              <w:bidi w:val="0"/>
              <w:rPr>
                <w:color w:val="auto"/>
              </w:rPr>
            </w:pPr>
            <w:r>
              <w:rPr>
                <w:rFonts w:hint="eastAsia"/>
                <w:color w:val="auto"/>
              </w:rPr>
              <w:t>N</w:t>
            </w:r>
            <w:r>
              <w:rPr>
                <w:rFonts w:hint="eastAsia"/>
                <w:color w:val="auto"/>
                <w:lang w:val="en-US" w:eastAsia="zh-CN"/>
              </w:rPr>
              <w:t>8</w:t>
            </w:r>
            <w:r>
              <w:rPr>
                <w:rFonts w:hint="eastAsia"/>
                <w:color w:val="auto"/>
              </w:rPr>
              <w:t>-1研磨、搅拌</w:t>
            </w:r>
          </w:p>
        </w:tc>
        <w:tc>
          <w:tcPr>
            <w:tcW w:w="874" w:type="pct"/>
            <w:tcBorders>
              <w:tl2br w:val="nil"/>
              <w:tr2bl w:val="nil"/>
            </w:tcBorders>
            <w:noWrap w:val="0"/>
            <w:vAlign w:val="center"/>
          </w:tcPr>
          <w:p>
            <w:pPr>
              <w:pStyle w:val="35"/>
              <w:bidi w:val="0"/>
              <w:rPr>
                <w:color w:val="auto"/>
              </w:rPr>
            </w:pPr>
            <w:r>
              <w:rPr>
                <w:rFonts w:hint="eastAsia"/>
                <w:color w:val="auto"/>
              </w:rPr>
              <w:t>噪声</w:t>
            </w:r>
          </w:p>
        </w:tc>
        <w:tc>
          <w:tcPr>
            <w:tcW w:w="626" w:type="pct"/>
            <w:tcBorders>
              <w:tl2br w:val="nil"/>
              <w:tr2bl w:val="nil"/>
            </w:tcBorders>
            <w:noWrap w:val="0"/>
            <w:vAlign w:val="center"/>
          </w:tcPr>
          <w:p>
            <w:pPr>
              <w:pStyle w:val="35"/>
              <w:bidi w:val="0"/>
              <w:rPr>
                <w:color w:val="auto"/>
              </w:rPr>
            </w:pPr>
            <w:r>
              <w:rPr>
                <w:rFonts w:hint="eastAsia"/>
                <w:color w:val="auto"/>
              </w:rPr>
              <w:t>间歇</w:t>
            </w:r>
          </w:p>
        </w:tc>
        <w:tc>
          <w:tcPr>
            <w:tcW w:w="1658" w:type="pct"/>
            <w:tcBorders>
              <w:tl2br w:val="nil"/>
              <w:tr2bl w:val="nil"/>
            </w:tcBorders>
            <w:noWrap w:val="0"/>
            <w:vAlign w:val="center"/>
          </w:tcPr>
          <w:p>
            <w:pPr>
              <w:pStyle w:val="35"/>
              <w:bidi w:val="0"/>
              <w:rPr>
                <w:color w:val="auto"/>
              </w:rPr>
            </w:pPr>
            <w:r>
              <w:rPr>
                <w:rFonts w:hint="eastAsia"/>
                <w:color w:val="auto"/>
              </w:rPr>
              <w:t>区域声环境</w:t>
            </w:r>
          </w:p>
        </w:tc>
      </w:tr>
    </w:tbl>
    <w:p>
      <w:pPr>
        <w:pStyle w:val="31"/>
        <w:bidi w:val="0"/>
        <w:rPr>
          <w:rFonts w:hint="default"/>
          <w:color w:val="auto"/>
          <w:lang w:val="en-US" w:eastAsia="zh-CN"/>
        </w:rPr>
      </w:pPr>
      <w:bookmarkStart w:id="49" w:name="_Toc30027"/>
      <w:bookmarkStart w:id="50" w:name="_Toc29740"/>
      <w:r>
        <w:rPr>
          <w:rFonts w:hint="eastAsia"/>
          <w:color w:val="auto"/>
          <w:lang w:val="en-US" w:eastAsia="zh-CN"/>
        </w:rPr>
        <w:t>3.3现有工程主要污染源及防治措施</w:t>
      </w:r>
      <w:bookmarkEnd w:id="49"/>
      <w:bookmarkEnd w:id="50"/>
    </w:p>
    <w:p>
      <w:pPr>
        <w:pStyle w:val="33"/>
        <w:bidi w:val="0"/>
        <w:rPr>
          <w:rFonts w:ascii="Times New Roman" w:hAnsi="Times New Roman"/>
          <w:caps w:val="0"/>
          <w:smallCaps w:val="0"/>
          <w:color w:val="auto"/>
        </w:rPr>
      </w:pPr>
      <w:bookmarkStart w:id="51" w:name="_Toc25299"/>
      <w:r>
        <w:rPr>
          <w:rFonts w:hint="eastAsia" w:ascii="Times New Roman" w:hAnsi="Times New Roman"/>
          <w:caps w:val="0"/>
          <w:smallCaps w:val="0"/>
          <w:color w:val="auto"/>
        </w:rPr>
        <w:t>数据来源于厂方提供的数据、《岳阳市凌峰化工有限公司整体迁建项目环境影响评价报告书（报批稿）》（广州市环境保护工程设计院有限公司，2012年）、《60t/a对甲苯磺酸巴马丁生产装置建设项目环境影响报告书（报批稿）》（南京科弘环保技术有限责任公司，2013年）及验收监测报告（湖南永蓝技术检测有限公司，2014年）。湖南汨江检测有限公司对岳阳凌峰化工有限公司2020年第四季度日常检测数据</w:t>
      </w:r>
      <w:r>
        <w:rPr>
          <w:rFonts w:hint="eastAsia" w:ascii="Times New Roman" w:hAnsi="Times New Roman" w:cs="Times New Roman"/>
          <w:color w:val="auto"/>
        </w:rPr>
        <w:t>（</w:t>
      </w:r>
      <w:r>
        <w:rPr>
          <w:rFonts w:hint="eastAsia" w:ascii="Times New Roman" w:hAnsi="Times New Roman" w:cs="Times New Roman"/>
          <w:color w:val="auto"/>
          <w:lang w:val="en-US" w:eastAsia="zh-CN"/>
        </w:rPr>
        <w:t>MJJC2011006A</w:t>
      </w:r>
      <w:r>
        <w:rPr>
          <w:rFonts w:hint="eastAsia" w:ascii="Times New Roman" w:hAnsi="Times New Roman" w:cs="Times New Roman"/>
          <w:color w:val="auto"/>
        </w:rPr>
        <w:t>监测报告）</w:t>
      </w:r>
      <w:r>
        <w:rPr>
          <w:rFonts w:hint="eastAsia" w:ascii="Times New Roman" w:hAnsi="Times New Roman"/>
          <w:caps w:val="0"/>
          <w:smallCaps w:val="0"/>
          <w:color w:val="auto"/>
        </w:rPr>
        <w:t>。</w:t>
      </w:r>
    </w:p>
    <w:p>
      <w:pPr>
        <w:pStyle w:val="32"/>
        <w:bidi w:val="0"/>
        <w:rPr>
          <w:rFonts w:hint="default"/>
          <w:color w:val="auto"/>
          <w:lang w:val="en-US" w:eastAsia="zh-CN"/>
        </w:rPr>
      </w:pPr>
      <w:r>
        <w:rPr>
          <w:rFonts w:hint="eastAsia"/>
          <w:color w:val="auto"/>
          <w:lang w:val="en-US" w:eastAsia="zh-CN"/>
        </w:rPr>
        <w:t>3</w:t>
      </w:r>
      <w:r>
        <w:rPr>
          <w:rFonts w:hint="eastAsia"/>
          <w:color w:val="auto"/>
        </w:rPr>
        <w:t>.</w:t>
      </w:r>
      <w:r>
        <w:rPr>
          <w:rFonts w:hint="eastAsia"/>
          <w:color w:val="auto"/>
          <w:lang w:val="en-US" w:eastAsia="zh-CN"/>
        </w:rPr>
        <w:t>3</w:t>
      </w:r>
      <w:r>
        <w:rPr>
          <w:rFonts w:hint="eastAsia"/>
          <w:color w:val="auto"/>
        </w:rPr>
        <w:t>.1废气</w:t>
      </w:r>
      <w:bookmarkEnd w:id="51"/>
    </w:p>
    <w:p>
      <w:pPr>
        <w:pStyle w:val="33"/>
        <w:bidi w:val="0"/>
        <w:rPr>
          <w:rFonts w:hint="eastAsia"/>
          <w:b/>
          <w:bCs/>
          <w:color w:val="auto"/>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lang w:val="en-US" w:eastAsia="zh-CN"/>
        </w:rPr>
        <w:t>有组织排放</w:t>
      </w:r>
    </w:p>
    <w:p>
      <w:pPr>
        <w:pStyle w:val="33"/>
        <w:bidi w:val="0"/>
        <w:rPr>
          <w:rFonts w:hint="default"/>
          <w:color w:val="auto"/>
          <w:lang w:val="en-US" w:eastAsia="zh-CN"/>
        </w:rPr>
      </w:pPr>
      <w:r>
        <w:rPr>
          <w:rFonts w:hint="eastAsia"/>
          <w:color w:val="auto"/>
          <w:lang w:val="en-US" w:eastAsia="zh-CN"/>
        </w:rPr>
        <w:t>现有工程有组织废气主要包括一期</w:t>
      </w:r>
      <w:r>
        <w:rPr>
          <w:color w:val="auto"/>
        </w:rPr>
        <w:t>蒸馏、初精馏过程中排放的不能冷凝废气</w:t>
      </w:r>
      <w:r>
        <w:rPr>
          <w:rFonts w:hint="eastAsia"/>
          <w:color w:val="auto"/>
          <w:lang w:val="en-US" w:eastAsia="zh-CN"/>
        </w:rPr>
        <w:t>，二期车间有机废气和研磨工序粉尘。</w:t>
      </w:r>
    </w:p>
    <w:p>
      <w:pPr>
        <w:pStyle w:val="33"/>
        <w:bidi w:val="0"/>
        <w:rPr>
          <w:rFonts w:hint="eastAsia" w:ascii="Times New Roman" w:hAnsi="Times New Roman"/>
          <w:b w:val="0"/>
          <w:bCs w:val="0"/>
          <w:caps w:val="0"/>
          <w:smallCaps w:val="0"/>
          <w:color w:val="auto"/>
          <w:sz w:val="24"/>
          <w:szCs w:val="24"/>
          <w:u w:val="none"/>
          <w:lang w:eastAsia="zh-CN"/>
        </w:rPr>
      </w:pPr>
      <w:r>
        <w:rPr>
          <w:rFonts w:hint="eastAsia" w:ascii="Times New Roman" w:hAnsi="Times New Roman"/>
          <w:b w:val="0"/>
          <w:bCs w:val="0"/>
          <w:caps w:val="0"/>
          <w:smallCaps w:val="0"/>
          <w:color w:val="auto"/>
          <w:sz w:val="24"/>
          <w:szCs w:val="24"/>
          <w:u w:val="none"/>
          <w:lang w:val="en-US" w:eastAsia="zh-CN"/>
        </w:rPr>
        <w:t>一期车间，包括二氯丙烷，苯乙烯、环己酮、环己烷苯乙烯、燃料油生产工艺和</w:t>
      </w:r>
      <w:r>
        <w:rPr>
          <w:rFonts w:hint="eastAsia" w:ascii="Times New Roman" w:hAnsi="Times New Roman"/>
          <w:b w:val="0"/>
          <w:bCs w:val="0"/>
          <w:caps w:val="0"/>
          <w:smallCaps w:val="0"/>
          <w:color w:val="auto"/>
          <w:sz w:val="24"/>
          <w:szCs w:val="24"/>
          <w:u w:val="none"/>
          <w:lang w:eastAsia="zh-CN"/>
        </w:rPr>
        <w:t>改扩建后二氯丙烷生产线、环氧树脂固化剂生产线（</w:t>
      </w:r>
      <w:r>
        <w:rPr>
          <w:rFonts w:hint="eastAsia" w:ascii="Times New Roman" w:hAnsi="Times New Roman"/>
          <w:b w:val="0"/>
          <w:bCs w:val="0"/>
          <w:caps w:val="0"/>
          <w:smallCaps w:val="0"/>
          <w:color w:val="auto"/>
          <w:sz w:val="24"/>
          <w:szCs w:val="24"/>
          <w:u w:val="none"/>
          <w:lang w:val="en-US" w:eastAsia="zh-CN"/>
        </w:rPr>
        <w:t>二期建设项目依托一期建设项目生产线</w:t>
      </w:r>
      <w:r>
        <w:rPr>
          <w:rFonts w:hint="eastAsia" w:ascii="Times New Roman" w:hAnsi="Times New Roman"/>
          <w:b w:val="0"/>
          <w:bCs w:val="0"/>
          <w:caps w:val="0"/>
          <w:smallCaps w:val="0"/>
          <w:color w:val="auto"/>
          <w:sz w:val="24"/>
          <w:szCs w:val="24"/>
          <w:u w:val="none"/>
          <w:lang w:eastAsia="zh-CN"/>
        </w:rPr>
        <w:t>）</w:t>
      </w:r>
      <w:r>
        <w:rPr>
          <w:rFonts w:hint="eastAsia" w:ascii="Times New Roman" w:hAnsi="Times New Roman"/>
          <w:b w:val="0"/>
          <w:bCs w:val="0"/>
          <w:caps w:val="0"/>
          <w:smallCaps w:val="0"/>
          <w:color w:val="auto"/>
          <w:sz w:val="24"/>
          <w:szCs w:val="24"/>
          <w:u w:val="none"/>
          <w:lang w:val="en-US" w:eastAsia="zh-CN"/>
        </w:rPr>
        <w:t>主要废气</w:t>
      </w:r>
      <w:r>
        <w:rPr>
          <w:rFonts w:hint="eastAsia" w:ascii="Times New Roman" w:hAnsi="Times New Roman"/>
          <w:b w:val="0"/>
          <w:bCs w:val="0"/>
          <w:caps w:val="0"/>
          <w:smallCaps w:val="0"/>
          <w:color w:val="auto"/>
          <w:sz w:val="24"/>
          <w:szCs w:val="24"/>
          <w:u w:val="none"/>
          <w:lang w:eastAsia="zh-CN"/>
        </w:rPr>
        <w:t>包括：蒸馏与初馏过程中不冷凝废气、</w:t>
      </w:r>
      <w:r>
        <w:rPr>
          <w:rFonts w:hint="eastAsia" w:ascii="Times New Roman" w:hAnsi="Times New Roman" w:eastAsia="宋体" w:cs="宋体"/>
          <w:b w:val="0"/>
          <w:bCs w:val="0"/>
          <w:i w:val="0"/>
          <w:caps w:val="0"/>
          <w:smallCaps w:val="0"/>
          <w:color w:val="auto"/>
          <w:kern w:val="0"/>
          <w:sz w:val="24"/>
          <w:szCs w:val="24"/>
          <w:u w:val="none"/>
          <w:lang w:val="en-US" w:eastAsia="zh-CN" w:bidi="ar"/>
        </w:rPr>
        <w:t>二氯丙烷生产线废气、T-31</w:t>
      </w:r>
      <w:r>
        <w:rPr>
          <w:rFonts w:ascii="Times New Roman" w:hAnsi="Times New Roman" w:eastAsia="宋体" w:cs="Calibri"/>
          <w:b w:val="0"/>
          <w:bCs w:val="0"/>
          <w:i w:val="0"/>
          <w:caps w:val="0"/>
          <w:smallCaps w:val="0"/>
          <w:color w:val="auto"/>
          <w:kern w:val="0"/>
          <w:sz w:val="24"/>
          <w:szCs w:val="24"/>
          <w:u w:val="none"/>
          <w:lang w:val="en-US" w:eastAsia="zh-CN" w:bidi="ar"/>
        </w:rPr>
        <w:t>固化剂生产装置</w:t>
      </w:r>
      <w:r>
        <w:rPr>
          <w:rFonts w:hint="eastAsia" w:ascii="Times New Roman" w:hAnsi="Times New Roman" w:eastAsia="宋体" w:cs="Calibri"/>
          <w:b w:val="0"/>
          <w:bCs w:val="0"/>
          <w:i w:val="0"/>
          <w:caps w:val="0"/>
          <w:smallCaps w:val="0"/>
          <w:color w:val="auto"/>
          <w:kern w:val="0"/>
          <w:sz w:val="24"/>
          <w:szCs w:val="24"/>
          <w:u w:val="none"/>
          <w:lang w:val="en-US" w:eastAsia="zh-CN" w:bidi="ar"/>
        </w:rPr>
        <w:t>废气</w:t>
      </w:r>
      <w:r>
        <w:rPr>
          <w:rFonts w:hint="eastAsia" w:ascii="Times New Roman" w:hAnsi="Times New Roman" w:eastAsia="宋体" w:cs="宋体"/>
          <w:b w:val="0"/>
          <w:bCs w:val="0"/>
          <w:i w:val="0"/>
          <w:caps w:val="0"/>
          <w:smallCaps w:val="0"/>
          <w:color w:val="auto"/>
          <w:kern w:val="0"/>
          <w:sz w:val="24"/>
          <w:szCs w:val="24"/>
          <w:u w:val="none"/>
          <w:lang w:val="en-US" w:eastAsia="zh-CN" w:bidi="ar"/>
        </w:rPr>
        <w:t>、593</w:t>
      </w:r>
      <w:r>
        <w:rPr>
          <w:rFonts w:ascii="Times New Roman" w:hAnsi="Times New Roman" w:eastAsia="宋体" w:cs="Calibri"/>
          <w:b w:val="0"/>
          <w:bCs w:val="0"/>
          <w:i w:val="0"/>
          <w:caps w:val="0"/>
          <w:smallCaps w:val="0"/>
          <w:color w:val="auto"/>
          <w:kern w:val="0"/>
          <w:sz w:val="24"/>
          <w:szCs w:val="24"/>
          <w:u w:val="none"/>
          <w:lang w:val="en-US" w:eastAsia="zh-CN" w:bidi="ar"/>
        </w:rPr>
        <w:t>固化剂生产装置</w:t>
      </w:r>
      <w:r>
        <w:rPr>
          <w:rFonts w:hint="eastAsia" w:ascii="Times New Roman" w:hAnsi="Times New Roman" w:eastAsia="宋体" w:cs="Calibri"/>
          <w:b w:val="0"/>
          <w:bCs w:val="0"/>
          <w:i w:val="0"/>
          <w:caps w:val="0"/>
          <w:smallCaps w:val="0"/>
          <w:color w:val="auto"/>
          <w:kern w:val="0"/>
          <w:sz w:val="24"/>
          <w:szCs w:val="24"/>
          <w:u w:val="none"/>
          <w:lang w:val="en-US" w:eastAsia="zh-CN" w:bidi="ar"/>
        </w:rPr>
        <w:t>废气</w:t>
      </w:r>
      <w:r>
        <w:rPr>
          <w:rFonts w:hint="eastAsia" w:ascii="Times New Roman" w:hAnsi="Times New Roman" w:eastAsia="宋体" w:cs="宋体"/>
          <w:b w:val="0"/>
          <w:bCs w:val="0"/>
          <w:i w:val="0"/>
          <w:caps w:val="0"/>
          <w:smallCaps w:val="0"/>
          <w:color w:val="auto"/>
          <w:kern w:val="0"/>
          <w:sz w:val="24"/>
          <w:szCs w:val="24"/>
          <w:u w:val="none"/>
          <w:lang w:val="en-US" w:eastAsia="zh-CN" w:bidi="ar"/>
        </w:rPr>
        <w:t>、改性胺固化剂生产装置废气</w:t>
      </w:r>
      <w:r>
        <w:rPr>
          <w:rFonts w:hint="eastAsia" w:ascii="Times New Roman" w:hAnsi="Times New Roman"/>
          <w:b w:val="0"/>
          <w:bCs w:val="0"/>
          <w:caps w:val="0"/>
          <w:smallCaps w:val="0"/>
          <w:color w:val="auto"/>
          <w:sz w:val="24"/>
          <w:szCs w:val="24"/>
          <w:u w:val="none"/>
          <w:lang w:eastAsia="zh-CN"/>
        </w:rPr>
        <w:t>，各工序废气经</w:t>
      </w:r>
      <w:r>
        <w:rPr>
          <w:rFonts w:hint="eastAsia" w:ascii="Times New Roman" w:hAnsi="Times New Roman"/>
          <w:b w:val="0"/>
          <w:bCs w:val="0"/>
          <w:caps w:val="0"/>
          <w:smallCaps w:val="0"/>
          <w:color w:val="auto"/>
          <w:sz w:val="24"/>
          <w:szCs w:val="24"/>
          <w:u w:val="none"/>
        </w:rPr>
        <w:t>集气罩收集，收集率为90%，</w:t>
      </w:r>
      <w:r>
        <w:rPr>
          <w:rFonts w:hint="eastAsia" w:ascii="Times New Roman" w:hAnsi="Times New Roman"/>
          <w:b w:val="0"/>
          <w:bCs w:val="0"/>
          <w:caps w:val="0"/>
          <w:smallCaps w:val="0"/>
          <w:color w:val="auto"/>
          <w:sz w:val="24"/>
          <w:szCs w:val="24"/>
          <w:u w:val="none"/>
          <w:lang w:val="en-US" w:eastAsia="zh-CN"/>
        </w:rPr>
        <w:t>通过主输气管道送</w:t>
      </w:r>
      <w:r>
        <w:rPr>
          <w:rFonts w:hint="eastAsia" w:ascii="Times New Roman" w:hAnsi="Times New Roman"/>
          <w:b w:val="0"/>
          <w:bCs w:val="0"/>
          <w:caps w:val="0"/>
          <w:smallCaps w:val="0"/>
          <w:color w:val="auto"/>
          <w:sz w:val="24"/>
          <w:szCs w:val="24"/>
          <w:u w:val="none"/>
        </w:rPr>
        <w:t>入</w:t>
      </w:r>
      <w:r>
        <w:rPr>
          <w:rFonts w:hint="eastAsia" w:ascii="Times New Roman" w:hAnsi="Times New Roman" w:cs="Times New Roman"/>
          <w:b w:val="0"/>
          <w:bCs w:val="0"/>
          <w:caps w:val="0"/>
          <w:smallCaps w:val="0"/>
          <w:color w:val="auto"/>
          <w:sz w:val="24"/>
          <w:szCs w:val="24"/>
          <w:u w:val="none"/>
          <w:lang w:val="en-US" w:eastAsia="zh-CN"/>
        </w:rPr>
        <w:t>“冷凝处理+碱液喷淋＋炭吸附”进行</w:t>
      </w:r>
      <w:r>
        <w:rPr>
          <w:rFonts w:hint="eastAsia" w:ascii="Times New Roman" w:hAnsi="Times New Roman"/>
          <w:b w:val="0"/>
          <w:bCs w:val="0"/>
          <w:caps w:val="0"/>
          <w:smallCaps w:val="0"/>
          <w:color w:val="auto"/>
          <w:sz w:val="24"/>
          <w:szCs w:val="24"/>
          <w:u w:val="none"/>
        </w:rPr>
        <w:t>处理，</w:t>
      </w:r>
      <w:r>
        <w:rPr>
          <w:rFonts w:hint="eastAsia" w:ascii="Times New Roman" w:hAnsi="Times New Roman"/>
          <w:b w:val="0"/>
          <w:bCs w:val="0"/>
          <w:caps w:val="0"/>
          <w:smallCaps w:val="0"/>
          <w:color w:val="auto"/>
          <w:sz w:val="24"/>
          <w:szCs w:val="24"/>
          <w:u w:val="none"/>
          <w:lang w:eastAsia="zh-CN"/>
        </w:rPr>
        <w:t>氯化氢、非甲烷总烃去除</w:t>
      </w:r>
      <w:r>
        <w:rPr>
          <w:rFonts w:hint="eastAsia" w:ascii="Times New Roman" w:hAnsi="Times New Roman"/>
          <w:b w:val="0"/>
          <w:bCs w:val="0"/>
          <w:caps w:val="0"/>
          <w:smallCaps w:val="0"/>
          <w:color w:val="auto"/>
          <w:sz w:val="24"/>
          <w:szCs w:val="24"/>
          <w:u w:val="none"/>
        </w:rPr>
        <w:t>效率</w:t>
      </w:r>
      <w:r>
        <w:rPr>
          <w:rFonts w:hint="eastAsia" w:ascii="Times New Roman" w:hAnsi="Times New Roman"/>
          <w:b w:val="0"/>
          <w:bCs w:val="0"/>
          <w:caps w:val="0"/>
          <w:smallCaps w:val="0"/>
          <w:color w:val="auto"/>
          <w:sz w:val="24"/>
          <w:szCs w:val="24"/>
          <w:u w:val="none"/>
          <w:lang w:eastAsia="zh-CN"/>
        </w:rPr>
        <w:t>达</w:t>
      </w:r>
      <w:r>
        <w:rPr>
          <w:rFonts w:hint="eastAsia" w:ascii="Times New Roman" w:hAnsi="Times New Roman"/>
          <w:b w:val="0"/>
          <w:bCs w:val="0"/>
          <w:caps w:val="0"/>
          <w:smallCaps w:val="0"/>
          <w:color w:val="auto"/>
          <w:sz w:val="24"/>
          <w:szCs w:val="24"/>
          <w:u w:val="none"/>
        </w:rPr>
        <w:t>9</w:t>
      </w:r>
      <w:r>
        <w:rPr>
          <w:rFonts w:hint="eastAsia" w:ascii="Times New Roman" w:hAnsi="Times New Roman"/>
          <w:b w:val="0"/>
          <w:bCs w:val="0"/>
          <w:caps w:val="0"/>
          <w:smallCaps w:val="0"/>
          <w:color w:val="auto"/>
          <w:sz w:val="24"/>
          <w:szCs w:val="24"/>
          <w:u w:val="none"/>
          <w:lang w:val="en-US" w:eastAsia="zh-CN"/>
        </w:rPr>
        <w:t>5</w:t>
      </w:r>
      <w:r>
        <w:rPr>
          <w:rFonts w:hint="eastAsia" w:ascii="Times New Roman" w:hAnsi="Times New Roman"/>
          <w:b w:val="0"/>
          <w:bCs w:val="0"/>
          <w:caps w:val="0"/>
          <w:smallCaps w:val="0"/>
          <w:color w:val="auto"/>
          <w:sz w:val="24"/>
          <w:szCs w:val="24"/>
          <w:u w:val="none"/>
        </w:rPr>
        <w:t>%</w:t>
      </w:r>
      <w:r>
        <w:rPr>
          <w:rFonts w:hint="eastAsia" w:ascii="Times New Roman" w:hAnsi="Times New Roman"/>
          <w:b w:val="0"/>
          <w:bCs w:val="0"/>
          <w:caps w:val="0"/>
          <w:smallCaps w:val="0"/>
          <w:color w:val="auto"/>
          <w:sz w:val="24"/>
          <w:szCs w:val="24"/>
          <w:u w:val="none"/>
          <w:lang w:eastAsia="zh-CN"/>
        </w:rPr>
        <w:t>以上、甲醇、甲醛、酚类、</w:t>
      </w:r>
      <w:r>
        <w:rPr>
          <w:rFonts w:hint="eastAsia" w:ascii="Times New Roman" w:hAnsi="Times New Roman"/>
          <w:b w:val="0"/>
          <w:bCs w:val="0"/>
          <w:caps w:val="0"/>
          <w:smallCaps w:val="0"/>
          <w:color w:val="auto"/>
          <w:sz w:val="24"/>
          <w:szCs w:val="24"/>
          <w:u w:val="none"/>
          <w:lang w:val="en-US" w:eastAsia="zh-CN"/>
        </w:rPr>
        <w:t>1，2二氯丙烷</w:t>
      </w:r>
      <w:r>
        <w:rPr>
          <w:rFonts w:hint="eastAsia" w:ascii="Times New Roman" w:hAnsi="Times New Roman"/>
          <w:b w:val="0"/>
          <w:bCs w:val="0"/>
          <w:caps w:val="0"/>
          <w:smallCaps w:val="0"/>
          <w:color w:val="auto"/>
          <w:sz w:val="24"/>
          <w:szCs w:val="24"/>
          <w:u w:val="none"/>
          <w:lang w:eastAsia="zh-CN"/>
        </w:rPr>
        <w:t>去除</w:t>
      </w:r>
      <w:r>
        <w:rPr>
          <w:rFonts w:hint="eastAsia" w:ascii="Times New Roman" w:hAnsi="Times New Roman"/>
          <w:b w:val="0"/>
          <w:bCs w:val="0"/>
          <w:caps w:val="0"/>
          <w:smallCaps w:val="0"/>
          <w:color w:val="auto"/>
          <w:sz w:val="24"/>
          <w:szCs w:val="24"/>
          <w:u w:val="none"/>
        </w:rPr>
        <w:t>效率</w:t>
      </w:r>
      <w:r>
        <w:rPr>
          <w:rFonts w:hint="eastAsia" w:ascii="Times New Roman" w:hAnsi="Times New Roman"/>
          <w:b w:val="0"/>
          <w:bCs w:val="0"/>
          <w:caps w:val="0"/>
          <w:smallCaps w:val="0"/>
          <w:color w:val="auto"/>
          <w:sz w:val="24"/>
          <w:szCs w:val="24"/>
          <w:u w:val="none"/>
          <w:lang w:eastAsia="zh-CN"/>
        </w:rPr>
        <w:t>达</w:t>
      </w:r>
      <w:r>
        <w:rPr>
          <w:rFonts w:hint="eastAsia" w:ascii="Times New Roman" w:hAnsi="Times New Roman"/>
          <w:b w:val="0"/>
          <w:bCs w:val="0"/>
          <w:caps w:val="0"/>
          <w:smallCaps w:val="0"/>
          <w:color w:val="auto"/>
          <w:sz w:val="24"/>
          <w:szCs w:val="24"/>
          <w:u w:val="none"/>
        </w:rPr>
        <w:t>9</w:t>
      </w:r>
      <w:r>
        <w:rPr>
          <w:rFonts w:hint="eastAsia" w:ascii="Times New Roman" w:hAnsi="Times New Roman"/>
          <w:b w:val="0"/>
          <w:bCs w:val="0"/>
          <w:caps w:val="0"/>
          <w:smallCaps w:val="0"/>
          <w:color w:val="auto"/>
          <w:sz w:val="24"/>
          <w:szCs w:val="24"/>
          <w:u w:val="none"/>
          <w:lang w:val="en-US" w:eastAsia="zh-CN"/>
        </w:rPr>
        <w:t>0</w:t>
      </w:r>
      <w:r>
        <w:rPr>
          <w:rFonts w:hint="eastAsia" w:ascii="Times New Roman" w:hAnsi="Times New Roman"/>
          <w:b w:val="0"/>
          <w:bCs w:val="0"/>
          <w:caps w:val="0"/>
          <w:smallCaps w:val="0"/>
          <w:color w:val="auto"/>
          <w:sz w:val="24"/>
          <w:szCs w:val="24"/>
          <w:u w:val="none"/>
        </w:rPr>
        <w:t>%</w:t>
      </w:r>
      <w:r>
        <w:rPr>
          <w:rFonts w:hint="eastAsia" w:ascii="Times New Roman" w:hAnsi="Times New Roman"/>
          <w:b w:val="0"/>
          <w:bCs w:val="0"/>
          <w:caps w:val="0"/>
          <w:smallCaps w:val="0"/>
          <w:color w:val="auto"/>
          <w:sz w:val="24"/>
          <w:szCs w:val="24"/>
          <w:u w:val="none"/>
          <w:lang w:eastAsia="zh-CN"/>
        </w:rPr>
        <w:t>以上，经处理达标后统一经现有</w:t>
      </w:r>
      <w:r>
        <w:rPr>
          <w:rFonts w:hint="eastAsia" w:ascii="Times New Roman" w:hAnsi="Times New Roman"/>
          <w:b w:val="0"/>
          <w:bCs w:val="0"/>
          <w:caps w:val="0"/>
          <w:smallCaps w:val="0"/>
          <w:color w:val="auto"/>
          <w:sz w:val="24"/>
          <w:szCs w:val="24"/>
          <w:u w:val="none"/>
          <w:lang w:val="en-US" w:eastAsia="zh-CN"/>
        </w:rPr>
        <w:t>20米高排气筒排放，</w:t>
      </w:r>
      <w:r>
        <w:rPr>
          <w:rFonts w:hint="eastAsia" w:ascii="Times New Roman" w:hAnsi="Times New Roman"/>
          <w:b w:val="0"/>
          <w:bCs w:val="0"/>
          <w:caps w:val="0"/>
          <w:smallCaps w:val="0"/>
          <w:color w:val="auto"/>
          <w:sz w:val="24"/>
          <w:szCs w:val="24"/>
          <w:u w:val="none"/>
        </w:rPr>
        <w:t>排风量为</w:t>
      </w:r>
      <w:r>
        <w:rPr>
          <w:rFonts w:hint="eastAsia"/>
          <w:b w:val="0"/>
          <w:bCs w:val="0"/>
          <w:caps w:val="0"/>
          <w:smallCaps w:val="0"/>
          <w:color w:val="auto"/>
          <w:sz w:val="24"/>
          <w:szCs w:val="24"/>
          <w:u w:val="none"/>
          <w:lang w:val="en-US" w:eastAsia="zh-CN"/>
        </w:rPr>
        <w:t>20</w:t>
      </w:r>
      <w:r>
        <w:rPr>
          <w:rFonts w:hint="eastAsia" w:ascii="Times New Roman" w:hAnsi="Times New Roman"/>
          <w:b w:val="0"/>
          <w:bCs w:val="0"/>
          <w:caps w:val="0"/>
          <w:smallCaps w:val="0"/>
          <w:color w:val="auto"/>
          <w:sz w:val="24"/>
          <w:szCs w:val="24"/>
          <w:u w:val="none"/>
        </w:rPr>
        <w:t>00m</w:t>
      </w:r>
      <w:r>
        <w:rPr>
          <w:rFonts w:hint="eastAsia" w:ascii="Times New Roman" w:hAnsi="Times New Roman"/>
          <w:b w:val="0"/>
          <w:bCs w:val="0"/>
          <w:caps w:val="0"/>
          <w:smallCaps w:val="0"/>
          <w:color w:val="auto"/>
          <w:sz w:val="24"/>
          <w:szCs w:val="24"/>
          <w:u w:val="none"/>
          <w:vertAlign w:val="superscript"/>
        </w:rPr>
        <w:t>3</w:t>
      </w:r>
      <w:r>
        <w:rPr>
          <w:rFonts w:hint="eastAsia" w:ascii="Times New Roman" w:hAnsi="Times New Roman"/>
          <w:b w:val="0"/>
          <w:bCs w:val="0"/>
          <w:caps w:val="0"/>
          <w:smallCaps w:val="0"/>
          <w:color w:val="auto"/>
          <w:sz w:val="24"/>
          <w:szCs w:val="24"/>
          <w:u w:val="none"/>
        </w:rPr>
        <w:t>/h</w:t>
      </w:r>
      <w:r>
        <w:rPr>
          <w:rFonts w:hint="eastAsia" w:ascii="Times New Roman" w:hAnsi="Times New Roman"/>
          <w:b w:val="0"/>
          <w:bCs w:val="0"/>
          <w:caps w:val="0"/>
          <w:smallCaps w:val="0"/>
          <w:color w:val="auto"/>
          <w:sz w:val="24"/>
          <w:szCs w:val="24"/>
          <w:u w:val="none"/>
          <w:lang w:eastAsia="zh-CN"/>
        </w:rPr>
        <w:t>，</w:t>
      </w:r>
      <w:r>
        <w:rPr>
          <w:rFonts w:hint="eastAsia" w:ascii="Times New Roman" w:hAnsi="Times New Roman"/>
          <w:b w:val="0"/>
          <w:bCs w:val="0"/>
          <w:caps w:val="0"/>
          <w:smallCaps w:val="0"/>
          <w:color w:val="auto"/>
          <w:sz w:val="24"/>
          <w:szCs w:val="24"/>
          <w:u w:val="none"/>
        </w:rPr>
        <w:t>满足《石油化学工业污染物排放标准》（</w:t>
      </w:r>
      <w:r>
        <w:rPr>
          <w:rFonts w:ascii="Times New Roman" w:hAnsi="Times New Roman"/>
          <w:b w:val="0"/>
          <w:bCs w:val="0"/>
          <w:caps w:val="0"/>
          <w:smallCaps w:val="0"/>
          <w:color w:val="auto"/>
          <w:sz w:val="24"/>
          <w:szCs w:val="24"/>
          <w:u w:val="none"/>
        </w:rPr>
        <w:t>GB31571-2015</w:t>
      </w:r>
      <w:r>
        <w:rPr>
          <w:rFonts w:hint="eastAsia" w:ascii="Times New Roman" w:hAnsi="Times New Roman"/>
          <w:b w:val="0"/>
          <w:bCs w:val="0"/>
          <w:caps w:val="0"/>
          <w:smallCaps w:val="0"/>
          <w:color w:val="auto"/>
          <w:sz w:val="24"/>
          <w:szCs w:val="24"/>
          <w:u w:val="none"/>
        </w:rPr>
        <w:t>）要求。</w:t>
      </w:r>
    </w:p>
    <w:p>
      <w:pPr>
        <w:pStyle w:val="33"/>
        <w:bidi w:val="0"/>
        <w:rPr>
          <w:rFonts w:hint="default"/>
          <w:color w:val="auto"/>
          <w:lang w:val="en-US" w:eastAsia="zh-CN"/>
        </w:rPr>
      </w:pPr>
      <w:r>
        <w:rPr>
          <w:rFonts w:hint="eastAsia"/>
          <w:color w:val="auto"/>
          <w:lang w:val="en-US" w:eastAsia="zh-CN"/>
        </w:rPr>
        <w:t>二期车间废气主要为有机废气和粉尘。</w:t>
      </w:r>
    </w:p>
    <w:p>
      <w:pPr>
        <w:pStyle w:val="33"/>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）有机废气</w:t>
      </w:r>
    </w:p>
    <w:p>
      <w:pPr>
        <w:pStyle w:val="33"/>
        <w:bidi w:val="0"/>
        <w:rPr>
          <w:rFonts w:hint="eastAsia" w:ascii="Times New Roman" w:hAnsi="Times New Roman" w:eastAsia="宋体"/>
          <w:b w:val="0"/>
          <w:bCs w:val="0"/>
          <w:caps w:val="0"/>
          <w:smallCaps w:val="0"/>
          <w:color w:val="auto"/>
          <w:sz w:val="24"/>
          <w:szCs w:val="24"/>
          <w:u w:val="none"/>
          <w:lang w:eastAsia="zh-CN"/>
        </w:rPr>
      </w:pPr>
      <w:r>
        <w:rPr>
          <w:rFonts w:hint="eastAsia" w:ascii="Times New Roman" w:hAnsi="Times New Roman"/>
          <w:b w:val="0"/>
          <w:bCs w:val="0"/>
          <w:caps w:val="0"/>
          <w:smallCaps w:val="0"/>
          <w:color w:val="auto"/>
          <w:sz w:val="24"/>
          <w:szCs w:val="24"/>
          <w:u w:val="none"/>
          <w:lang w:eastAsia="zh-CN"/>
        </w:rPr>
        <w:t>涂料助剂及环氧地坪涂料生产线布置在新建</w:t>
      </w:r>
      <w:r>
        <w:rPr>
          <w:rFonts w:hint="eastAsia" w:ascii="Times New Roman" w:hAnsi="Times New Roman"/>
          <w:b w:val="0"/>
          <w:bCs w:val="0"/>
          <w:caps w:val="0"/>
          <w:smallCaps w:val="0"/>
          <w:color w:val="auto"/>
          <w:sz w:val="24"/>
          <w:szCs w:val="24"/>
          <w:u w:val="none"/>
          <w:lang w:val="en-US" w:eastAsia="zh-CN"/>
        </w:rPr>
        <w:t>1#</w:t>
      </w:r>
      <w:r>
        <w:rPr>
          <w:rFonts w:hint="eastAsia" w:ascii="Times New Roman" w:hAnsi="Times New Roman"/>
          <w:b w:val="0"/>
          <w:bCs w:val="0"/>
          <w:caps w:val="0"/>
          <w:smallCaps w:val="0"/>
          <w:color w:val="auto"/>
          <w:sz w:val="24"/>
          <w:szCs w:val="24"/>
          <w:u w:val="none"/>
          <w:lang w:eastAsia="zh-CN"/>
        </w:rPr>
        <w:t>生产车间，包括：</w:t>
      </w:r>
      <w:r>
        <w:rPr>
          <w:rFonts w:hint="eastAsia" w:ascii="Times New Roman" w:hAnsi="Times New Roman" w:eastAsia="宋体" w:cs="宋体"/>
          <w:b w:val="0"/>
          <w:bCs w:val="0"/>
          <w:i w:val="0"/>
          <w:caps w:val="0"/>
          <w:smallCaps w:val="0"/>
          <w:color w:val="auto"/>
          <w:kern w:val="0"/>
          <w:sz w:val="24"/>
          <w:szCs w:val="24"/>
          <w:u w:val="none"/>
          <w:lang w:val="en-US" w:eastAsia="zh-CN" w:bidi="ar"/>
        </w:rPr>
        <w:t>聚酯分散剂废气</w:t>
      </w:r>
      <w:r>
        <w:rPr>
          <w:rFonts w:hint="default" w:ascii="Times New Roman" w:hAnsi="Times New Roman" w:eastAsia="Times New Roman"/>
          <w:b w:val="0"/>
          <w:bCs w:val="0"/>
          <w:caps w:val="0"/>
          <w:smallCaps w:val="0"/>
          <w:color w:val="auto"/>
          <w:sz w:val="24"/>
          <w:szCs w:val="24"/>
          <w:u w:val="none"/>
          <w:lang w:val="zh-CN"/>
        </w:rPr>
        <w:t>G</w:t>
      </w:r>
      <w:r>
        <w:rPr>
          <w:rFonts w:hint="eastAsia" w:ascii="Times New Roman" w:hAnsi="Times New Roman" w:eastAsia="宋体"/>
          <w:b w:val="0"/>
          <w:bCs w:val="0"/>
          <w:caps w:val="0"/>
          <w:smallCaps w:val="0"/>
          <w:color w:val="auto"/>
          <w:sz w:val="24"/>
          <w:szCs w:val="24"/>
          <w:u w:val="none"/>
          <w:vertAlign w:val="subscript"/>
          <w:lang w:val="en-US" w:eastAsia="zh-CN"/>
        </w:rPr>
        <w:t>5</w:t>
      </w:r>
      <w:r>
        <w:rPr>
          <w:rFonts w:hint="eastAsia" w:ascii="Times New Roman" w:hAnsi="Times New Roman" w:eastAsia="宋体" w:cs="宋体"/>
          <w:b w:val="0"/>
          <w:bCs w:val="0"/>
          <w:i w:val="0"/>
          <w:caps w:val="0"/>
          <w:smallCaps w:val="0"/>
          <w:color w:val="auto"/>
          <w:kern w:val="0"/>
          <w:sz w:val="24"/>
          <w:szCs w:val="24"/>
          <w:u w:val="none"/>
          <w:lang w:val="en-US" w:eastAsia="zh-CN" w:bidi="ar"/>
        </w:rPr>
        <w:t>、1#丙烯酸分散剂废气</w:t>
      </w:r>
      <w:r>
        <w:rPr>
          <w:rFonts w:hint="default" w:ascii="Times New Roman" w:hAnsi="Times New Roman" w:eastAsia="Times New Roman"/>
          <w:b w:val="0"/>
          <w:bCs w:val="0"/>
          <w:caps w:val="0"/>
          <w:smallCaps w:val="0"/>
          <w:color w:val="auto"/>
          <w:sz w:val="24"/>
          <w:szCs w:val="24"/>
          <w:u w:val="none"/>
          <w:lang w:val="zh-CN"/>
        </w:rPr>
        <w:t>G</w:t>
      </w:r>
      <w:r>
        <w:rPr>
          <w:rFonts w:hint="eastAsia" w:ascii="Times New Roman" w:hAnsi="Times New Roman" w:eastAsia="宋体"/>
          <w:b w:val="0"/>
          <w:bCs w:val="0"/>
          <w:caps w:val="0"/>
          <w:smallCaps w:val="0"/>
          <w:color w:val="auto"/>
          <w:sz w:val="24"/>
          <w:szCs w:val="24"/>
          <w:u w:val="none"/>
          <w:vertAlign w:val="subscript"/>
          <w:lang w:val="en-US" w:eastAsia="zh-CN"/>
        </w:rPr>
        <w:t>6</w:t>
      </w:r>
      <w:r>
        <w:rPr>
          <w:rFonts w:hint="eastAsia" w:ascii="Times New Roman" w:hAnsi="Times New Roman" w:eastAsia="宋体"/>
          <w:b w:val="0"/>
          <w:bCs w:val="0"/>
          <w:caps w:val="0"/>
          <w:smallCaps w:val="0"/>
          <w:color w:val="auto"/>
          <w:sz w:val="24"/>
          <w:szCs w:val="24"/>
          <w:u w:val="none"/>
          <w:lang w:val="en-US" w:eastAsia="zh-CN"/>
        </w:rPr>
        <w:t>、</w:t>
      </w:r>
      <w:r>
        <w:rPr>
          <w:rFonts w:hint="eastAsia" w:ascii="Times New Roman" w:hAnsi="Times New Roman" w:eastAsia="宋体" w:cs="宋体"/>
          <w:b w:val="0"/>
          <w:bCs w:val="0"/>
          <w:i w:val="0"/>
          <w:caps w:val="0"/>
          <w:smallCaps w:val="0"/>
          <w:color w:val="auto"/>
          <w:kern w:val="0"/>
          <w:sz w:val="24"/>
          <w:szCs w:val="24"/>
          <w:u w:val="none"/>
          <w:lang w:val="en-US" w:eastAsia="zh-CN" w:bidi="ar"/>
        </w:rPr>
        <w:t>2#丙烯酸分散剂废气</w:t>
      </w:r>
      <w:r>
        <w:rPr>
          <w:rFonts w:hint="default" w:ascii="Times New Roman" w:hAnsi="Times New Roman" w:eastAsia="Times New Roman"/>
          <w:b w:val="0"/>
          <w:bCs w:val="0"/>
          <w:caps w:val="0"/>
          <w:smallCaps w:val="0"/>
          <w:color w:val="auto"/>
          <w:sz w:val="24"/>
          <w:szCs w:val="24"/>
          <w:u w:val="none"/>
          <w:lang w:val="zh-CN"/>
        </w:rPr>
        <w:t>G</w:t>
      </w:r>
      <w:r>
        <w:rPr>
          <w:rFonts w:hint="eastAsia" w:ascii="Times New Roman" w:hAnsi="Times New Roman" w:eastAsia="宋体"/>
          <w:b w:val="0"/>
          <w:bCs w:val="0"/>
          <w:caps w:val="0"/>
          <w:smallCaps w:val="0"/>
          <w:color w:val="auto"/>
          <w:sz w:val="24"/>
          <w:szCs w:val="24"/>
          <w:u w:val="none"/>
          <w:vertAlign w:val="subscript"/>
          <w:lang w:val="en-US" w:eastAsia="zh-CN"/>
        </w:rPr>
        <w:t>7</w:t>
      </w:r>
      <w:r>
        <w:rPr>
          <w:rFonts w:hint="eastAsia" w:ascii="Times New Roman" w:hAnsi="Times New Roman" w:eastAsia="宋体"/>
          <w:b w:val="0"/>
          <w:bCs w:val="0"/>
          <w:caps w:val="0"/>
          <w:smallCaps w:val="0"/>
          <w:color w:val="auto"/>
          <w:sz w:val="24"/>
          <w:szCs w:val="24"/>
          <w:u w:val="none"/>
          <w:lang w:val="en-US" w:eastAsia="zh-CN"/>
        </w:rPr>
        <w:t>、</w:t>
      </w:r>
      <w:r>
        <w:rPr>
          <w:rFonts w:hint="eastAsia" w:ascii="Times New Roman" w:hAnsi="Times New Roman" w:eastAsia="宋体" w:cs="宋体"/>
          <w:b w:val="0"/>
          <w:bCs w:val="0"/>
          <w:i w:val="0"/>
          <w:caps w:val="0"/>
          <w:smallCaps w:val="0"/>
          <w:color w:val="auto"/>
          <w:kern w:val="0"/>
          <w:sz w:val="24"/>
          <w:szCs w:val="24"/>
          <w:u w:val="none"/>
          <w:lang w:val="en-US" w:eastAsia="zh-CN" w:bidi="ar"/>
        </w:rPr>
        <w:t>环氧地坪涂料生产装置废气</w:t>
      </w:r>
      <w:r>
        <w:rPr>
          <w:rFonts w:hint="default" w:ascii="Times New Roman" w:hAnsi="Times New Roman" w:eastAsia="Times New Roman"/>
          <w:b w:val="0"/>
          <w:bCs w:val="0"/>
          <w:caps w:val="0"/>
          <w:smallCaps w:val="0"/>
          <w:color w:val="auto"/>
          <w:sz w:val="24"/>
          <w:szCs w:val="24"/>
          <w:u w:val="none"/>
          <w:lang w:val="zh-CN"/>
        </w:rPr>
        <w:t>G</w:t>
      </w:r>
      <w:r>
        <w:rPr>
          <w:rFonts w:hint="eastAsia" w:ascii="Times New Roman" w:hAnsi="Times New Roman" w:eastAsia="宋体"/>
          <w:b w:val="0"/>
          <w:bCs w:val="0"/>
          <w:caps w:val="0"/>
          <w:smallCaps w:val="0"/>
          <w:color w:val="auto"/>
          <w:sz w:val="24"/>
          <w:szCs w:val="24"/>
          <w:u w:val="none"/>
          <w:vertAlign w:val="subscript"/>
          <w:lang w:val="en-US" w:eastAsia="zh-CN"/>
        </w:rPr>
        <w:t>8</w:t>
      </w:r>
      <w:r>
        <w:rPr>
          <w:rFonts w:hint="eastAsia" w:ascii="Times New Roman" w:hAnsi="Times New Roman" w:eastAsia="宋体"/>
          <w:b w:val="0"/>
          <w:bCs w:val="0"/>
          <w:caps w:val="0"/>
          <w:smallCaps w:val="0"/>
          <w:color w:val="auto"/>
          <w:sz w:val="24"/>
          <w:szCs w:val="24"/>
          <w:u w:val="none"/>
          <w:lang w:val="en-US" w:eastAsia="zh-CN"/>
        </w:rPr>
        <w:t>，</w:t>
      </w:r>
      <w:r>
        <w:rPr>
          <w:rFonts w:hint="eastAsia" w:ascii="Times New Roman" w:hAnsi="Times New Roman"/>
          <w:b w:val="0"/>
          <w:bCs w:val="0"/>
          <w:caps w:val="0"/>
          <w:smallCaps w:val="0"/>
          <w:color w:val="auto"/>
          <w:sz w:val="24"/>
          <w:szCs w:val="24"/>
          <w:u w:val="none"/>
          <w:lang w:eastAsia="zh-CN"/>
        </w:rPr>
        <w:t>各工序废气经</w:t>
      </w:r>
      <w:r>
        <w:rPr>
          <w:rFonts w:hint="eastAsia" w:ascii="Times New Roman" w:hAnsi="Times New Roman"/>
          <w:b w:val="0"/>
          <w:bCs w:val="0"/>
          <w:caps w:val="0"/>
          <w:smallCaps w:val="0"/>
          <w:color w:val="auto"/>
          <w:sz w:val="24"/>
          <w:szCs w:val="24"/>
          <w:u w:val="none"/>
        </w:rPr>
        <w:t>集气罩收集，收集率为90%，</w:t>
      </w:r>
      <w:r>
        <w:rPr>
          <w:rFonts w:hint="eastAsia" w:ascii="Times New Roman" w:hAnsi="Times New Roman"/>
          <w:b w:val="0"/>
          <w:bCs w:val="0"/>
          <w:caps w:val="0"/>
          <w:smallCaps w:val="0"/>
          <w:color w:val="auto"/>
          <w:sz w:val="24"/>
          <w:szCs w:val="24"/>
          <w:u w:val="none"/>
          <w:lang w:val="en-US" w:eastAsia="zh-CN"/>
        </w:rPr>
        <w:t>通过主输气管道送</w:t>
      </w:r>
      <w:r>
        <w:rPr>
          <w:rFonts w:hint="eastAsia" w:ascii="Times New Roman" w:hAnsi="Times New Roman"/>
          <w:b w:val="0"/>
          <w:bCs w:val="0"/>
          <w:caps w:val="0"/>
          <w:smallCaps w:val="0"/>
          <w:color w:val="auto"/>
          <w:sz w:val="24"/>
          <w:szCs w:val="24"/>
          <w:u w:val="none"/>
          <w:lang w:eastAsia="zh-CN"/>
        </w:rPr>
        <w:t>“冷凝</w:t>
      </w:r>
      <w:r>
        <w:rPr>
          <w:rFonts w:hint="eastAsia" w:ascii="Times New Roman" w:hAnsi="Times New Roman"/>
          <w:b w:val="0"/>
          <w:bCs w:val="0"/>
          <w:caps w:val="0"/>
          <w:smallCaps w:val="0"/>
          <w:color w:val="auto"/>
          <w:sz w:val="24"/>
          <w:szCs w:val="24"/>
          <w:u w:val="none"/>
          <w:lang w:val="en-US" w:eastAsia="zh-CN"/>
        </w:rPr>
        <w:t>+</w:t>
      </w:r>
      <w:r>
        <w:rPr>
          <w:rFonts w:hint="eastAsia" w:ascii="Times New Roman" w:hAnsi="Times New Roman"/>
          <w:b w:val="0"/>
          <w:bCs w:val="0"/>
          <w:caps w:val="0"/>
          <w:smallCaps w:val="0"/>
          <w:color w:val="auto"/>
          <w:sz w:val="24"/>
          <w:szCs w:val="24"/>
          <w:u w:val="none"/>
        </w:rPr>
        <w:t>UV光</w:t>
      </w:r>
      <w:r>
        <w:rPr>
          <w:rFonts w:hint="eastAsia" w:ascii="Times New Roman" w:hAnsi="Times New Roman"/>
          <w:b w:val="0"/>
          <w:bCs w:val="0"/>
          <w:caps w:val="0"/>
          <w:smallCaps w:val="0"/>
          <w:color w:val="auto"/>
          <w:sz w:val="24"/>
          <w:szCs w:val="24"/>
          <w:u w:val="none"/>
          <w:lang w:eastAsia="zh-CN"/>
        </w:rPr>
        <w:t>解</w:t>
      </w:r>
      <w:r>
        <w:rPr>
          <w:rFonts w:hint="eastAsia" w:ascii="Times New Roman" w:hAnsi="Times New Roman"/>
          <w:b w:val="0"/>
          <w:bCs w:val="0"/>
          <w:caps w:val="0"/>
          <w:smallCaps w:val="0"/>
          <w:color w:val="auto"/>
          <w:sz w:val="24"/>
          <w:szCs w:val="24"/>
          <w:u w:val="none"/>
        </w:rPr>
        <w:t>处理装置</w:t>
      </w:r>
      <w:r>
        <w:rPr>
          <w:rFonts w:hint="eastAsia" w:ascii="Times New Roman" w:hAnsi="Times New Roman"/>
          <w:b w:val="0"/>
          <w:bCs w:val="0"/>
          <w:caps w:val="0"/>
          <w:smallCaps w:val="0"/>
          <w:color w:val="auto"/>
          <w:sz w:val="24"/>
          <w:szCs w:val="24"/>
          <w:u w:val="none"/>
          <w:lang w:eastAsia="zh-CN"/>
        </w:rPr>
        <w:t>”</w:t>
      </w:r>
      <w:r>
        <w:rPr>
          <w:rFonts w:hint="eastAsia" w:ascii="Times New Roman" w:hAnsi="Times New Roman"/>
          <w:b w:val="0"/>
          <w:bCs w:val="0"/>
          <w:caps w:val="0"/>
          <w:smallCaps w:val="0"/>
          <w:color w:val="auto"/>
          <w:sz w:val="24"/>
          <w:szCs w:val="24"/>
          <w:u w:val="none"/>
          <w:lang w:val="en-US" w:eastAsia="zh-CN"/>
        </w:rPr>
        <w:t>处理，</w:t>
      </w:r>
      <w:r>
        <w:rPr>
          <w:rFonts w:hint="eastAsia" w:ascii="Times New Roman" w:hAnsi="Times New Roman"/>
          <w:b w:val="0"/>
          <w:bCs w:val="0"/>
          <w:caps w:val="0"/>
          <w:smallCaps w:val="0"/>
          <w:color w:val="auto"/>
          <w:sz w:val="24"/>
          <w:szCs w:val="24"/>
          <w:u w:val="none"/>
          <w:lang w:eastAsia="zh-CN"/>
        </w:rPr>
        <w:t>非甲烷总烃、丙烯酸、甲基丙烯酸甲酯、二甲苯去除</w:t>
      </w:r>
      <w:r>
        <w:rPr>
          <w:rFonts w:hint="eastAsia" w:ascii="Times New Roman" w:hAnsi="Times New Roman"/>
          <w:b w:val="0"/>
          <w:bCs w:val="0"/>
          <w:caps w:val="0"/>
          <w:smallCaps w:val="0"/>
          <w:color w:val="auto"/>
          <w:sz w:val="24"/>
          <w:szCs w:val="24"/>
          <w:u w:val="none"/>
        </w:rPr>
        <w:t>效率</w:t>
      </w:r>
      <w:r>
        <w:rPr>
          <w:rFonts w:hint="eastAsia" w:ascii="Times New Roman" w:hAnsi="Times New Roman"/>
          <w:b w:val="0"/>
          <w:bCs w:val="0"/>
          <w:caps w:val="0"/>
          <w:smallCaps w:val="0"/>
          <w:color w:val="auto"/>
          <w:sz w:val="24"/>
          <w:szCs w:val="24"/>
          <w:u w:val="none"/>
          <w:lang w:eastAsia="zh-CN"/>
        </w:rPr>
        <w:t>达</w:t>
      </w:r>
      <w:r>
        <w:rPr>
          <w:rFonts w:hint="eastAsia" w:ascii="Times New Roman" w:hAnsi="Times New Roman"/>
          <w:b w:val="0"/>
          <w:bCs w:val="0"/>
          <w:caps w:val="0"/>
          <w:smallCaps w:val="0"/>
          <w:color w:val="auto"/>
          <w:sz w:val="24"/>
          <w:szCs w:val="24"/>
          <w:u w:val="none"/>
        </w:rPr>
        <w:t>9</w:t>
      </w:r>
      <w:r>
        <w:rPr>
          <w:rFonts w:hint="eastAsia" w:ascii="Times New Roman" w:hAnsi="Times New Roman"/>
          <w:b w:val="0"/>
          <w:bCs w:val="0"/>
          <w:caps w:val="0"/>
          <w:smallCaps w:val="0"/>
          <w:color w:val="auto"/>
          <w:sz w:val="24"/>
          <w:szCs w:val="24"/>
          <w:u w:val="none"/>
          <w:lang w:val="en-US" w:eastAsia="zh-CN"/>
        </w:rPr>
        <w:t>0</w:t>
      </w:r>
      <w:r>
        <w:rPr>
          <w:rFonts w:hint="eastAsia" w:ascii="Times New Roman" w:hAnsi="Times New Roman"/>
          <w:b w:val="0"/>
          <w:bCs w:val="0"/>
          <w:caps w:val="0"/>
          <w:smallCaps w:val="0"/>
          <w:color w:val="auto"/>
          <w:sz w:val="24"/>
          <w:szCs w:val="24"/>
          <w:u w:val="none"/>
        </w:rPr>
        <w:t>%</w:t>
      </w:r>
      <w:r>
        <w:rPr>
          <w:rFonts w:hint="eastAsia" w:ascii="Times New Roman" w:hAnsi="Times New Roman"/>
          <w:b w:val="0"/>
          <w:bCs w:val="0"/>
          <w:caps w:val="0"/>
          <w:smallCaps w:val="0"/>
          <w:color w:val="auto"/>
          <w:sz w:val="24"/>
          <w:szCs w:val="24"/>
          <w:u w:val="none"/>
          <w:lang w:eastAsia="zh-CN"/>
        </w:rPr>
        <w:t>以上，经处理</w:t>
      </w:r>
      <w:r>
        <w:rPr>
          <w:rFonts w:hint="eastAsia" w:ascii="Times New Roman" w:hAnsi="Times New Roman"/>
          <w:b w:val="0"/>
          <w:bCs w:val="0"/>
          <w:caps w:val="0"/>
          <w:smallCaps w:val="0"/>
          <w:color w:val="auto"/>
          <w:sz w:val="24"/>
          <w:szCs w:val="24"/>
          <w:u w:val="none"/>
          <w:lang w:val="en-US" w:eastAsia="zh-CN"/>
        </w:rPr>
        <w:t>达标后经15高排气筒排放，</w:t>
      </w:r>
      <w:r>
        <w:rPr>
          <w:rFonts w:hint="eastAsia" w:ascii="Times New Roman" w:hAnsi="Times New Roman"/>
          <w:b w:val="0"/>
          <w:bCs w:val="0"/>
          <w:caps w:val="0"/>
          <w:smallCaps w:val="0"/>
          <w:color w:val="auto"/>
          <w:sz w:val="24"/>
          <w:szCs w:val="24"/>
          <w:u w:val="none"/>
        </w:rPr>
        <w:t>排风量为2000m</w:t>
      </w:r>
      <w:r>
        <w:rPr>
          <w:rFonts w:hint="eastAsia" w:ascii="Times New Roman" w:hAnsi="Times New Roman"/>
          <w:b w:val="0"/>
          <w:bCs w:val="0"/>
          <w:caps w:val="0"/>
          <w:smallCaps w:val="0"/>
          <w:color w:val="auto"/>
          <w:sz w:val="24"/>
          <w:szCs w:val="24"/>
          <w:u w:val="none"/>
          <w:vertAlign w:val="superscript"/>
        </w:rPr>
        <w:t>3</w:t>
      </w:r>
      <w:r>
        <w:rPr>
          <w:rFonts w:hint="eastAsia" w:ascii="Times New Roman" w:hAnsi="Times New Roman"/>
          <w:b w:val="0"/>
          <w:bCs w:val="0"/>
          <w:caps w:val="0"/>
          <w:smallCaps w:val="0"/>
          <w:color w:val="auto"/>
          <w:sz w:val="24"/>
          <w:szCs w:val="24"/>
          <w:u w:val="none"/>
        </w:rPr>
        <w:t>/h</w:t>
      </w:r>
      <w:r>
        <w:rPr>
          <w:rFonts w:hint="eastAsia" w:ascii="Times New Roman" w:hAnsi="Times New Roman"/>
          <w:b w:val="0"/>
          <w:bCs w:val="0"/>
          <w:caps w:val="0"/>
          <w:smallCaps w:val="0"/>
          <w:color w:val="auto"/>
          <w:sz w:val="24"/>
          <w:szCs w:val="24"/>
          <w:u w:val="none"/>
          <w:lang w:eastAsia="zh-CN"/>
        </w:rPr>
        <w:t>，</w:t>
      </w:r>
      <w:r>
        <w:rPr>
          <w:rFonts w:hint="eastAsia" w:ascii="Times New Roman" w:hAnsi="Times New Roman"/>
          <w:b w:val="0"/>
          <w:bCs w:val="0"/>
          <w:caps w:val="0"/>
          <w:smallCaps w:val="0"/>
          <w:color w:val="auto"/>
          <w:sz w:val="24"/>
          <w:szCs w:val="24"/>
          <w:u w:val="none"/>
          <w:lang w:val="en-US" w:eastAsia="zh-CN"/>
        </w:rPr>
        <w:t>满足</w:t>
      </w:r>
      <w:r>
        <w:rPr>
          <w:rFonts w:hint="eastAsia" w:ascii="Times New Roman" w:hAnsi="Times New Roman"/>
          <w:b w:val="0"/>
          <w:bCs w:val="0"/>
          <w:caps w:val="0"/>
          <w:smallCaps w:val="0"/>
          <w:color w:val="auto"/>
          <w:sz w:val="24"/>
          <w:szCs w:val="24"/>
          <w:u w:val="none"/>
          <w:lang w:eastAsia="zh-CN"/>
        </w:rPr>
        <w:t>《合成树脂工业污染物排放标准》（</w:t>
      </w:r>
      <w:r>
        <w:rPr>
          <w:rFonts w:hint="eastAsia" w:ascii="Times New Roman" w:hAnsi="Times New Roman"/>
          <w:b w:val="0"/>
          <w:bCs w:val="0"/>
          <w:caps w:val="0"/>
          <w:smallCaps w:val="0"/>
          <w:color w:val="auto"/>
          <w:sz w:val="24"/>
          <w:szCs w:val="24"/>
          <w:u w:val="none"/>
          <w:lang w:val="en-US" w:eastAsia="zh-CN"/>
        </w:rPr>
        <w:t>GB31572-2015</w:t>
      </w:r>
      <w:r>
        <w:rPr>
          <w:rFonts w:hint="eastAsia" w:ascii="Times New Roman" w:hAnsi="Times New Roman"/>
          <w:b w:val="0"/>
          <w:bCs w:val="0"/>
          <w:caps w:val="0"/>
          <w:smallCaps w:val="0"/>
          <w:color w:val="auto"/>
          <w:sz w:val="24"/>
          <w:szCs w:val="24"/>
          <w:u w:val="none"/>
          <w:lang w:eastAsia="zh-CN"/>
        </w:rPr>
        <w:t>）要求。</w:t>
      </w:r>
    </w:p>
    <w:p>
      <w:pPr>
        <w:pStyle w:val="33"/>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）研磨工序粉尘</w:t>
      </w:r>
    </w:p>
    <w:p>
      <w:pPr>
        <w:pStyle w:val="33"/>
        <w:bidi w:val="0"/>
        <w:rPr>
          <w:rFonts w:hint="eastAsia"/>
          <w:color w:val="auto"/>
          <w:lang w:val="en-US" w:eastAsia="zh-CN"/>
        </w:rPr>
      </w:pPr>
      <w:r>
        <w:rPr>
          <w:rFonts w:hint="eastAsia"/>
          <w:color w:val="auto"/>
        </w:rPr>
        <w:t>本项目的环氧地坪涂料生产过程中，由于所添加颜料、填料等属于细颗粒状固体粉末，所以在配料、投料过程中会有粉尘</w:t>
      </w:r>
      <w:r>
        <w:rPr>
          <w:rFonts w:hint="eastAsia"/>
          <w:color w:val="auto"/>
          <w:lang w:eastAsia="zh-CN"/>
        </w:rPr>
        <w:t>经</w:t>
      </w:r>
      <w:r>
        <w:rPr>
          <w:rFonts w:hint="eastAsia"/>
          <w:color w:val="auto"/>
        </w:rPr>
        <w:t>集气罩收集，收集率为90%，通入袋式除尘器进行处理，除尘器除尘效率为99%</w:t>
      </w:r>
      <w:r>
        <w:rPr>
          <w:rFonts w:hint="eastAsia"/>
          <w:color w:val="auto"/>
          <w:lang w:eastAsia="zh-CN"/>
        </w:rPr>
        <w:t>，</w:t>
      </w:r>
      <w:r>
        <w:rPr>
          <w:rFonts w:hint="eastAsia"/>
          <w:color w:val="auto"/>
        </w:rPr>
        <w:t>经净化处理后的废气引入15m高烟囱外排，</w:t>
      </w:r>
      <w:r>
        <w:rPr>
          <w:rFonts w:hint="eastAsia"/>
          <w:color w:val="auto"/>
          <w:lang w:val="en-US" w:eastAsia="zh-CN"/>
        </w:rPr>
        <w:t>满足</w:t>
      </w:r>
      <w:r>
        <w:rPr>
          <w:rFonts w:hint="eastAsia"/>
          <w:color w:val="auto"/>
          <w:lang w:eastAsia="zh-CN"/>
        </w:rPr>
        <w:t>《合成树脂工业污染物排放标准》（</w:t>
      </w:r>
      <w:r>
        <w:rPr>
          <w:rFonts w:hint="eastAsia"/>
          <w:color w:val="auto"/>
          <w:lang w:val="en-US" w:eastAsia="zh-CN"/>
        </w:rPr>
        <w:t>GB31572-2015</w:t>
      </w:r>
      <w:r>
        <w:rPr>
          <w:rFonts w:hint="eastAsia"/>
          <w:color w:val="auto"/>
          <w:lang w:eastAsia="zh-CN"/>
        </w:rPr>
        <w:t>）要求</w:t>
      </w:r>
      <w:r>
        <w:rPr>
          <w:rFonts w:hint="eastAsia"/>
          <w:color w:val="auto"/>
          <w:lang w:val="en-US" w:eastAsia="zh-CN"/>
        </w:rPr>
        <w:t>。</w:t>
      </w:r>
    </w:p>
    <w:p>
      <w:pPr>
        <w:pStyle w:val="33"/>
        <w:bidi w:val="0"/>
        <w:rPr>
          <w:rFonts w:hint="eastAsia"/>
          <w:color w:val="auto"/>
        </w:rPr>
      </w:pPr>
    </w:p>
    <w:p>
      <w:pPr>
        <w:pStyle w:val="33"/>
        <w:bidi w:val="0"/>
        <w:rPr>
          <w:rFonts w:hint="default" w:eastAsia="宋体"/>
          <w:color w:val="auto"/>
          <w:lang w:val="en-US" w:eastAsia="zh-CN"/>
        </w:rPr>
        <w:sectPr>
          <w:footerReference r:id="rId6" w:type="default"/>
          <w:pgSz w:w="11906" w:h="16838"/>
          <w:pgMar w:top="1417" w:right="1304" w:bottom="1417" w:left="130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36"/>
        <w:bidi w:val="0"/>
        <w:rPr>
          <w:rFonts w:hint="eastAsia"/>
          <w:color w:val="auto"/>
          <w:lang w:val="en-US" w:eastAsia="zh-CN"/>
        </w:rPr>
      </w:pPr>
      <w:r>
        <w:rPr>
          <w:rFonts w:hint="eastAsia"/>
          <w:color w:val="auto"/>
          <w:lang w:val="en-US" w:eastAsia="zh-CN"/>
        </w:rPr>
        <w:t>表3.3-1现有项目有组织废气产生、治理及排放情况表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2298"/>
        <w:gridCol w:w="688"/>
        <w:gridCol w:w="1485"/>
        <w:gridCol w:w="913"/>
        <w:gridCol w:w="1032"/>
        <w:gridCol w:w="1038"/>
        <w:gridCol w:w="702"/>
        <w:gridCol w:w="702"/>
        <w:gridCol w:w="839"/>
        <w:gridCol w:w="688"/>
        <w:gridCol w:w="785"/>
        <w:gridCol w:w="833"/>
        <w:gridCol w:w="669"/>
        <w:gridCol w:w="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7" w:hRule="atLeast"/>
        </w:trPr>
        <w:tc>
          <w:tcPr>
            <w:tcW w:w="283" w:type="pct"/>
            <w:vMerge w:val="restar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污染源</w:t>
            </w:r>
          </w:p>
        </w:tc>
        <w:tc>
          <w:tcPr>
            <w:tcW w:w="808" w:type="pct"/>
            <w:vMerge w:val="restar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产生点</w:t>
            </w:r>
          </w:p>
        </w:tc>
        <w:tc>
          <w:tcPr>
            <w:tcW w:w="242" w:type="pct"/>
            <w:vMerge w:val="restar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废气量m</w:t>
            </w:r>
            <w:r>
              <w:rPr>
                <w:rFonts w:hint="eastAsia"/>
                <w:b/>
                <w:bCs/>
                <w:color w:val="auto"/>
                <w:vertAlign w:val="superscript"/>
                <w:lang w:val="en-US" w:eastAsia="zh-CN"/>
              </w:rPr>
              <w:t>3</w:t>
            </w:r>
            <w:r>
              <w:rPr>
                <w:rFonts w:hint="eastAsia"/>
                <w:b/>
                <w:bCs/>
                <w:color w:val="auto"/>
                <w:lang w:val="en-US" w:eastAsia="zh-CN"/>
              </w:rPr>
              <w:t>/h</w:t>
            </w:r>
          </w:p>
        </w:tc>
        <w:tc>
          <w:tcPr>
            <w:tcW w:w="522" w:type="pct"/>
            <w:vMerge w:val="restar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污染物名称</w:t>
            </w:r>
          </w:p>
        </w:tc>
        <w:tc>
          <w:tcPr>
            <w:tcW w:w="1049" w:type="pct"/>
            <w:gridSpan w:val="3"/>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产生状况</w:t>
            </w:r>
          </w:p>
        </w:tc>
        <w:tc>
          <w:tcPr>
            <w:tcW w:w="247" w:type="pct"/>
            <w:vMerge w:val="restar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治理措施</w:t>
            </w:r>
          </w:p>
        </w:tc>
        <w:tc>
          <w:tcPr>
            <w:tcW w:w="247" w:type="pct"/>
            <w:vMerge w:val="restar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处理效率</w:t>
            </w:r>
          </w:p>
        </w:tc>
        <w:tc>
          <w:tcPr>
            <w:tcW w:w="813" w:type="pct"/>
            <w:gridSpan w:val="3"/>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排放状况</w:t>
            </w:r>
          </w:p>
        </w:tc>
        <w:tc>
          <w:tcPr>
            <w:tcW w:w="521" w:type="pct"/>
            <w:gridSpan w:val="2"/>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排放源</w:t>
            </w:r>
          </w:p>
        </w:tc>
        <w:tc>
          <w:tcPr>
            <w:tcW w:w="263" w:type="pct"/>
            <w:vMerge w:val="restar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排放时间</w:t>
            </w:r>
          </w:p>
          <w:p>
            <w:pPr>
              <w:pStyle w:val="35"/>
              <w:bidi w:val="0"/>
              <w:jc w:val="center"/>
              <w:rPr>
                <w:rFonts w:hint="default"/>
                <w:b/>
                <w:bCs/>
                <w:color w:val="auto"/>
                <w:lang w:val="en-US" w:eastAsia="zh-CN"/>
              </w:rPr>
            </w:pPr>
            <w:r>
              <w:rPr>
                <w:rFonts w:hint="eastAsia"/>
                <w:b/>
                <w:bCs/>
                <w:color w:val="auto"/>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7" w:hRule="atLeast"/>
        </w:trPr>
        <w:tc>
          <w:tcPr>
            <w:tcW w:w="283" w:type="pct"/>
            <w:vMerge w:val="continue"/>
            <w:tcBorders>
              <w:tl2br w:val="nil"/>
              <w:tr2bl w:val="nil"/>
            </w:tcBorders>
            <w:noWrap w:val="0"/>
            <w:vAlign w:val="center"/>
          </w:tcPr>
          <w:p>
            <w:pPr>
              <w:pStyle w:val="35"/>
              <w:bidi w:val="0"/>
              <w:jc w:val="center"/>
              <w:rPr>
                <w:b/>
                <w:bCs/>
                <w:color w:val="auto"/>
              </w:rPr>
            </w:pPr>
          </w:p>
        </w:tc>
        <w:tc>
          <w:tcPr>
            <w:tcW w:w="808" w:type="pct"/>
            <w:vMerge w:val="continue"/>
            <w:tcBorders>
              <w:tl2br w:val="nil"/>
              <w:tr2bl w:val="nil"/>
            </w:tcBorders>
            <w:noWrap w:val="0"/>
            <w:vAlign w:val="center"/>
          </w:tcPr>
          <w:p>
            <w:pPr>
              <w:pStyle w:val="35"/>
              <w:bidi w:val="0"/>
              <w:jc w:val="center"/>
              <w:rPr>
                <w:b/>
                <w:bCs/>
                <w:color w:val="auto"/>
              </w:rPr>
            </w:pPr>
          </w:p>
        </w:tc>
        <w:tc>
          <w:tcPr>
            <w:tcW w:w="242" w:type="pct"/>
            <w:vMerge w:val="continue"/>
            <w:tcBorders>
              <w:tl2br w:val="nil"/>
              <w:tr2bl w:val="nil"/>
            </w:tcBorders>
            <w:noWrap w:val="0"/>
            <w:vAlign w:val="center"/>
          </w:tcPr>
          <w:p>
            <w:pPr>
              <w:pStyle w:val="35"/>
              <w:bidi w:val="0"/>
              <w:jc w:val="center"/>
              <w:rPr>
                <w:b/>
                <w:bCs/>
                <w:color w:val="auto"/>
              </w:rPr>
            </w:pPr>
          </w:p>
        </w:tc>
        <w:tc>
          <w:tcPr>
            <w:tcW w:w="522" w:type="pct"/>
            <w:vMerge w:val="continue"/>
            <w:tcBorders>
              <w:tl2br w:val="nil"/>
              <w:tr2bl w:val="nil"/>
            </w:tcBorders>
            <w:noWrap w:val="0"/>
            <w:vAlign w:val="center"/>
          </w:tcPr>
          <w:p>
            <w:pPr>
              <w:pStyle w:val="35"/>
              <w:bidi w:val="0"/>
              <w:jc w:val="center"/>
              <w:rPr>
                <w:b/>
                <w:bCs/>
                <w:color w:val="auto"/>
              </w:rPr>
            </w:pPr>
          </w:p>
        </w:tc>
        <w:tc>
          <w:tcPr>
            <w:tcW w:w="321" w:type="pc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浓度</w:t>
            </w:r>
          </w:p>
          <w:p>
            <w:pPr>
              <w:pStyle w:val="35"/>
              <w:bidi w:val="0"/>
              <w:jc w:val="center"/>
              <w:rPr>
                <w:rFonts w:hint="default"/>
                <w:b/>
                <w:bCs/>
                <w:color w:val="auto"/>
                <w:lang w:val="en-US" w:eastAsia="zh-CN"/>
              </w:rPr>
            </w:pPr>
            <w:r>
              <w:rPr>
                <w:rFonts w:hint="eastAsia"/>
                <w:b/>
                <w:bCs/>
                <w:color w:val="auto"/>
                <w:lang w:val="en-US" w:eastAsia="zh-CN"/>
              </w:rPr>
              <w:t>mg/m</w:t>
            </w:r>
            <w:r>
              <w:rPr>
                <w:rFonts w:hint="eastAsia"/>
                <w:b/>
                <w:bCs/>
                <w:color w:val="auto"/>
                <w:vertAlign w:val="superscript"/>
                <w:lang w:val="en-US" w:eastAsia="zh-CN"/>
              </w:rPr>
              <w:t>3</w:t>
            </w:r>
          </w:p>
        </w:tc>
        <w:tc>
          <w:tcPr>
            <w:tcW w:w="363" w:type="pc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速率</w:t>
            </w:r>
          </w:p>
          <w:p>
            <w:pPr>
              <w:pStyle w:val="35"/>
              <w:bidi w:val="0"/>
              <w:jc w:val="center"/>
              <w:rPr>
                <w:rFonts w:hint="default"/>
                <w:b/>
                <w:bCs/>
                <w:color w:val="auto"/>
                <w:lang w:val="en-US" w:eastAsia="zh-CN"/>
              </w:rPr>
            </w:pPr>
            <w:r>
              <w:rPr>
                <w:rFonts w:hint="eastAsia"/>
                <w:b/>
                <w:bCs/>
                <w:color w:val="auto"/>
                <w:lang w:val="en-US" w:eastAsia="zh-CN"/>
              </w:rPr>
              <w:t>kg/h</w:t>
            </w:r>
          </w:p>
        </w:tc>
        <w:tc>
          <w:tcPr>
            <w:tcW w:w="363"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产生量t/a</w:t>
            </w:r>
          </w:p>
        </w:tc>
        <w:tc>
          <w:tcPr>
            <w:tcW w:w="247" w:type="pct"/>
            <w:vMerge w:val="continue"/>
            <w:tcBorders>
              <w:tl2br w:val="nil"/>
              <w:tr2bl w:val="nil"/>
            </w:tcBorders>
            <w:noWrap w:val="0"/>
            <w:vAlign w:val="center"/>
          </w:tcPr>
          <w:p>
            <w:pPr>
              <w:pStyle w:val="35"/>
              <w:bidi w:val="0"/>
              <w:jc w:val="center"/>
              <w:rPr>
                <w:rFonts w:hint="default"/>
                <w:b/>
                <w:bCs/>
                <w:color w:val="auto"/>
                <w:lang w:val="en-US" w:eastAsia="zh-CN"/>
              </w:rPr>
            </w:pPr>
          </w:p>
        </w:tc>
        <w:tc>
          <w:tcPr>
            <w:tcW w:w="247" w:type="pct"/>
            <w:vMerge w:val="continue"/>
            <w:tcBorders>
              <w:tl2br w:val="nil"/>
              <w:tr2bl w:val="nil"/>
            </w:tcBorders>
            <w:noWrap w:val="0"/>
            <w:vAlign w:val="center"/>
          </w:tcPr>
          <w:p>
            <w:pPr>
              <w:pStyle w:val="35"/>
              <w:bidi w:val="0"/>
              <w:jc w:val="center"/>
              <w:rPr>
                <w:rFonts w:hint="default"/>
                <w:b/>
                <w:bCs/>
                <w:color w:val="auto"/>
                <w:lang w:val="en-US" w:eastAsia="zh-CN"/>
              </w:rPr>
            </w:pPr>
          </w:p>
        </w:tc>
        <w:tc>
          <w:tcPr>
            <w:tcW w:w="295" w:type="pc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浓度</w:t>
            </w:r>
          </w:p>
          <w:p>
            <w:pPr>
              <w:pStyle w:val="35"/>
              <w:bidi w:val="0"/>
              <w:jc w:val="center"/>
              <w:rPr>
                <w:rFonts w:hint="default"/>
                <w:b/>
                <w:bCs/>
                <w:color w:val="auto"/>
                <w:lang w:val="en-US" w:eastAsia="zh-CN"/>
              </w:rPr>
            </w:pPr>
            <w:r>
              <w:rPr>
                <w:rFonts w:hint="eastAsia"/>
                <w:b/>
                <w:bCs/>
                <w:color w:val="auto"/>
                <w:lang w:val="en-US" w:eastAsia="zh-CN"/>
              </w:rPr>
              <w:t>mg/m</w:t>
            </w:r>
            <w:r>
              <w:rPr>
                <w:rFonts w:hint="eastAsia"/>
                <w:b/>
                <w:bCs/>
                <w:color w:val="auto"/>
                <w:vertAlign w:val="superscript"/>
                <w:lang w:val="en-US" w:eastAsia="zh-CN"/>
              </w:rPr>
              <w:t>3</w:t>
            </w:r>
          </w:p>
        </w:tc>
        <w:tc>
          <w:tcPr>
            <w:tcW w:w="242" w:type="pc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速率</w:t>
            </w:r>
          </w:p>
          <w:p>
            <w:pPr>
              <w:pStyle w:val="35"/>
              <w:bidi w:val="0"/>
              <w:jc w:val="center"/>
              <w:rPr>
                <w:rFonts w:hint="default"/>
                <w:b/>
                <w:bCs/>
                <w:color w:val="auto"/>
                <w:lang w:val="en-US" w:eastAsia="zh-CN"/>
              </w:rPr>
            </w:pPr>
            <w:r>
              <w:rPr>
                <w:rFonts w:hint="eastAsia"/>
                <w:b/>
                <w:bCs/>
                <w:color w:val="auto"/>
                <w:lang w:val="en-US" w:eastAsia="zh-CN"/>
              </w:rPr>
              <w:t>kg/h</w:t>
            </w:r>
          </w:p>
        </w:tc>
        <w:tc>
          <w:tcPr>
            <w:tcW w:w="275" w:type="pc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排放量</w:t>
            </w:r>
          </w:p>
          <w:p>
            <w:pPr>
              <w:pStyle w:val="35"/>
              <w:bidi w:val="0"/>
              <w:jc w:val="center"/>
              <w:rPr>
                <w:rFonts w:hint="default"/>
                <w:b/>
                <w:bCs/>
                <w:color w:val="auto"/>
                <w:lang w:val="en-US" w:eastAsia="zh-CN"/>
              </w:rPr>
            </w:pPr>
            <w:r>
              <w:rPr>
                <w:rFonts w:hint="eastAsia"/>
                <w:b/>
                <w:bCs/>
                <w:color w:val="auto"/>
                <w:lang w:val="en-US" w:eastAsia="zh-CN"/>
              </w:rPr>
              <w:t>t/a</w:t>
            </w:r>
          </w:p>
        </w:tc>
        <w:tc>
          <w:tcPr>
            <w:tcW w:w="285" w:type="pc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高度</w:t>
            </w:r>
          </w:p>
          <w:p>
            <w:pPr>
              <w:pStyle w:val="35"/>
              <w:bidi w:val="0"/>
              <w:jc w:val="center"/>
              <w:rPr>
                <w:rFonts w:hint="default"/>
                <w:b/>
                <w:bCs/>
                <w:color w:val="auto"/>
                <w:lang w:val="en-US" w:eastAsia="zh-CN"/>
              </w:rPr>
            </w:pPr>
            <w:r>
              <w:rPr>
                <w:rFonts w:hint="eastAsia"/>
                <w:b/>
                <w:bCs/>
                <w:color w:val="auto"/>
                <w:lang w:val="en-US" w:eastAsia="zh-CN"/>
              </w:rPr>
              <w:t>m</w:t>
            </w:r>
          </w:p>
        </w:tc>
        <w:tc>
          <w:tcPr>
            <w:tcW w:w="235" w:type="pc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直径</w:t>
            </w:r>
          </w:p>
          <w:p>
            <w:pPr>
              <w:pStyle w:val="35"/>
              <w:bidi w:val="0"/>
              <w:jc w:val="center"/>
              <w:rPr>
                <w:rFonts w:hint="default"/>
                <w:b/>
                <w:bCs/>
                <w:color w:val="auto"/>
                <w:lang w:val="en-US" w:eastAsia="zh-CN"/>
              </w:rPr>
            </w:pPr>
            <w:r>
              <w:rPr>
                <w:rFonts w:hint="eastAsia"/>
                <w:b/>
                <w:bCs/>
                <w:color w:val="auto"/>
                <w:lang w:val="en-US" w:eastAsia="zh-CN"/>
              </w:rPr>
              <w:t>m</w:t>
            </w:r>
          </w:p>
        </w:tc>
        <w:tc>
          <w:tcPr>
            <w:tcW w:w="263" w:type="pct"/>
            <w:vMerge w:val="continue"/>
            <w:tcBorders>
              <w:tl2br w:val="nil"/>
              <w:tr2bl w:val="nil"/>
            </w:tcBorders>
            <w:noWrap w:val="0"/>
            <w:vAlign w:val="center"/>
          </w:tcPr>
          <w:p>
            <w:pPr>
              <w:pStyle w:val="35"/>
              <w:bidi w:val="0"/>
              <w:jc w:val="center"/>
              <w:rPr>
                <w:rFonts w:hint="default"/>
                <w:b/>
                <w:bCs/>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736" w:type="pct"/>
            <w:gridSpan w:val="14"/>
            <w:tcBorders>
              <w:tl2br w:val="nil"/>
              <w:tr2bl w:val="nil"/>
            </w:tcBorders>
            <w:noWrap w:val="0"/>
            <w:vAlign w:val="center"/>
          </w:tcPr>
          <w:p>
            <w:pPr>
              <w:pStyle w:val="35"/>
              <w:bidi w:val="0"/>
              <w:jc w:val="center"/>
              <w:rPr>
                <w:rFonts w:hint="eastAsia" w:eastAsia="宋体"/>
                <w:color w:val="auto"/>
                <w:lang w:val="en-US" w:eastAsia="zh-CN"/>
              </w:rPr>
            </w:pPr>
            <w:r>
              <w:rPr>
                <w:rFonts w:ascii="Times New Roman" w:hAnsi="Times New Roman"/>
                <w:caps w:val="0"/>
                <w:smallCaps w:val="0"/>
                <w:color w:val="auto"/>
                <w:sz w:val="21"/>
                <w:szCs w:val="21"/>
              </w:rPr>
              <w:t>蒸馏、初馏过程中不冷凝有机废气</w:t>
            </w:r>
            <w:r>
              <w:rPr>
                <w:rFonts w:hint="eastAsia" w:ascii="Times New Roman" w:hAnsi="Times New Roman"/>
                <w:caps w:val="0"/>
                <w:smallCaps w:val="0"/>
                <w:color w:val="auto"/>
                <w:sz w:val="21"/>
                <w:szCs w:val="21"/>
                <w:lang w:eastAsia="zh-CN"/>
              </w:rPr>
              <w:t>（</w:t>
            </w:r>
            <w:r>
              <w:rPr>
                <w:rFonts w:hint="eastAsia" w:ascii="Times New Roman" w:hAnsi="Times New Roman"/>
                <w:caps w:val="0"/>
                <w:smallCaps w:val="0"/>
                <w:color w:val="auto"/>
                <w:sz w:val="21"/>
                <w:szCs w:val="21"/>
                <w:lang w:val="en-US" w:eastAsia="zh-CN"/>
              </w:rPr>
              <w:t>一期车间</w:t>
            </w:r>
            <w:r>
              <w:rPr>
                <w:rFonts w:hint="eastAsia" w:ascii="Times New Roman" w:hAnsi="Times New Roman"/>
                <w:caps w:val="0"/>
                <w:smallCaps w:val="0"/>
                <w:color w:val="auto"/>
                <w:sz w:val="21"/>
                <w:szCs w:val="21"/>
                <w:lang w:eastAsia="zh-CN"/>
              </w:rPr>
              <w:t>）</w:t>
            </w:r>
          </w:p>
        </w:tc>
        <w:tc>
          <w:tcPr>
            <w:tcW w:w="263" w:type="pct"/>
            <w:tcBorders>
              <w:tl2br w:val="nil"/>
              <w:tr2bl w:val="nil"/>
            </w:tcBorders>
            <w:noWrap w:val="0"/>
            <w:vAlign w:val="center"/>
          </w:tcPr>
          <w:p>
            <w:pPr>
              <w:pStyle w:val="35"/>
              <w:bidi w:val="0"/>
              <w:jc w:val="center"/>
              <w:rPr>
                <w:rFonts w:ascii="Times New Roman" w:hAnsi="Times New Roman"/>
                <w:caps w:val="0"/>
                <w:smallCaps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vMerge w:val="restar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一期车间生产区</w:t>
            </w:r>
          </w:p>
        </w:tc>
        <w:tc>
          <w:tcPr>
            <w:tcW w:w="808" w:type="pct"/>
            <w:vMerge w:val="restart"/>
            <w:tcBorders>
              <w:tl2br w:val="nil"/>
              <w:tr2bl w:val="nil"/>
            </w:tcBorders>
            <w:noWrap w:val="0"/>
            <w:vAlign w:val="center"/>
          </w:tcPr>
          <w:p>
            <w:pPr>
              <w:pStyle w:val="35"/>
              <w:bidi w:val="0"/>
              <w:jc w:val="center"/>
              <w:rPr>
                <w:rFonts w:hint="default"/>
                <w:color w:val="auto"/>
                <w:u w:val="none"/>
                <w:lang w:val="en-US" w:eastAsia="zh-CN"/>
              </w:rPr>
            </w:pPr>
            <w:r>
              <w:rPr>
                <w:rFonts w:hint="eastAsia"/>
                <w:caps w:val="0"/>
                <w:smallCaps w:val="0"/>
                <w:color w:val="auto"/>
                <w:sz w:val="21"/>
                <w:szCs w:val="21"/>
                <w:u w:val="none"/>
                <w:lang w:val="en-US" w:eastAsia="zh-CN"/>
              </w:rPr>
              <w:t>一期燃料油、</w:t>
            </w:r>
            <w:r>
              <w:rPr>
                <w:rFonts w:hint="eastAsia" w:ascii="Times New Roman" w:hAnsi="Times New Roman" w:eastAsia="宋体" w:cs="宋体"/>
                <w:b w:val="0"/>
                <w:bCs w:val="0"/>
                <w:i w:val="0"/>
                <w:caps w:val="0"/>
                <w:smallCaps w:val="0"/>
                <w:color w:val="auto"/>
                <w:kern w:val="0"/>
                <w:sz w:val="21"/>
                <w:szCs w:val="21"/>
                <w:u w:val="none"/>
                <w:lang w:val="en-US" w:eastAsia="zh-CN" w:bidi="ar"/>
              </w:rPr>
              <w:t>二氯丙烷</w:t>
            </w:r>
            <w:r>
              <w:rPr>
                <w:rFonts w:ascii="Times New Roman" w:hAnsi="Times New Roman"/>
                <w:caps w:val="0"/>
                <w:smallCaps w:val="0"/>
                <w:color w:val="auto"/>
                <w:sz w:val="21"/>
                <w:szCs w:val="21"/>
                <w:u w:val="none"/>
              </w:rPr>
              <w:t>蒸馏、初馏过程中不冷凝有机废气</w:t>
            </w:r>
          </w:p>
        </w:tc>
        <w:tc>
          <w:tcPr>
            <w:tcW w:w="242" w:type="pct"/>
            <w:vMerge w:val="restart"/>
            <w:tcBorders>
              <w:tl2br w:val="nil"/>
              <w:tr2bl w:val="nil"/>
            </w:tcBorders>
            <w:noWrap w:val="0"/>
            <w:vAlign w:val="center"/>
          </w:tcPr>
          <w:p>
            <w:pPr>
              <w:pStyle w:val="35"/>
              <w:bidi w:val="0"/>
              <w:jc w:val="center"/>
              <w:rPr>
                <w:rFonts w:hint="default"/>
                <w:color w:val="auto"/>
                <w:u w:val="none"/>
                <w:lang w:val="en-US" w:eastAsia="zh-CN"/>
              </w:rPr>
            </w:pPr>
            <w:r>
              <w:rPr>
                <w:rFonts w:hint="eastAsia"/>
                <w:color w:val="auto"/>
                <w:u w:val="none"/>
                <w:lang w:val="en-US" w:eastAsia="zh-CN"/>
              </w:rPr>
              <w:t>2000</w:t>
            </w:r>
          </w:p>
        </w:tc>
        <w:tc>
          <w:tcPr>
            <w:tcW w:w="522" w:type="pct"/>
            <w:tcBorders>
              <w:tl2br w:val="nil"/>
              <w:tr2bl w:val="nil"/>
            </w:tcBorders>
            <w:noWrap w:val="0"/>
            <w:vAlign w:val="center"/>
          </w:tcPr>
          <w:p>
            <w:pPr>
              <w:widowControl/>
              <w:adjustRightInd w:val="0"/>
              <w:snapToGrid w:val="0"/>
              <w:spacing w:line="360" w:lineRule="exact"/>
              <w:jc w:val="center"/>
              <w:rPr>
                <w:rFonts w:hint="default"/>
                <w:color w:val="auto"/>
                <w:u w:val="none"/>
                <w:lang w:val="en-US" w:eastAsia="zh-CN"/>
              </w:rPr>
            </w:pPr>
            <w:r>
              <w:rPr>
                <w:rFonts w:hint="eastAsia" w:ascii="Times New Roman" w:hAnsi="Times New Roman"/>
                <w:caps w:val="0"/>
                <w:smallCaps w:val="0"/>
                <w:color w:val="auto"/>
                <w:kern w:val="10"/>
                <w:sz w:val="21"/>
                <w:szCs w:val="21"/>
                <w:u w:val="none"/>
                <w:lang w:val="en-US" w:eastAsia="zh-CN"/>
              </w:rPr>
              <w:t>氯化氢</w:t>
            </w:r>
          </w:p>
        </w:tc>
        <w:tc>
          <w:tcPr>
            <w:tcW w:w="321"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 xml:space="preserve">178.03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0.36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2.82</w:t>
            </w:r>
          </w:p>
        </w:tc>
        <w:tc>
          <w:tcPr>
            <w:tcW w:w="247" w:type="pct"/>
            <w:vMerge w:val="restart"/>
            <w:tcBorders>
              <w:tl2br w:val="nil"/>
              <w:tr2bl w:val="nil"/>
            </w:tcBorders>
            <w:noWrap w:val="0"/>
            <w:vAlign w:val="center"/>
          </w:tcPr>
          <w:p>
            <w:pPr>
              <w:pStyle w:val="35"/>
              <w:bidi w:val="0"/>
              <w:jc w:val="center"/>
              <w:rPr>
                <w:rFonts w:hint="eastAsia" w:eastAsia="宋体"/>
                <w:color w:val="auto"/>
                <w:u w:val="none"/>
                <w:lang w:val="en-US" w:eastAsia="zh-CN"/>
              </w:rPr>
            </w:pPr>
            <w:r>
              <w:rPr>
                <w:rFonts w:hint="eastAsia" w:eastAsia="宋体"/>
                <w:color w:val="auto"/>
                <w:u w:val="none"/>
                <w:lang w:val="en-US" w:eastAsia="zh-CN"/>
              </w:rPr>
              <w:t>冷凝+碱液吸收+</w:t>
            </w:r>
            <w:r>
              <w:rPr>
                <w:rFonts w:hint="eastAsia"/>
                <w:color w:val="auto"/>
                <w:u w:val="none"/>
                <w:lang w:val="en-US" w:eastAsia="zh-Hans"/>
              </w:rPr>
              <w:t>炭吸收</w:t>
            </w:r>
            <w:r>
              <w:rPr>
                <w:rFonts w:hint="eastAsia" w:eastAsia="宋体"/>
                <w:color w:val="auto"/>
                <w:u w:val="none"/>
                <w:lang w:val="en-US" w:eastAsia="zh-CN"/>
              </w:rPr>
              <w:t>装置</w:t>
            </w:r>
          </w:p>
          <w:p>
            <w:pPr>
              <w:pStyle w:val="35"/>
              <w:bidi w:val="0"/>
              <w:jc w:val="center"/>
              <w:rPr>
                <w:rFonts w:hint="default" w:eastAsia="宋体"/>
                <w:color w:val="auto"/>
                <w:u w:val="none"/>
                <w:lang w:val="en-US" w:eastAsia="zh-CN"/>
              </w:rPr>
            </w:pPr>
          </w:p>
        </w:tc>
        <w:tc>
          <w:tcPr>
            <w:tcW w:w="247" w:type="pct"/>
            <w:tcBorders>
              <w:tl2br w:val="nil"/>
              <w:tr2bl w:val="nil"/>
            </w:tcBorders>
            <w:noWrap w:val="0"/>
            <w:vAlign w:val="center"/>
          </w:tcPr>
          <w:p>
            <w:pPr>
              <w:pStyle w:val="35"/>
              <w:bidi w:val="0"/>
              <w:jc w:val="center"/>
              <w:rPr>
                <w:rFonts w:hint="eastAsia" w:eastAsia="宋体"/>
                <w:color w:val="auto"/>
                <w:u w:val="none"/>
                <w:lang w:val="en-US" w:eastAsia="zh-CN"/>
              </w:rPr>
            </w:pPr>
            <w:r>
              <w:rPr>
                <w:rFonts w:hint="eastAsia" w:eastAsia="宋体"/>
                <w:color w:val="auto"/>
                <w:u w:val="none"/>
                <w:lang w:val="en-US" w:eastAsia="zh-CN"/>
              </w:rPr>
              <w:t>95</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8.90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0.02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0.141</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20</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restart"/>
            <w:tcBorders>
              <w:tl2br w:val="nil"/>
              <w:tr2bl w:val="nil"/>
            </w:tcBorders>
            <w:noWrap w:val="0"/>
            <w:vAlign w:val="center"/>
          </w:tcPr>
          <w:p>
            <w:pPr>
              <w:pStyle w:val="35"/>
              <w:bidi w:val="0"/>
              <w:jc w:val="center"/>
              <w:rPr>
                <w:rFonts w:hint="default"/>
                <w:color w:val="auto"/>
                <w:u w:val="none"/>
                <w:lang w:val="en-US" w:eastAsia="zh-CN"/>
              </w:rPr>
            </w:pPr>
            <w:r>
              <w:rPr>
                <w:rFonts w:hint="eastAsia"/>
                <w:color w:val="auto"/>
                <w:u w:val="none"/>
                <w:lang w:val="en-US" w:eastAsia="zh-CN"/>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vMerge w:val="continue"/>
            <w:tcBorders>
              <w:tl2br w:val="nil"/>
              <w:tr2bl w:val="nil"/>
            </w:tcBorders>
            <w:noWrap w:val="0"/>
            <w:vAlign w:val="center"/>
          </w:tcPr>
          <w:p>
            <w:pPr>
              <w:pStyle w:val="35"/>
              <w:bidi w:val="0"/>
              <w:jc w:val="center"/>
              <w:rPr>
                <w:rFonts w:hint="default"/>
                <w:color w:val="auto"/>
                <w:lang w:val="en-US" w:eastAsia="zh-CN"/>
              </w:rPr>
            </w:pPr>
          </w:p>
        </w:tc>
        <w:tc>
          <w:tcPr>
            <w:tcW w:w="808"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242"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522" w:type="pct"/>
            <w:tcBorders>
              <w:tl2br w:val="nil"/>
              <w:tr2bl w:val="nil"/>
            </w:tcBorders>
            <w:noWrap w:val="0"/>
            <w:vAlign w:val="center"/>
          </w:tcPr>
          <w:p>
            <w:pPr>
              <w:widowControl/>
              <w:adjustRightInd w:val="0"/>
              <w:snapToGrid w:val="0"/>
              <w:spacing w:line="360" w:lineRule="exact"/>
              <w:jc w:val="center"/>
              <w:rPr>
                <w:rFonts w:hint="default"/>
                <w:color w:val="auto"/>
                <w:u w:val="none"/>
                <w:lang w:val="en-US" w:eastAsia="zh-CN"/>
              </w:rPr>
            </w:pPr>
            <w:r>
              <w:rPr>
                <w:rFonts w:ascii="Times New Roman" w:hAnsi="Times New Roman"/>
                <w:caps w:val="0"/>
                <w:smallCaps w:val="0"/>
                <w:color w:val="auto"/>
                <w:sz w:val="21"/>
                <w:szCs w:val="21"/>
                <w:u w:val="none"/>
              </w:rPr>
              <w:t>非甲烷总烃</w:t>
            </w:r>
          </w:p>
        </w:tc>
        <w:tc>
          <w:tcPr>
            <w:tcW w:w="321"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 xml:space="preserve">454.55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0.91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7.2</w:t>
            </w:r>
          </w:p>
        </w:tc>
        <w:tc>
          <w:tcPr>
            <w:tcW w:w="247" w:type="pct"/>
            <w:vMerge w:val="continue"/>
            <w:tcBorders>
              <w:tl2br w:val="nil"/>
              <w:tr2bl w:val="nil"/>
            </w:tcBorders>
            <w:noWrap w:val="0"/>
            <w:vAlign w:val="center"/>
          </w:tcPr>
          <w:p>
            <w:pPr>
              <w:pStyle w:val="35"/>
              <w:bidi w:val="0"/>
              <w:jc w:val="center"/>
              <w:rPr>
                <w:rFonts w:hint="default" w:eastAsia="宋体"/>
                <w:color w:val="auto"/>
                <w:u w:val="none"/>
                <w:lang w:val="en-US" w:eastAsia="zh-CN"/>
              </w:rPr>
            </w:pPr>
          </w:p>
        </w:tc>
        <w:tc>
          <w:tcPr>
            <w:tcW w:w="247"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95</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22.73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0.05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0.36</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20</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continue"/>
            <w:tcBorders>
              <w:tl2br w:val="nil"/>
              <w:tr2bl w:val="nil"/>
            </w:tcBorders>
            <w:noWrap w:val="0"/>
            <w:vAlign w:val="center"/>
          </w:tcPr>
          <w:p>
            <w:pPr>
              <w:pStyle w:val="35"/>
              <w:bidi w:val="0"/>
              <w:jc w:val="center"/>
              <w:rPr>
                <w:rFonts w:hint="default"/>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283" w:type="pct"/>
            <w:vMerge w:val="continue"/>
            <w:tcBorders>
              <w:tl2br w:val="nil"/>
              <w:tr2bl w:val="nil"/>
            </w:tcBorders>
            <w:noWrap w:val="0"/>
            <w:vAlign w:val="center"/>
          </w:tcPr>
          <w:p>
            <w:pPr>
              <w:pStyle w:val="35"/>
              <w:bidi w:val="0"/>
              <w:jc w:val="center"/>
              <w:rPr>
                <w:rFonts w:hint="default"/>
                <w:color w:val="auto"/>
                <w:lang w:val="en-US" w:eastAsia="zh-CN"/>
              </w:rPr>
            </w:pPr>
          </w:p>
        </w:tc>
        <w:tc>
          <w:tcPr>
            <w:tcW w:w="808"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242"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522" w:type="pct"/>
            <w:tcBorders>
              <w:tl2br w:val="nil"/>
              <w:tr2bl w:val="nil"/>
            </w:tcBorders>
            <w:noWrap w:val="0"/>
            <w:vAlign w:val="center"/>
          </w:tcPr>
          <w:p>
            <w:pPr>
              <w:widowControl/>
              <w:adjustRightInd w:val="0"/>
              <w:snapToGrid w:val="0"/>
              <w:spacing w:line="360" w:lineRule="exact"/>
              <w:jc w:val="center"/>
              <w:rPr>
                <w:rFonts w:hint="default"/>
                <w:color w:val="auto"/>
                <w:u w:val="none"/>
                <w:lang w:val="en-US" w:eastAsia="zh-CN"/>
              </w:rPr>
            </w:pPr>
            <w:r>
              <w:rPr>
                <w:rFonts w:ascii="Times New Roman" w:hAnsi="Times New Roman"/>
                <w:caps w:val="0"/>
                <w:smallCaps w:val="0"/>
                <w:color w:val="auto"/>
                <w:kern w:val="10"/>
                <w:sz w:val="21"/>
                <w:szCs w:val="21"/>
                <w:u w:val="none"/>
              </w:rPr>
              <w:t>苯乙烯</w:t>
            </w:r>
          </w:p>
        </w:tc>
        <w:tc>
          <w:tcPr>
            <w:tcW w:w="321"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 xml:space="preserve">42.93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0.09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0.68</w:t>
            </w:r>
          </w:p>
        </w:tc>
        <w:tc>
          <w:tcPr>
            <w:tcW w:w="247" w:type="pct"/>
            <w:vMerge w:val="continue"/>
            <w:tcBorders>
              <w:tl2br w:val="nil"/>
              <w:tr2bl w:val="nil"/>
            </w:tcBorders>
            <w:noWrap w:val="0"/>
            <w:vAlign w:val="center"/>
          </w:tcPr>
          <w:p>
            <w:pPr>
              <w:pStyle w:val="35"/>
              <w:bidi w:val="0"/>
              <w:jc w:val="center"/>
              <w:rPr>
                <w:rFonts w:hint="default" w:eastAsia="宋体"/>
                <w:color w:val="auto"/>
                <w:u w:val="none"/>
                <w:lang w:val="en-US" w:eastAsia="zh-CN"/>
              </w:rPr>
            </w:pPr>
          </w:p>
        </w:tc>
        <w:tc>
          <w:tcPr>
            <w:tcW w:w="247"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90</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4.29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0.01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0.068</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20</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continue"/>
            <w:tcBorders>
              <w:tl2br w:val="nil"/>
              <w:tr2bl w:val="nil"/>
            </w:tcBorders>
            <w:noWrap w:val="0"/>
            <w:vAlign w:val="center"/>
          </w:tcPr>
          <w:p>
            <w:pPr>
              <w:pStyle w:val="35"/>
              <w:bidi w:val="0"/>
              <w:jc w:val="center"/>
              <w:rPr>
                <w:rFonts w:hint="default"/>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vMerge w:val="continue"/>
            <w:tcBorders>
              <w:tl2br w:val="nil"/>
              <w:tr2bl w:val="nil"/>
            </w:tcBorders>
            <w:noWrap w:val="0"/>
            <w:vAlign w:val="center"/>
          </w:tcPr>
          <w:p>
            <w:pPr>
              <w:pStyle w:val="35"/>
              <w:bidi w:val="0"/>
              <w:jc w:val="center"/>
              <w:rPr>
                <w:rFonts w:hint="default"/>
                <w:color w:val="auto"/>
                <w:lang w:val="en-US" w:eastAsia="zh-CN"/>
              </w:rPr>
            </w:pPr>
          </w:p>
        </w:tc>
        <w:tc>
          <w:tcPr>
            <w:tcW w:w="808"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242"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522" w:type="pct"/>
            <w:tcBorders>
              <w:tl2br w:val="nil"/>
              <w:tr2bl w:val="nil"/>
            </w:tcBorders>
            <w:noWrap w:val="0"/>
            <w:vAlign w:val="center"/>
          </w:tcPr>
          <w:p>
            <w:pPr>
              <w:widowControl/>
              <w:adjustRightInd w:val="0"/>
              <w:snapToGrid w:val="0"/>
              <w:spacing w:line="360" w:lineRule="exact"/>
              <w:jc w:val="center"/>
              <w:rPr>
                <w:rFonts w:hint="default"/>
                <w:color w:val="auto"/>
                <w:u w:val="none"/>
                <w:lang w:val="en-US" w:eastAsia="zh-CN"/>
              </w:rPr>
            </w:pPr>
            <w:r>
              <w:rPr>
                <w:rFonts w:hint="eastAsia" w:ascii="Times New Roman" w:hAnsi="Times New Roman"/>
                <w:caps w:val="0"/>
                <w:smallCaps w:val="0"/>
                <w:color w:val="auto"/>
                <w:sz w:val="21"/>
                <w:szCs w:val="21"/>
                <w:u w:val="none"/>
                <w:lang w:eastAsia="zh-CN"/>
              </w:rPr>
              <w:t>环己烷</w:t>
            </w:r>
          </w:p>
        </w:tc>
        <w:tc>
          <w:tcPr>
            <w:tcW w:w="321"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 xml:space="preserve">37.25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0.07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0.59</w:t>
            </w:r>
          </w:p>
        </w:tc>
        <w:tc>
          <w:tcPr>
            <w:tcW w:w="247" w:type="pct"/>
            <w:vMerge w:val="continue"/>
            <w:tcBorders>
              <w:tl2br w:val="nil"/>
              <w:tr2bl w:val="nil"/>
            </w:tcBorders>
            <w:noWrap w:val="0"/>
            <w:vAlign w:val="center"/>
          </w:tcPr>
          <w:p>
            <w:pPr>
              <w:pStyle w:val="35"/>
              <w:bidi w:val="0"/>
              <w:jc w:val="center"/>
              <w:rPr>
                <w:rFonts w:hint="default" w:eastAsia="宋体"/>
                <w:color w:val="auto"/>
                <w:u w:val="none"/>
                <w:lang w:val="en-US" w:eastAsia="zh-CN"/>
              </w:rPr>
            </w:pPr>
          </w:p>
        </w:tc>
        <w:tc>
          <w:tcPr>
            <w:tcW w:w="247"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90</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3.72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0.01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0.059</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20</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continue"/>
            <w:tcBorders>
              <w:tl2br w:val="nil"/>
              <w:tr2bl w:val="nil"/>
            </w:tcBorders>
            <w:noWrap w:val="0"/>
            <w:vAlign w:val="center"/>
          </w:tcPr>
          <w:p>
            <w:pPr>
              <w:pStyle w:val="35"/>
              <w:bidi w:val="0"/>
              <w:jc w:val="center"/>
              <w:rPr>
                <w:rFonts w:hint="default"/>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vMerge w:val="continue"/>
            <w:tcBorders>
              <w:tl2br w:val="nil"/>
              <w:tr2bl w:val="nil"/>
            </w:tcBorders>
            <w:noWrap w:val="0"/>
            <w:vAlign w:val="center"/>
          </w:tcPr>
          <w:p>
            <w:pPr>
              <w:pStyle w:val="35"/>
              <w:bidi w:val="0"/>
              <w:jc w:val="center"/>
              <w:rPr>
                <w:rFonts w:hint="default"/>
                <w:color w:val="auto"/>
                <w:lang w:val="en-US" w:eastAsia="zh-CN"/>
              </w:rPr>
            </w:pPr>
          </w:p>
        </w:tc>
        <w:tc>
          <w:tcPr>
            <w:tcW w:w="808" w:type="pct"/>
            <w:vMerge w:val="restart"/>
            <w:tcBorders>
              <w:tl2br w:val="nil"/>
              <w:tr2bl w:val="nil"/>
            </w:tcBorders>
            <w:noWrap w:val="0"/>
            <w:vAlign w:val="center"/>
          </w:tcPr>
          <w:p>
            <w:pPr>
              <w:pStyle w:val="35"/>
              <w:bidi w:val="0"/>
              <w:jc w:val="center"/>
              <w:rPr>
                <w:rFonts w:hint="default"/>
                <w:color w:val="auto"/>
                <w:u w:val="none"/>
                <w:lang w:val="en-US" w:eastAsia="zh-CN"/>
              </w:rPr>
            </w:pPr>
            <w:r>
              <w:rPr>
                <w:rFonts w:hint="eastAsia" w:ascii="Times New Roman" w:hAnsi="Times New Roman" w:eastAsia="宋体" w:cs="宋体"/>
                <w:b w:val="0"/>
                <w:bCs w:val="0"/>
                <w:i w:val="0"/>
                <w:caps w:val="0"/>
                <w:smallCaps w:val="0"/>
                <w:color w:val="auto"/>
                <w:kern w:val="0"/>
                <w:sz w:val="21"/>
                <w:szCs w:val="21"/>
                <w:u w:val="none"/>
                <w:lang w:val="en-US" w:eastAsia="zh-CN" w:bidi="ar"/>
              </w:rPr>
              <w:t>二氯丙烷生产线</w:t>
            </w:r>
            <w:r>
              <w:rPr>
                <w:rFonts w:hint="eastAsia" w:ascii="Times New Roman" w:hAnsi="Times New Roman" w:eastAsia="Times New Roman"/>
                <w:b w:val="0"/>
                <w:bCs w:val="0"/>
                <w:caps w:val="0"/>
                <w:smallCaps w:val="0"/>
                <w:color w:val="auto"/>
                <w:sz w:val="21"/>
                <w:szCs w:val="21"/>
                <w:u w:val="none"/>
                <w:lang w:val="zh-CN"/>
              </w:rPr>
              <w:t>及环氧固化剂生产线：</w:t>
            </w:r>
            <w:r>
              <w:rPr>
                <w:rFonts w:ascii="Times New Roman" w:hAnsi="Times New Roman"/>
                <w:b w:val="0"/>
                <w:bCs w:val="0"/>
                <w:caps w:val="0"/>
                <w:smallCaps w:val="0"/>
                <w:color w:val="auto"/>
                <w:sz w:val="21"/>
                <w:szCs w:val="21"/>
                <w:u w:val="none"/>
              </w:rPr>
              <w:t>反应釜（罐）及冷凝器排气口</w:t>
            </w:r>
            <w:r>
              <w:rPr>
                <w:rFonts w:hint="eastAsia" w:ascii="Times New Roman" w:hAnsi="Times New Roman"/>
                <w:b w:val="0"/>
                <w:bCs w:val="0"/>
                <w:caps w:val="0"/>
                <w:smallCaps w:val="0"/>
                <w:color w:val="auto"/>
                <w:sz w:val="21"/>
                <w:szCs w:val="21"/>
                <w:u w:val="none"/>
                <w:lang w:eastAsia="zh-CN"/>
              </w:rPr>
              <w:t>、真空泵尾气</w:t>
            </w:r>
          </w:p>
        </w:tc>
        <w:tc>
          <w:tcPr>
            <w:tcW w:w="242" w:type="pct"/>
            <w:vMerge w:val="restart"/>
            <w:tcBorders>
              <w:tl2br w:val="nil"/>
              <w:tr2bl w:val="nil"/>
            </w:tcBorders>
            <w:noWrap w:val="0"/>
            <w:vAlign w:val="center"/>
          </w:tcPr>
          <w:p>
            <w:pPr>
              <w:pStyle w:val="35"/>
              <w:bidi w:val="0"/>
              <w:jc w:val="center"/>
              <w:rPr>
                <w:rFonts w:hint="default"/>
                <w:color w:val="auto"/>
                <w:u w:val="none"/>
                <w:lang w:val="en-US" w:eastAsia="zh-CN"/>
              </w:rPr>
            </w:pPr>
            <w:r>
              <w:rPr>
                <w:rFonts w:hint="eastAsia"/>
                <w:color w:val="auto"/>
                <w:u w:val="none"/>
                <w:lang w:val="en-US" w:eastAsia="zh-CN"/>
              </w:rPr>
              <w:t>2000</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color w:val="auto"/>
                <w:u w:val="none"/>
                <w:lang w:val="en-US" w:eastAsia="zh-CN"/>
              </w:rPr>
            </w:pPr>
            <w:r>
              <w:rPr>
                <w:rFonts w:hint="eastAsia" w:ascii="Times New Roman" w:hAnsi="Times New Roman" w:eastAsia="宋体" w:cs="宋体"/>
                <w:i w:val="0"/>
                <w:caps w:val="0"/>
                <w:smallCaps w:val="0"/>
                <w:color w:val="auto"/>
                <w:kern w:val="0"/>
                <w:sz w:val="21"/>
                <w:szCs w:val="21"/>
                <w:u w:val="none"/>
                <w:lang w:val="en-US" w:eastAsia="zh-CN" w:bidi="ar"/>
              </w:rPr>
              <w:t>氯化氢</w:t>
            </w:r>
          </w:p>
        </w:tc>
        <w:tc>
          <w:tcPr>
            <w:tcW w:w="321"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 xml:space="preserve">219.70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0.44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3.48</w:t>
            </w:r>
          </w:p>
        </w:tc>
        <w:tc>
          <w:tcPr>
            <w:tcW w:w="247" w:type="pct"/>
            <w:vMerge w:val="continue"/>
            <w:tcBorders>
              <w:tl2br w:val="nil"/>
              <w:tr2bl w:val="nil"/>
            </w:tcBorders>
            <w:noWrap w:val="0"/>
            <w:vAlign w:val="center"/>
          </w:tcPr>
          <w:p>
            <w:pPr>
              <w:pStyle w:val="35"/>
              <w:bidi w:val="0"/>
              <w:jc w:val="center"/>
              <w:rPr>
                <w:rFonts w:hint="default" w:eastAsia="宋体"/>
                <w:color w:val="auto"/>
                <w:u w:val="none"/>
                <w:lang w:val="en-US" w:eastAsia="zh-CN"/>
              </w:rPr>
            </w:pPr>
          </w:p>
        </w:tc>
        <w:tc>
          <w:tcPr>
            <w:tcW w:w="247" w:type="pct"/>
            <w:tcBorders>
              <w:tl2br w:val="nil"/>
              <w:tr2bl w:val="nil"/>
            </w:tcBorders>
            <w:noWrap w:val="0"/>
            <w:vAlign w:val="center"/>
          </w:tcPr>
          <w:p>
            <w:pPr>
              <w:pStyle w:val="35"/>
              <w:bidi w:val="0"/>
              <w:jc w:val="center"/>
              <w:rPr>
                <w:rFonts w:hint="eastAsia" w:eastAsia="宋体"/>
                <w:color w:val="auto"/>
                <w:u w:val="none"/>
                <w:lang w:val="en-US" w:eastAsia="zh-CN"/>
              </w:rPr>
            </w:pPr>
            <w:r>
              <w:rPr>
                <w:rFonts w:hint="eastAsia" w:eastAsia="宋体"/>
                <w:color w:val="auto"/>
                <w:u w:val="none"/>
                <w:lang w:val="en-US" w:eastAsia="zh-CN"/>
              </w:rPr>
              <w:t>95</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10.98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0.02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0.174</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20</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continue"/>
            <w:tcBorders>
              <w:tl2br w:val="nil"/>
              <w:tr2bl w:val="nil"/>
            </w:tcBorders>
            <w:noWrap w:val="0"/>
            <w:vAlign w:val="center"/>
          </w:tcPr>
          <w:p>
            <w:pPr>
              <w:pStyle w:val="35"/>
              <w:bidi w:val="0"/>
              <w:jc w:val="center"/>
              <w:rPr>
                <w:rFonts w:hint="default"/>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vMerge w:val="continue"/>
            <w:tcBorders>
              <w:tl2br w:val="nil"/>
              <w:tr2bl w:val="nil"/>
            </w:tcBorders>
            <w:noWrap w:val="0"/>
            <w:vAlign w:val="center"/>
          </w:tcPr>
          <w:p>
            <w:pPr>
              <w:pStyle w:val="35"/>
              <w:bidi w:val="0"/>
              <w:jc w:val="center"/>
              <w:rPr>
                <w:rFonts w:hint="default"/>
                <w:color w:val="auto"/>
                <w:lang w:val="en-US" w:eastAsia="zh-CN"/>
              </w:rPr>
            </w:pPr>
          </w:p>
        </w:tc>
        <w:tc>
          <w:tcPr>
            <w:tcW w:w="808"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242"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color w:val="auto"/>
                <w:u w:val="none"/>
                <w:lang w:val="en-US" w:eastAsia="zh-CN"/>
              </w:rPr>
            </w:pPr>
            <w:r>
              <w:rPr>
                <w:rFonts w:hint="eastAsia" w:ascii="Times New Roman" w:hAnsi="Times New Roman" w:eastAsia="宋体" w:cs="宋体"/>
                <w:i w:val="0"/>
                <w:caps w:val="0"/>
                <w:smallCaps w:val="0"/>
                <w:color w:val="auto"/>
                <w:kern w:val="0"/>
                <w:sz w:val="21"/>
                <w:szCs w:val="21"/>
                <w:u w:val="none"/>
                <w:lang w:val="en-US" w:eastAsia="zh-CN" w:bidi="ar"/>
              </w:rPr>
              <w:t>非甲烷总烃</w:t>
            </w:r>
          </w:p>
        </w:tc>
        <w:tc>
          <w:tcPr>
            <w:tcW w:w="321"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 xml:space="preserve">247.47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0.49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3.92</w:t>
            </w:r>
          </w:p>
        </w:tc>
        <w:tc>
          <w:tcPr>
            <w:tcW w:w="247" w:type="pct"/>
            <w:vMerge w:val="continue"/>
            <w:tcBorders>
              <w:tl2br w:val="nil"/>
              <w:tr2bl w:val="nil"/>
            </w:tcBorders>
            <w:noWrap w:val="0"/>
            <w:vAlign w:val="center"/>
          </w:tcPr>
          <w:p>
            <w:pPr>
              <w:pStyle w:val="35"/>
              <w:bidi w:val="0"/>
              <w:jc w:val="center"/>
              <w:rPr>
                <w:rFonts w:hint="default" w:eastAsia="宋体"/>
                <w:color w:val="auto"/>
                <w:u w:val="none"/>
                <w:lang w:val="en-US" w:eastAsia="zh-CN"/>
              </w:rPr>
            </w:pPr>
          </w:p>
        </w:tc>
        <w:tc>
          <w:tcPr>
            <w:tcW w:w="247"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95</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12.37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0.02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0.196</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20</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continue"/>
            <w:tcBorders>
              <w:tl2br w:val="nil"/>
              <w:tr2bl w:val="nil"/>
            </w:tcBorders>
            <w:noWrap w:val="0"/>
            <w:vAlign w:val="center"/>
          </w:tcPr>
          <w:p>
            <w:pPr>
              <w:pStyle w:val="35"/>
              <w:bidi w:val="0"/>
              <w:jc w:val="center"/>
              <w:rPr>
                <w:rFonts w:hint="default"/>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vMerge w:val="continue"/>
            <w:tcBorders>
              <w:tl2br w:val="nil"/>
              <w:tr2bl w:val="nil"/>
            </w:tcBorders>
            <w:noWrap w:val="0"/>
            <w:vAlign w:val="center"/>
          </w:tcPr>
          <w:p>
            <w:pPr>
              <w:pStyle w:val="35"/>
              <w:bidi w:val="0"/>
              <w:jc w:val="center"/>
              <w:rPr>
                <w:rFonts w:hint="default"/>
                <w:color w:val="auto"/>
                <w:lang w:val="en-US" w:eastAsia="zh-CN"/>
              </w:rPr>
            </w:pPr>
          </w:p>
        </w:tc>
        <w:tc>
          <w:tcPr>
            <w:tcW w:w="808"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242"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color w:val="auto"/>
                <w:u w:val="none"/>
                <w:lang w:val="en-US" w:eastAsia="zh-CN"/>
              </w:rPr>
            </w:pPr>
            <w:r>
              <w:rPr>
                <w:rFonts w:hint="eastAsia" w:ascii="Times New Roman" w:hAnsi="Times New Roman" w:eastAsia="宋体" w:cs="宋体"/>
                <w:i w:val="0"/>
                <w:caps w:val="0"/>
                <w:smallCaps w:val="0"/>
                <w:color w:val="auto"/>
                <w:kern w:val="0"/>
                <w:sz w:val="21"/>
                <w:szCs w:val="21"/>
                <w:u w:val="none"/>
                <w:lang w:val="en-US" w:eastAsia="zh-CN" w:bidi="ar"/>
              </w:rPr>
              <w:t>酚类</w:t>
            </w:r>
          </w:p>
        </w:tc>
        <w:tc>
          <w:tcPr>
            <w:tcW w:w="321"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 xml:space="preserve">42.93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0.09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0.68</w:t>
            </w:r>
          </w:p>
        </w:tc>
        <w:tc>
          <w:tcPr>
            <w:tcW w:w="247" w:type="pct"/>
            <w:vMerge w:val="continue"/>
            <w:tcBorders>
              <w:tl2br w:val="nil"/>
              <w:tr2bl w:val="nil"/>
            </w:tcBorders>
            <w:noWrap w:val="0"/>
            <w:vAlign w:val="center"/>
          </w:tcPr>
          <w:p>
            <w:pPr>
              <w:pStyle w:val="35"/>
              <w:bidi w:val="0"/>
              <w:jc w:val="center"/>
              <w:rPr>
                <w:rFonts w:hint="default" w:eastAsia="宋体"/>
                <w:color w:val="auto"/>
                <w:u w:val="none"/>
                <w:lang w:val="en-US" w:eastAsia="zh-CN"/>
              </w:rPr>
            </w:pPr>
          </w:p>
        </w:tc>
        <w:tc>
          <w:tcPr>
            <w:tcW w:w="247"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90</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4.29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0.01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0.068</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20</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continue"/>
            <w:tcBorders>
              <w:tl2br w:val="nil"/>
              <w:tr2bl w:val="nil"/>
            </w:tcBorders>
            <w:noWrap w:val="0"/>
            <w:vAlign w:val="center"/>
          </w:tcPr>
          <w:p>
            <w:pPr>
              <w:pStyle w:val="35"/>
              <w:bidi w:val="0"/>
              <w:jc w:val="center"/>
              <w:rPr>
                <w:rFonts w:hint="default"/>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vMerge w:val="continue"/>
            <w:tcBorders>
              <w:tl2br w:val="nil"/>
              <w:tr2bl w:val="nil"/>
            </w:tcBorders>
            <w:noWrap w:val="0"/>
            <w:vAlign w:val="center"/>
          </w:tcPr>
          <w:p>
            <w:pPr>
              <w:pStyle w:val="35"/>
              <w:bidi w:val="0"/>
              <w:jc w:val="center"/>
              <w:rPr>
                <w:rFonts w:hint="default"/>
                <w:color w:val="auto"/>
                <w:lang w:val="en-US" w:eastAsia="zh-CN"/>
              </w:rPr>
            </w:pPr>
          </w:p>
        </w:tc>
        <w:tc>
          <w:tcPr>
            <w:tcW w:w="808"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242"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color w:val="auto"/>
                <w:u w:val="none"/>
                <w:lang w:val="en-US" w:eastAsia="zh-CN"/>
              </w:rPr>
            </w:pPr>
            <w:r>
              <w:rPr>
                <w:rFonts w:hint="eastAsia" w:ascii="Times New Roman" w:hAnsi="Times New Roman" w:eastAsia="宋体" w:cs="宋体"/>
                <w:i w:val="0"/>
                <w:caps w:val="0"/>
                <w:smallCaps w:val="0"/>
                <w:color w:val="auto"/>
                <w:kern w:val="0"/>
                <w:sz w:val="21"/>
                <w:szCs w:val="21"/>
                <w:u w:val="none"/>
                <w:lang w:val="en-US" w:eastAsia="zh-CN" w:bidi="ar"/>
              </w:rPr>
              <w:t>甲醛</w:t>
            </w:r>
          </w:p>
        </w:tc>
        <w:tc>
          <w:tcPr>
            <w:tcW w:w="321"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 xml:space="preserve">39.14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0.08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0.62</w:t>
            </w:r>
          </w:p>
        </w:tc>
        <w:tc>
          <w:tcPr>
            <w:tcW w:w="247" w:type="pct"/>
            <w:vMerge w:val="continue"/>
            <w:tcBorders>
              <w:tl2br w:val="nil"/>
              <w:tr2bl w:val="nil"/>
            </w:tcBorders>
            <w:noWrap w:val="0"/>
            <w:vAlign w:val="center"/>
          </w:tcPr>
          <w:p>
            <w:pPr>
              <w:pStyle w:val="35"/>
              <w:bidi w:val="0"/>
              <w:jc w:val="center"/>
              <w:rPr>
                <w:rFonts w:hint="default" w:eastAsia="宋体"/>
                <w:color w:val="auto"/>
                <w:u w:val="none"/>
                <w:lang w:val="en-US" w:eastAsia="zh-CN"/>
              </w:rPr>
            </w:pPr>
          </w:p>
        </w:tc>
        <w:tc>
          <w:tcPr>
            <w:tcW w:w="247"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90</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3.91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0.01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0.062</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20</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continue"/>
            <w:tcBorders>
              <w:tl2br w:val="nil"/>
              <w:tr2bl w:val="nil"/>
            </w:tcBorders>
            <w:noWrap w:val="0"/>
            <w:vAlign w:val="center"/>
          </w:tcPr>
          <w:p>
            <w:pPr>
              <w:pStyle w:val="35"/>
              <w:bidi w:val="0"/>
              <w:jc w:val="center"/>
              <w:rPr>
                <w:rFonts w:hint="default"/>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vMerge w:val="continue"/>
            <w:tcBorders>
              <w:tl2br w:val="nil"/>
              <w:tr2bl w:val="nil"/>
            </w:tcBorders>
            <w:noWrap w:val="0"/>
            <w:vAlign w:val="center"/>
          </w:tcPr>
          <w:p>
            <w:pPr>
              <w:pStyle w:val="35"/>
              <w:bidi w:val="0"/>
              <w:jc w:val="center"/>
              <w:rPr>
                <w:rFonts w:hint="default"/>
                <w:color w:val="auto"/>
                <w:lang w:val="en-US" w:eastAsia="zh-CN"/>
              </w:rPr>
            </w:pPr>
          </w:p>
        </w:tc>
        <w:tc>
          <w:tcPr>
            <w:tcW w:w="808"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242"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color w:val="auto"/>
                <w:u w:val="none"/>
                <w:lang w:val="en-US" w:eastAsia="zh-CN"/>
              </w:rPr>
            </w:pPr>
            <w:r>
              <w:rPr>
                <w:rFonts w:hint="eastAsia" w:ascii="Times New Roman" w:hAnsi="Times New Roman" w:eastAsia="宋体" w:cs="宋体"/>
                <w:i w:val="0"/>
                <w:caps w:val="0"/>
                <w:smallCaps w:val="0"/>
                <w:color w:val="auto"/>
                <w:kern w:val="0"/>
                <w:sz w:val="21"/>
                <w:szCs w:val="21"/>
                <w:u w:val="none"/>
                <w:lang w:val="en-US" w:eastAsia="zh-CN" w:bidi="ar"/>
              </w:rPr>
              <w:t>甲醇</w:t>
            </w:r>
          </w:p>
        </w:tc>
        <w:tc>
          <w:tcPr>
            <w:tcW w:w="321"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 xml:space="preserve">37.25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0.07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0.59</w:t>
            </w:r>
          </w:p>
        </w:tc>
        <w:tc>
          <w:tcPr>
            <w:tcW w:w="247" w:type="pct"/>
            <w:vMerge w:val="continue"/>
            <w:tcBorders>
              <w:tl2br w:val="nil"/>
              <w:tr2bl w:val="nil"/>
            </w:tcBorders>
            <w:noWrap w:val="0"/>
            <w:vAlign w:val="center"/>
          </w:tcPr>
          <w:p>
            <w:pPr>
              <w:pStyle w:val="35"/>
              <w:bidi w:val="0"/>
              <w:jc w:val="center"/>
              <w:rPr>
                <w:rFonts w:hint="default" w:eastAsia="宋体"/>
                <w:color w:val="auto"/>
                <w:u w:val="none"/>
                <w:lang w:val="en-US" w:eastAsia="zh-CN"/>
              </w:rPr>
            </w:pPr>
          </w:p>
        </w:tc>
        <w:tc>
          <w:tcPr>
            <w:tcW w:w="247"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90</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3.72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0.01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0.059</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20</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continue"/>
            <w:tcBorders>
              <w:tl2br w:val="nil"/>
              <w:tr2bl w:val="nil"/>
            </w:tcBorders>
            <w:noWrap w:val="0"/>
            <w:vAlign w:val="center"/>
          </w:tcPr>
          <w:p>
            <w:pPr>
              <w:pStyle w:val="35"/>
              <w:bidi w:val="0"/>
              <w:jc w:val="center"/>
              <w:rPr>
                <w:rFonts w:hint="default"/>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vMerge w:val="continue"/>
            <w:tcBorders>
              <w:tl2br w:val="nil"/>
              <w:tr2bl w:val="nil"/>
            </w:tcBorders>
            <w:noWrap w:val="0"/>
            <w:vAlign w:val="center"/>
          </w:tcPr>
          <w:p>
            <w:pPr>
              <w:pStyle w:val="35"/>
              <w:bidi w:val="0"/>
              <w:jc w:val="center"/>
              <w:rPr>
                <w:rFonts w:hint="default"/>
                <w:color w:val="auto"/>
                <w:lang w:val="en-US" w:eastAsia="zh-CN"/>
              </w:rPr>
            </w:pPr>
          </w:p>
        </w:tc>
        <w:tc>
          <w:tcPr>
            <w:tcW w:w="808"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242" w:type="pct"/>
            <w:vMerge w:val="continue"/>
            <w:tcBorders>
              <w:tl2br w:val="nil"/>
              <w:tr2bl w:val="nil"/>
            </w:tcBorders>
            <w:noWrap w:val="0"/>
            <w:vAlign w:val="center"/>
          </w:tcPr>
          <w:p>
            <w:pPr>
              <w:pStyle w:val="35"/>
              <w:bidi w:val="0"/>
              <w:jc w:val="center"/>
              <w:rPr>
                <w:rFonts w:hint="default"/>
                <w:color w:val="auto"/>
                <w:u w:val="none"/>
                <w:lang w:val="en-US" w:eastAsia="zh-CN"/>
              </w:rPr>
            </w:pP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color w:val="auto"/>
                <w:u w:val="none"/>
                <w:lang w:val="en-US" w:eastAsia="zh-CN"/>
              </w:rPr>
            </w:pPr>
            <w:r>
              <w:rPr>
                <w:rFonts w:hint="eastAsia" w:ascii="Times New Roman" w:hAnsi="Times New Roman" w:eastAsia="宋体" w:cs="宋体"/>
                <w:i w:val="0"/>
                <w:caps w:val="0"/>
                <w:smallCaps w:val="0"/>
                <w:color w:val="auto"/>
                <w:kern w:val="0"/>
                <w:sz w:val="21"/>
                <w:szCs w:val="21"/>
                <w:u w:val="none"/>
                <w:lang w:val="en-US" w:eastAsia="zh-CN" w:bidi="ar"/>
              </w:rPr>
              <w:t>VOCs</w:t>
            </w:r>
          </w:p>
        </w:tc>
        <w:tc>
          <w:tcPr>
            <w:tcW w:w="321"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 xml:space="preserve">276.52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0.55 </w:t>
            </w:r>
          </w:p>
        </w:tc>
        <w:tc>
          <w:tcPr>
            <w:tcW w:w="363"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4.38</w:t>
            </w:r>
          </w:p>
        </w:tc>
        <w:tc>
          <w:tcPr>
            <w:tcW w:w="247" w:type="pct"/>
            <w:vMerge w:val="continue"/>
            <w:tcBorders>
              <w:tl2br w:val="nil"/>
              <w:tr2bl w:val="nil"/>
            </w:tcBorders>
            <w:noWrap w:val="0"/>
            <w:vAlign w:val="center"/>
          </w:tcPr>
          <w:p>
            <w:pPr>
              <w:pStyle w:val="35"/>
              <w:bidi w:val="0"/>
              <w:jc w:val="center"/>
              <w:rPr>
                <w:rFonts w:hint="default" w:eastAsia="宋体"/>
                <w:color w:val="auto"/>
                <w:u w:val="none"/>
                <w:lang w:val="en-US" w:eastAsia="zh-CN"/>
              </w:rPr>
            </w:pPr>
          </w:p>
        </w:tc>
        <w:tc>
          <w:tcPr>
            <w:tcW w:w="247"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90</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27.65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0.06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0.438</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20</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continue"/>
            <w:tcBorders>
              <w:tl2br w:val="nil"/>
              <w:tr2bl w:val="nil"/>
            </w:tcBorders>
            <w:noWrap w:val="0"/>
            <w:vAlign w:val="center"/>
          </w:tcPr>
          <w:p>
            <w:pPr>
              <w:pStyle w:val="35"/>
              <w:bidi w:val="0"/>
              <w:jc w:val="center"/>
              <w:rPr>
                <w:rFonts w:hint="default"/>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501" w:type="pct"/>
            <w:gridSpan w:val="13"/>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二期车间废气</w:t>
            </w:r>
          </w:p>
        </w:tc>
        <w:tc>
          <w:tcPr>
            <w:tcW w:w="235" w:type="pct"/>
            <w:tcBorders>
              <w:tl2br w:val="nil"/>
              <w:tr2bl w:val="nil"/>
            </w:tcBorders>
            <w:noWrap w:val="0"/>
            <w:vAlign w:val="center"/>
          </w:tcPr>
          <w:p>
            <w:pPr>
              <w:pStyle w:val="35"/>
              <w:bidi w:val="0"/>
              <w:jc w:val="center"/>
              <w:rPr>
                <w:rFonts w:hint="eastAsia" w:eastAsia="宋体"/>
                <w:color w:val="auto"/>
                <w:u w:val="none"/>
                <w:lang w:val="en-US" w:eastAsia="zh-CN"/>
              </w:rPr>
            </w:pPr>
          </w:p>
        </w:tc>
        <w:tc>
          <w:tcPr>
            <w:tcW w:w="263" w:type="pct"/>
            <w:tcBorders>
              <w:tl2br w:val="nil"/>
              <w:tr2bl w:val="nil"/>
            </w:tcBorders>
            <w:noWrap w:val="0"/>
            <w:vAlign w:val="center"/>
          </w:tcPr>
          <w:p>
            <w:pPr>
              <w:pStyle w:val="35"/>
              <w:bidi w:val="0"/>
              <w:jc w:val="center"/>
              <w:rPr>
                <w:rFonts w:hint="default"/>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92" w:hRule="atLeast"/>
        </w:trPr>
        <w:tc>
          <w:tcPr>
            <w:tcW w:w="283" w:type="pct"/>
            <w:vMerge w:val="restar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二期车间生产区</w:t>
            </w:r>
          </w:p>
        </w:tc>
        <w:tc>
          <w:tcPr>
            <w:tcW w:w="808" w:type="pct"/>
            <w:vMerge w:val="restar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涂料助剂及环氧地坪涂料生产线：反应釜（罐）及冷凝器排气口、真空泵尾气；环氧地坪涂料生产线：投料口、分散、研磨、调和工序</w:t>
            </w:r>
          </w:p>
        </w:tc>
        <w:tc>
          <w:tcPr>
            <w:tcW w:w="242" w:type="pct"/>
            <w:vMerge w:val="restar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2000</w:t>
            </w:r>
          </w:p>
        </w:tc>
        <w:tc>
          <w:tcPr>
            <w:tcW w:w="522" w:type="pct"/>
            <w:tcBorders>
              <w:tl2br w:val="nil"/>
              <w:tr2bl w:val="nil"/>
            </w:tcBorders>
            <w:noWrap w:val="0"/>
            <w:vAlign w:val="center"/>
          </w:tcPr>
          <w:p>
            <w:pPr>
              <w:pStyle w:val="35"/>
              <w:bidi w:val="0"/>
              <w:jc w:val="center"/>
              <w:rPr>
                <w:rFonts w:hint="eastAsia" w:eastAsia="宋体"/>
                <w:color w:val="auto"/>
                <w:lang w:val="en-US" w:eastAsia="zh-CN"/>
              </w:rPr>
            </w:pPr>
            <w:r>
              <w:rPr>
                <w:rFonts w:hint="eastAsia" w:eastAsia="宋体"/>
                <w:color w:val="auto"/>
                <w:lang w:val="en-US" w:eastAsia="zh-CN"/>
              </w:rPr>
              <w:t>非甲烷总烃</w:t>
            </w:r>
          </w:p>
        </w:tc>
        <w:tc>
          <w:tcPr>
            <w:tcW w:w="321"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 xml:space="preserve">340.97 </w:t>
            </w:r>
          </w:p>
        </w:tc>
        <w:tc>
          <w:tcPr>
            <w:tcW w:w="363"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 xml:space="preserve">0.68 </w:t>
            </w:r>
          </w:p>
        </w:tc>
        <w:tc>
          <w:tcPr>
            <w:tcW w:w="363"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 xml:space="preserve">4.91 </w:t>
            </w:r>
          </w:p>
        </w:tc>
        <w:tc>
          <w:tcPr>
            <w:tcW w:w="247" w:type="pct"/>
            <w:vMerge w:val="restart"/>
            <w:tcBorders>
              <w:tl2br w:val="nil"/>
              <w:tr2bl w:val="nil"/>
            </w:tcBorders>
            <w:noWrap w:val="0"/>
            <w:vAlign w:val="center"/>
          </w:tcPr>
          <w:p>
            <w:pPr>
              <w:pStyle w:val="35"/>
              <w:bidi w:val="0"/>
              <w:jc w:val="center"/>
              <w:rPr>
                <w:rFonts w:hint="eastAsia" w:eastAsia="宋体"/>
                <w:color w:val="auto"/>
                <w:lang w:val="en-US" w:eastAsia="zh-CN"/>
              </w:rPr>
            </w:pPr>
          </w:p>
          <w:p>
            <w:pPr>
              <w:pStyle w:val="35"/>
              <w:bidi w:val="0"/>
              <w:jc w:val="center"/>
              <w:rPr>
                <w:rFonts w:hint="default" w:eastAsia="宋体"/>
                <w:color w:val="auto"/>
                <w:lang w:val="en-US" w:eastAsia="zh-CN"/>
              </w:rPr>
            </w:pPr>
            <w:r>
              <w:rPr>
                <w:rFonts w:hint="eastAsia" w:eastAsia="宋体"/>
                <w:color w:val="auto"/>
                <w:lang w:val="en-US" w:eastAsia="zh-CN"/>
              </w:rPr>
              <w:t>冷凝+UV光催化氧化</w:t>
            </w:r>
          </w:p>
        </w:tc>
        <w:tc>
          <w:tcPr>
            <w:tcW w:w="247" w:type="pct"/>
            <w:tcBorders>
              <w:tl2br w:val="nil"/>
              <w:tr2bl w:val="nil"/>
            </w:tcBorders>
            <w:noWrap w:val="0"/>
            <w:vAlign w:val="center"/>
          </w:tcPr>
          <w:p>
            <w:pPr>
              <w:pStyle w:val="35"/>
              <w:bidi w:val="0"/>
              <w:jc w:val="center"/>
              <w:rPr>
                <w:rFonts w:hint="eastAsia" w:eastAsia="宋体"/>
                <w:color w:val="auto"/>
                <w:lang w:val="en-US" w:eastAsia="zh-CN"/>
              </w:rPr>
            </w:pPr>
            <w:r>
              <w:rPr>
                <w:rFonts w:hint="eastAsia" w:eastAsia="宋体"/>
                <w:color w:val="auto"/>
                <w:lang w:val="en-US" w:eastAsia="zh-CN"/>
              </w:rPr>
              <w:t>90</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34.10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0.07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0.491</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15</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restar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7200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7" w:hRule="atLeast"/>
        </w:trPr>
        <w:tc>
          <w:tcPr>
            <w:tcW w:w="283" w:type="pct"/>
            <w:vMerge w:val="continue"/>
            <w:tcBorders>
              <w:tl2br w:val="nil"/>
              <w:tr2bl w:val="nil"/>
            </w:tcBorders>
            <w:noWrap w:val="0"/>
            <w:vAlign w:val="center"/>
          </w:tcPr>
          <w:p>
            <w:pPr>
              <w:pStyle w:val="35"/>
              <w:bidi w:val="0"/>
              <w:jc w:val="center"/>
              <w:rPr>
                <w:rFonts w:hint="default" w:eastAsia="宋体"/>
                <w:color w:val="auto"/>
                <w:lang w:val="en-US" w:eastAsia="zh-CN"/>
              </w:rPr>
            </w:pPr>
          </w:p>
        </w:tc>
        <w:tc>
          <w:tcPr>
            <w:tcW w:w="808" w:type="pct"/>
            <w:vMerge w:val="continue"/>
            <w:tcBorders>
              <w:tl2br w:val="nil"/>
              <w:tr2bl w:val="nil"/>
            </w:tcBorders>
            <w:noWrap w:val="0"/>
            <w:vAlign w:val="center"/>
          </w:tcPr>
          <w:p>
            <w:pPr>
              <w:pStyle w:val="35"/>
              <w:bidi w:val="0"/>
              <w:jc w:val="center"/>
              <w:rPr>
                <w:rFonts w:hint="default" w:eastAsia="宋体"/>
                <w:color w:val="auto"/>
                <w:lang w:val="en-US" w:eastAsia="zh-CN"/>
              </w:rPr>
            </w:pPr>
          </w:p>
        </w:tc>
        <w:tc>
          <w:tcPr>
            <w:tcW w:w="242" w:type="pct"/>
            <w:vMerge w:val="continue"/>
            <w:tcBorders>
              <w:tl2br w:val="nil"/>
              <w:tr2bl w:val="nil"/>
            </w:tcBorders>
            <w:noWrap w:val="0"/>
            <w:vAlign w:val="center"/>
          </w:tcPr>
          <w:p>
            <w:pPr>
              <w:pStyle w:val="35"/>
              <w:bidi w:val="0"/>
              <w:jc w:val="center"/>
              <w:rPr>
                <w:rFonts w:hint="default" w:eastAsia="宋体"/>
                <w:color w:val="auto"/>
                <w:lang w:val="en-US" w:eastAsia="zh-CN"/>
              </w:rPr>
            </w:pPr>
          </w:p>
        </w:tc>
        <w:tc>
          <w:tcPr>
            <w:tcW w:w="522" w:type="pct"/>
            <w:tcBorders>
              <w:tl2br w:val="nil"/>
              <w:tr2bl w:val="nil"/>
            </w:tcBorders>
            <w:noWrap w:val="0"/>
            <w:vAlign w:val="center"/>
          </w:tcPr>
          <w:p>
            <w:pPr>
              <w:pStyle w:val="35"/>
              <w:bidi w:val="0"/>
              <w:jc w:val="center"/>
              <w:rPr>
                <w:rFonts w:hint="eastAsia" w:eastAsia="宋体"/>
                <w:color w:val="auto"/>
                <w:lang w:val="en-US" w:eastAsia="zh-CN"/>
              </w:rPr>
            </w:pPr>
            <w:r>
              <w:rPr>
                <w:rFonts w:hint="eastAsia" w:eastAsia="宋体"/>
                <w:color w:val="auto"/>
                <w:lang w:val="en-US" w:eastAsia="zh-CN"/>
              </w:rPr>
              <w:t>二甲苯</w:t>
            </w:r>
          </w:p>
        </w:tc>
        <w:tc>
          <w:tcPr>
            <w:tcW w:w="321"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 xml:space="preserve">13.19 </w:t>
            </w:r>
          </w:p>
        </w:tc>
        <w:tc>
          <w:tcPr>
            <w:tcW w:w="363"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 xml:space="preserve">0.03 </w:t>
            </w:r>
          </w:p>
        </w:tc>
        <w:tc>
          <w:tcPr>
            <w:tcW w:w="363"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 xml:space="preserve">0.19 </w:t>
            </w:r>
          </w:p>
        </w:tc>
        <w:tc>
          <w:tcPr>
            <w:tcW w:w="247" w:type="pct"/>
            <w:vMerge w:val="continue"/>
            <w:tcBorders>
              <w:tl2br w:val="nil"/>
              <w:tr2bl w:val="nil"/>
            </w:tcBorders>
            <w:noWrap w:val="0"/>
            <w:vAlign w:val="center"/>
          </w:tcPr>
          <w:p>
            <w:pPr>
              <w:pStyle w:val="35"/>
              <w:bidi w:val="0"/>
              <w:jc w:val="center"/>
              <w:rPr>
                <w:rFonts w:hint="default" w:eastAsia="宋体"/>
                <w:color w:val="auto"/>
                <w:lang w:val="en-US" w:eastAsia="zh-CN"/>
              </w:rPr>
            </w:pPr>
          </w:p>
        </w:tc>
        <w:tc>
          <w:tcPr>
            <w:tcW w:w="247"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90</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1.32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0.00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0.019</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15</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continue"/>
            <w:tcBorders>
              <w:tl2br w:val="nil"/>
              <w:tr2bl w:val="nil"/>
            </w:tcBorders>
            <w:noWrap w:val="0"/>
            <w:vAlign w:val="center"/>
          </w:tcPr>
          <w:p>
            <w:pPr>
              <w:pStyle w:val="35"/>
              <w:bidi w:val="0"/>
              <w:jc w:val="center"/>
              <w:rPr>
                <w:rFonts w:hint="default" w:eastAsia="宋体"/>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91" w:hRule="atLeast"/>
        </w:trPr>
        <w:tc>
          <w:tcPr>
            <w:tcW w:w="283" w:type="pct"/>
            <w:vMerge w:val="continue"/>
            <w:tcBorders>
              <w:tl2br w:val="nil"/>
              <w:tr2bl w:val="nil"/>
            </w:tcBorders>
            <w:noWrap w:val="0"/>
            <w:vAlign w:val="center"/>
          </w:tcPr>
          <w:p>
            <w:pPr>
              <w:pStyle w:val="35"/>
              <w:bidi w:val="0"/>
              <w:jc w:val="center"/>
              <w:rPr>
                <w:rFonts w:hint="default" w:eastAsia="宋体"/>
                <w:color w:val="auto"/>
                <w:lang w:val="en-US" w:eastAsia="zh-CN"/>
              </w:rPr>
            </w:pPr>
          </w:p>
        </w:tc>
        <w:tc>
          <w:tcPr>
            <w:tcW w:w="808" w:type="pct"/>
            <w:vMerge w:val="continue"/>
            <w:tcBorders>
              <w:tl2br w:val="nil"/>
              <w:tr2bl w:val="nil"/>
            </w:tcBorders>
            <w:noWrap w:val="0"/>
            <w:vAlign w:val="center"/>
          </w:tcPr>
          <w:p>
            <w:pPr>
              <w:pStyle w:val="35"/>
              <w:bidi w:val="0"/>
              <w:jc w:val="center"/>
              <w:rPr>
                <w:rFonts w:hint="default" w:eastAsia="宋体"/>
                <w:color w:val="auto"/>
                <w:lang w:val="en-US" w:eastAsia="zh-CN"/>
              </w:rPr>
            </w:pPr>
          </w:p>
        </w:tc>
        <w:tc>
          <w:tcPr>
            <w:tcW w:w="242" w:type="pct"/>
            <w:vMerge w:val="continue"/>
            <w:tcBorders>
              <w:tl2br w:val="nil"/>
              <w:tr2bl w:val="nil"/>
            </w:tcBorders>
            <w:noWrap w:val="0"/>
            <w:vAlign w:val="center"/>
          </w:tcPr>
          <w:p>
            <w:pPr>
              <w:pStyle w:val="35"/>
              <w:bidi w:val="0"/>
              <w:jc w:val="center"/>
              <w:rPr>
                <w:rFonts w:hint="default" w:eastAsia="宋体"/>
                <w:color w:val="auto"/>
                <w:lang w:val="en-US" w:eastAsia="zh-CN"/>
              </w:rPr>
            </w:pPr>
          </w:p>
        </w:tc>
        <w:tc>
          <w:tcPr>
            <w:tcW w:w="522" w:type="pct"/>
            <w:tcBorders>
              <w:tl2br w:val="nil"/>
              <w:tr2bl w:val="nil"/>
            </w:tcBorders>
            <w:noWrap w:val="0"/>
            <w:vAlign w:val="center"/>
          </w:tcPr>
          <w:p>
            <w:pPr>
              <w:pStyle w:val="35"/>
              <w:bidi w:val="0"/>
              <w:jc w:val="center"/>
              <w:rPr>
                <w:rFonts w:hint="eastAsia" w:eastAsia="宋体"/>
                <w:color w:val="auto"/>
                <w:lang w:val="en-US" w:eastAsia="zh-CN"/>
              </w:rPr>
            </w:pPr>
            <w:r>
              <w:rPr>
                <w:rFonts w:hint="eastAsia" w:eastAsia="宋体"/>
                <w:color w:val="auto"/>
                <w:lang w:val="en-US" w:eastAsia="zh-CN"/>
              </w:rPr>
              <w:t>VOCs</w:t>
            </w:r>
          </w:p>
        </w:tc>
        <w:tc>
          <w:tcPr>
            <w:tcW w:w="321"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 xml:space="preserve">304.17 </w:t>
            </w:r>
          </w:p>
        </w:tc>
        <w:tc>
          <w:tcPr>
            <w:tcW w:w="363"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 xml:space="preserve">0.61 </w:t>
            </w:r>
          </w:p>
        </w:tc>
        <w:tc>
          <w:tcPr>
            <w:tcW w:w="363"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 xml:space="preserve">4.38 </w:t>
            </w:r>
          </w:p>
        </w:tc>
        <w:tc>
          <w:tcPr>
            <w:tcW w:w="247" w:type="pct"/>
            <w:vMerge w:val="continue"/>
            <w:tcBorders>
              <w:tl2br w:val="nil"/>
              <w:tr2bl w:val="nil"/>
            </w:tcBorders>
            <w:noWrap w:val="0"/>
            <w:vAlign w:val="center"/>
          </w:tcPr>
          <w:p>
            <w:pPr>
              <w:pStyle w:val="35"/>
              <w:bidi w:val="0"/>
              <w:jc w:val="center"/>
              <w:rPr>
                <w:rFonts w:hint="default" w:eastAsia="宋体"/>
                <w:color w:val="auto"/>
                <w:lang w:val="en-US" w:eastAsia="zh-CN"/>
              </w:rPr>
            </w:pPr>
          </w:p>
        </w:tc>
        <w:tc>
          <w:tcPr>
            <w:tcW w:w="247"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90</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30.42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0.06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0.438</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15</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continue"/>
            <w:tcBorders>
              <w:tl2br w:val="nil"/>
              <w:tr2bl w:val="nil"/>
            </w:tcBorders>
            <w:noWrap w:val="0"/>
            <w:vAlign w:val="center"/>
          </w:tcPr>
          <w:p>
            <w:pPr>
              <w:pStyle w:val="35"/>
              <w:bidi w:val="0"/>
              <w:jc w:val="center"/>
              <w:rPr>
                <w:rFonts w:hint="default" w:eastAsia="宋体"/>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41" w:hRule="atLeast"/>
        </w:trPr>
        <w:tc>
          <w:tcPr>
            <w:tcW w:w="283" w:type="pct"/>
            <w:vMerge w:val="continue"/>
            <w:tcBorders>
              <w:tl2br w:val="nil"/>
              <w:tr2bl w:val="nil"/>
            </w:tcBorders>
            <w:noWrap w:val="0"/>
            <w:vAlign w:val="center"/>
          </w:tcPr>
          <w:p>
            <w:pPr>
              <w:pStyle w:val="35"/>
              <w:bidi w:val="0"/>
              <w:jc w:val="center"/>
              <w:rPr>
                <w:rFonts w:hint="default" w:eastAsia="宋体"/>
                <w:color w:val="auto"/>
                <w:lang w:val="en-US" w:eastAsia="zh-CN"/>
              </w:rPr>
            </w:pPr>
          </w:p>
        </w:tc>
        <w:tc>
          <w:tcPr>
            <w:tcW w:w="808"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固体投料</w:t>
            </w:r>
          </w:p>
        </w:tc>
        <w:tc>
          <w:tcPr>
            <w:tcW w:w="242" w:type="pct"/>
            <w:vMerge w:val="continue"/>
            <w:tcBorders>
              <w:tl2br w:val="nil"/>
              <w:tr2bl w:val="nil"/>
            </w:tcBorders>
            <w:noWrap w:val="0"/>
            <w:vAlign w:val="center"/>
          </w:tcPr>
          <w:p>
            <w:pPr>
              <w:pStyle w:val="35"/>
              <w:bidi w:val="0"/>
              <w:jc w:val="center"/>
              <w:rPr>
                <w:rFonts w:hint="default" w:eastAsia="宋体"/>
                <w:color w:val="auto"/>
                <w:lang w:val="en-US" w:eastAsia="zh-CN"/>
              </w:rPr>
            </w:pPr>
          </w:p>
        </w:tc>
        <w:tc>
          <w:tcPr>
            <w:tcW w:w="522" w:type="pct"/>
            <w:tcBorders>
              <w:tl2br w:val="nil"/>
              <w:tr2bl w:val="nil"/>
            </w:tcBorders>
            <w:noWrap w:val="0"/>
            <w:vAlign w:val="center"/>
          </w:tcPr>
          <w:p>
            <w:pPr>
              <w:pStyle w:val="35"/>
              <w:bidi w:val="0"/>
              <w:jc w:val="center"/>
              <w:rPr>
                <w:rFonts w:hint="eastAsia" w:eastAsia="宋体"/>
                <w:color w:val="auto"/>
                <w:lang w:val="en-US" w:eastAsia="zh-CN"/>
              </w:rPr>
            </w:pPr>
            <w:r>
              <w:rPr>
                <w:rFonts w:hint="eastAsia" w:eastAsia="宋体"/>
                <w:color w:val="auto"/>
                <w:lang w:val="en-US" w:eastAsia="zh-CN"/>
              </w:rPr>
              <w:t>颗粒物</w:t>
            </w:r>
          </w:p>
        </w:tc>
        <w:tc>
          <w:tcPr>
            <w:tcW w:w="321"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 xml:space="preserve">208.33 </w:t>
            </w:r>
          </w:p>
        </w:tc>
        <w:tc>
          <w:tcPr>
            <w:tcW w:w="363"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 xml:space="preserve">0.42 </w:t>
            </w:r>
          </w:p>
        </w:tc>
        <w:tc>
          <w:tcPr>
            <w:tcW w:w="363"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 xml:space="preserve">3.00 </w:t>
            </w:r>
          </w:p>
        </w:tc>
        <w:tc>
          <w:tcPr>
            <w:tcW w:w="247" w:type="pct"/>
            <w:tcBorders>
              <w:tl2br w:val="nil"/>
              <w:tr2bl w:val="nil"/>
            </w:tcBorders>
            <w:noWrap w:val="0"/>
            <w:vAlign w:val="center"/>
          </w:tcPr>
          <w:p>
            <w:pPr>
              <w:pStyle w:val="35"/>
              <w:bidi w:val="0"/>
              <w:jc w:val="center"/>
              <w:rPr>
                <w:rFonts w:hint="default" w:eastAsia="宋体"/>
                <w:color w:val="auto"/>
                <w:lang w:val="en-US" w:eastAsia="zh-CN"/>
              </w:rPr>
            </w:pPr>
            <w:r>
              <w:rPr>
                <w:rFonts w:hint="eastAsia" w:eastAsia="宋体"/>
                <w:color w:val="auto"/>
                <w:lang w:val="en-US" w:eastAsia="zh-CN"/>
              </w:rPr>
              <w:t>布袋除尘器</w:t>
            </w:r>
          </w:p>
        </w:tc>
        <w:tc>
          <w:tcPr>
            <w:tcW w:w="247" w:type="pct"/>
            <w:tcBorders>
              <w:tl2br w:val="nil"/>
              <w:tr2bl w:val="nil"/>
            </w:tcBorders>
            <w:noWrap w:val="0"/>
            <w:vAlign w:val="center"/>
          </w:tcPr>
          <w:p>
            <w:pPr>
              <w:pStyle w:val="35"/>
              <w:bidi w:val="0"/>
              <w:jc w:val="center"/>
              <w:rPr>
                <w:rFonts w:hint="eastAsia" w:eastAsia="宋体"/>
                <w:color w:val="auto"/>
                <w:lang w:val="en-US" w:eastAsia="zh-CN"/>
              </w:rPr>
            </w:pPr>
            <w:r>
              <w:rPr>
                <w:rFonts w:hint="default" w:eastAsia="宋体"/>
                <w:color w:val="auto"/>
                <w:lang w:val="en-US" w:eastAsia="zh-CN"/>
              </w:rPr>
              <w:t>99</w:t>
            </w:r>
          </w:p>
        </w:tc>
        <w:tc>
          <w:tcPr>
            <w:tcW w:w="29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2.08 </w:t>
            </w:r>
          </w:p>
        </w:tc>
        <w:tc>
          <w:tcPr>
            <w:tcW w:w="242"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default" w:eastAsia="宋体"/>
                <w:color w:val="auto"/>
                <w:u w:val="none"/>
                <w:lang w:val="en-US" w:eastAsia="zh-CN"/>
              </w:rPr>
              <w:t xml:space="preserve">0.00 </w:t>
            </w:r>
          </w:p>
        </w:tc>
        <w:tc>
          <w:tcPr>
            <w:tcW w:w="27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0.03</w:t>
            </w:r>
          </w:p>
        </w:tc>
        <w:tc>
          <w:tcPr>
            <w:tcW w:w="28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15</w:t>
            </w:r>
          </w:p>
        </w:tc>
        <w:tc>
          <w:tcPr>
            <w:tcW w:w="235"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eastAsia="宋体"/>
                <w:color w:val="auto"/>
                <w:u w:val="none"/>
                <w:lang w:val="en-US" w:eastAsia="zh-CN"/>
              </w:rPr>
              <w:t>0.3</w:t>
            </w:r>
          </w:p>
        </w:tc>
        <w:tc>
          <w:tcPr>
            <w:tcW w:w="263" w:type="pct"/>
            <w:vMerge w:val="continue"/>
            <w:tcBorders>
              <w:tl2br w:val="nil"/>
              <w:tr2bl w:val="nil"/>
            </w:tcBorders>
            <w:noWrap w:val="0"/>
            <w:vAlign w:val="center"/>
          </w:tcPr>
          <w:p>
            <w:pPr>
              <w:pStyle w:val="35"/>
              <w:bidi w:val="0"/>
              <w:jc w:val="center"/>
              <w:rPr>
                <w:rFonts w:hint="default" w:eastAsia="宋体"/>
                <w:color w:val="auto"/>
                <w:lang w:val="en-US" w:eastAsia="zh-CN"/>
              </w:rPr>
            </w:pPr>
          </w:p>
        </w:tc>
      </w:tr>
    </w:tbl>
    <w:p>
      <w:pPr>
        <w:pStyle w:val="33"/>
        <w:bidi w:val="0"/>
        <w:rPr>
          <w:rFonts w:hint="default"/>
          <w:color w:val="auto"/>
          <w:lang w:val="en-US" w:eastAsia="zh-CN"/>
        </w:rPr>
        <w:sectPr>
          <w:pgSz w:w="16838" w:h="11906" w:orient="landscape"/>
          <w:pgMar w:top="1304" w:right="1417" w:bottom="1304" w:left="141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33"/>
        <w:bidi w:val="0"/>
        <w:rPr>
          <w:b/>
          <w:bCs/>
          <w:color w:val="auto"/>
        </w:rPr>
      </w:pPr>
      <w:r>
        <w:rPr>
          <w:rFonts w:hint="eastAsia"/>
          <w:b/>
          <w:bCs/>
          <w:color w:val="auto"/>
          <w:lang w:eastAsia="zh-CN"/>
        </w:rPr>
        <w:t>（</w:t>
      </w:r>
      <w:r>
        <w:rPr>
          <w:rFonts w:hint="eastAsia"/>
          <w:b/>
          <w:bCs/>
          <w:color w:val="auto"/>
          <w:lang w:val="en-US" w:eastAsia="zh-CN"/>
        </w:rPr>
        <w:t>2</w:t>
      </w:r>
      <w:r>
        <w:rPr>
          <w:rFonts w:hint="eastAsia"/>
          <w:b/>
          <w:bCs/>
          <w:color w:val="auto"/>
          <w:lang w:eastAsia="zh-CN"/>
        </w:rPr>
        <w:t>）无组织排放废气</w:t>
      </w:r>
    </w:p>
    <w:p>
      <w:pPr>
        <w:pStyle w:val="33"/>
        <w:bidi w:val="0"/>
        <w:rPr>
          <w:color w:val="auto"/>
        </w:rPr>
      </w:pPr>
      <w:r>
        <w:rPr>
          <w:color w:val="auto"/>
        </w:rPr>
        <w:t>本项目无组织废气产生源主要为：原料贮罐及中间罐的呼吸口、反应釜</w:t>
      </w:r>
      <w:r>
        <w:rPr>
          <w:rFonts w:hint="eastAsia"/>
          <w:color w:val="auto"/>
        </w:rPr>
        <w:t>加料口</w:t>
      </w:r>
      <w:r>
        <w:rPr>
          <w:color w:val="auto"/>
        </w:rPr>
        <w:t>、蒸馏不凝气、真空泵尾气以及管道、阀门的跑冒滴漏等。针对以上情况本项目采取无组织排放控制措施如下：</w:t>
      </w:r>
    </w:p>
    <w:p>
      <w:pPr>
        <w:pStyle w:val="33"/>
        <w:bidi w:val="0"/>
        <w:rPr>
          <w:color w:val="auto"/>
        </w:rPr>
      </w:pPr>
      <w:r>
        <w:rPr>
          <w:rFonts w:hint="eastAsia"/>
          <w:color w:val="auto"/>
        </w:rPr>
        <w:t>①</w:t>
      </w:r>
      <w:r>
        <w:rPr>
          <w:color w:val="auto"/>
        </w:rPr>
        <w:t>本项目对产生有机溶剂真空泵尾气</w:t>
      </w:r>
      <w:r>
        <w:rPr>
          <w:rFonts w:hint="eastAsia"/>
          <w:color w:val="auto"/>
        </w:rPr>
        <w:t>、</w:t>
      </w:r>
      <w:r>
        <w:rPr>
          <w:color w:val="auto"/>
        </w:rPr>
        <w:t>蒸馏不凝气等</w:t>
      </w:r>
      <w:r>
        <w:rPr>
          <w:rFonts w:hint="eastAsia"/>
          <w:color w:val="auto"/>
        </w:rPr>
        <w:t>可能产生无组织排放点设置集气罩</w:t>
      </w:r>
      <w:r>
        <w:rPr>
          <w:color w:val="auto"/>
        </w:rPr>
        <w:t>，一起引入</w:t>
      </w:r>
      <w:r>
        <w:rPr>
          <w:rFonts w:hint="eastAsia"/>
          <w:color w:val="auto"/>
          <w:lang w:eastAsia="zh-CN"/>
        </w:rPr>
        <w:t>“冷凝回收</w:t>
      </w:r>
      <w:r>
        <w:rPr>
          <w:rFonts w:hint="eastAsia"/>
          <w:color w:val="auto"/>
          <w:lang w:val="en-US" w:eastAsia="zh-CN"/>
        </w:rPr>
        <w:t>+</w:t>
      </w:r>
      <w:r>
        <w:rPr>
          <w:rFonts w:hint="eastAsia"/>
          <w:color w:val="auto"/>
        </w:rPr>
        <w:t>碱液</w:t>
      </w:r>
      <w:r>
        <w:rPr>
          <w:color w:val="auto"/>
        </w:rPr>
        <w:t>吸收</w:t>
      </w:r>
      <w:r>
        <w:rPr>
          <w:rFonts w:hint="eastAsia"/>
          <w:color w:val="auto"/>
          <w:lang w:val="en-US" w:eastAsia="zh-CN"/>
        </w:rPr>
        <w:t>+</w:t>
      </w:r>
      <w:r>
        <w:rPr>
          <w:rFonts w:hint="eastAsia"/>
          <w:color w:val="auto"/>
          <w:lang w:val="en-US" w:eastAsia="zh-Hans"/>
        </w:rPr>
        <w:t>炭吸收</w:t>
      </w:r>
      <w:r>
        <w:rPr>
          <w:color w:val="auto"/>
        </w:rPr>
        <w:t>装置</w:t>
      </w:r>
      <w:r>
        <w:rPr>
          <w:rFonts w:hint="eastAsia"/>
          <w:color w:val="auto"/>
          <w:lang w:eastAsia="zh-CN"/>
        </w:rPr>
        <w:t>”</w:t>
      </w:r>
      <w:r>
        <w:rPr>
          <w:color w:val="auto"/>
        </w:rPr>
        <w:t>处理，此方法使大部分无组织排放点变为有组织达标排放，大大减少了无组织外排量</w:t>
      </w:r>
      <w:r>
        <w:rPr>
          <w:rFonts w:hint="eastAsia"/>
          <w:color w:val="auto"/>
        </w:rPr>
        <w:t>；</w:t>
      </w:r>
    </w:p>
    <w:p>
      <w:pPr>
        <w:pStyle w:val="33"/>
        <w:bidi w:val="0"/>
        <w:rPr>
          <w:rFonts w:hint="eastAsia" w:eastAsia="宋体"/>
          <w:color w:val="auto"/>
          <w:lang w:eastAsia="zh-CN"/>
        </w:rPr>
      </w:pPr>
      <w:r>
        <w:rPr>
          <w:rFonts w:hint="eastAsia"/>
          <w:color w:val="auto"/>
        </w:rPr>
        <w:t>②加强对使用后的原辅材料空桶、空罐的管理，严禁空桶、空罐随意放置，需按照存放物质的性质将空桶、空罐分类后放置在车间固定地点，最终全部运送回原辅材料供应单位。对空桶空罐的严格管理，可控制残留物料的无组织排放</w:t>
      </w:r>
      <w:r>
        <w:rPr>
          <w:rFonts w:hint="eastAsia"/>
          <w:color w:val="auto"/>
          <w:lang w:eastAsia="zh-CN"/>
        </w:rPr>
        <w:t>；</w:t>
      </w:r>
    </w:p>
    <w:p>
      <w:pPr>
        <w:pStyle w:val="33"/>
        <w:bidi w:val="0"/>
        <w:rPr>
          <w:color w:val="auto"/>
        </w:rPr>
      </w:pPr>
      <w:r>
        <w:rPr>
          <w:rFonts w:hint="eastAsia"/>
          <w:color w:val="auto"/>
        </w:rPr>
        <w:t>③除上述设计的硬件条件外，企业要制定严格的管理制度，强化设备的维护和维修，定期检查、更换现有工程关键设备的阀门、管件，将杜绝生产设备、设施跑、冒、滴、漏的工作落实到个人。</w:t>
      </w:r>
    </w:p>
    <w:p>
      <w:pPr>
        <w:pStyle w:val="33"/>
        <w:bidi w:val="0"/>
        <w:rPr>
          <w:color w:val="auto"/>
        </w:rPr>
      </w:pPr>
      <w:r>
        <w:rPr>
          <w:color w:val="auto"/>
        </w:rPr>
        <w:t>采取以上措施后，可有效减少污染物的无组织挥发</w:t>
      </w:r>
      <w:r>
        <w:rPr>
          <w:rFonts w:hint="eastAsia"/>
          <w:color w:val="auto"/>
        </w:rPr>
        <w:t>。</w:t>
      </w:r>
    </w:p>
    <w:p>
      <w:pPr>
        <w:pStyle w:val="36"/>
        <w:bidi w:val="0"/>
        <w:rPr>
          <w:rFonts w:ascii="Times New Roman" w:hAnsi="Times New Roman"/>
          <w:b/>
          <w:caps w:val="0"/>
          <w:smallCaps w:val="0"/>
          <w:color w:val="auto"/>
        </w:rPr>
      </w:pPr>
      <w:r>
        <w:rPr>
          <w:rFonts w:ascii="Times New Roman" w:hAnsi="Times New Roman"/>
          <w:b/>
          <w:caps w:val="0"/>
          <w:smallCaps w:val="0"/>
          <w:color w:val="auto"/>
        </w:rPr>
        <w:t>表</w:t>
      </w:r>
      <w:r>
        <w:rPr>
          <w:rFonts w:hint="eastAsia"/>
          <w:b/>
          <w:caps w:val="0"/>
          <w:smallCaps w:val="0"/>
          <w:color w:val="auto"/>
          <w:lang w:val="en-US" w:eastAsia="zh-CN"/>
        </w:rPr>
        <w:t>3.3-2</w:t>
      </w:r>
      <w:r>
        <w:rPr>
          <w:rFonts w:ascii="Times New Roman" w:hAnsi="Times New Roman"/>
          <w:b/>
          <w:caps w:val="0"/>
          <w:smallCaps w:val="0"/>
          <w:color w:val="auto"/>
        </w:rPr>
        <w:t xml:space="preserve"> </w:t>
      </w:r>
      <w:r>
        <w:rPr>
          <w:rFonts w:hint="eastAsia"/>
          <w:b/>
          <w:caps w:val="0"/>
          <w:smallCaps w:val="0"/>
          <w:color w:val="auto"/>
          <w:lang w:val="en-US" w:eastAsia="zh-CN"/>
        </w:rPr>
        <w:t>现有厂区</w:t>
      </w:r>
      <w:r>
        <w:rPr>
          <w:rFonts w:hint="eastAsia" w:ascii="Times New Roman" w:hAnsi="Times New Roman"/>
          <w:b/>
          <w:caps w:val="0"/>
          <w:smallCaps w:val="0"/>
          <w:color w:val="auto"/>
          <w:lang w:eastAsia="zh-CN"/>
        </w:rPr>
        <w:t>项目无组织</w:t>
      </w:r>
      <w:r>
        <w:rPr>
          <w:rFonts w:ascii="Times New Roman" w:hAnsi="Times New Roman"/>
          <w:b/>
          <w:caps w:val="0"/>
          <w:smallCaps w:val="0"/>
          <w:color w:val="auto"/>
        </w:rPr>
        <w:t>废气排放量表</w:t>
      </w:r>
    </w:p>
    <w:tbl>
      <w:tblPr>
        <w:tblStyle w:val="27"/>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179"/>
        <w:gridCol w:w="1713"/>
        <w:gridCol w:w="1101"/>
        <w:gridCol w:w="1332"/>
        <w:gridCol w:w="1332"/>
        <w:gridCol w:w="1332"/>
        <w:gridCol w:w="13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tcBorders>
              <w:tl2br w:val="nil"/>
              <w:tr2bl w:val="nil"/>
            </w:tcBorders>
            <w:noWrap w:val="0"/>
            <w:vAlign w:val="center"/>
          </w:tcPr>
          <w:p>
            <w:pPr>
              <w:pStyle w:val="35"/>
              <w:bidi w:val="0"/>
              <w:rPr>
                <w:rFonts w:hint="eastAsia"/>
                <w:b/>
                <w:bCs/>
                <w:color w:val="auto"/>
              </w:rPr>
            </w:pPr>
            <w:r>
              <w:rPr>
                <w:rFonts w:hint="eastAsia"/>
                <w:b/>
                <w:bCs/>
                <w:color w:val="auto"/>
                <w:lang w:val="en-US" w:eastAsia="zh-CN"/>
              </w:rPr>
              <w:t>产生源</w:t>
            </w:r>
          </w:p>
        </w:tc>
        <w:tc>
          <w:tcPr>
            <w:tcW w:w="918" w:type="pct"/>
            <w:tcBorders>
              <w:tl2br w:val="nil"/>
              <w:tr2bl w:val="nil"/>
            </w:tcBorders>
            <w:noWrap w:val="0"/>
            <w:vAlign w:val="center"/>
          </w:tcPr>
          <w:p>
            <w:pPr>
              <w:pStyle w:val="35"/>
              <w:bidi w:val="0"/>
              <w:rPr>
                <w:rFonts w:hint="eastAsia"/>
                <w:b/>
                <w:bCs/>
                <w:color w:val="auto"/>
              </w:rPr>
            </w:pPr>
            <w:r>
              <w:rPr>
                <w:rFonts w:hint="eastAsia"/>
                <w:b/>
                <w:bCs/>
                <w:color w:val="auto"/>
                <w:lang w:val="en-US" w:eastAsia="zh-CN"/>
              </w:rPr>
              <w:t>污染物名称</w:t>
            </w:r>
          </w:p>
        </w:tc>
        <w:tc>
          <w:tcPr>
            <w:tcW w:w="590" w:type="pct"/>
            <w:tcBorders>
              <w:tl2br w:val="nil"/>
              <w:tr2bl w:val="nil"/>
            </w:tcBorders>
            <w:noWrap w:val="0"/>
            <w:vAlign w:val="center"/>
          </w:tcPr>
          <w:p>
            <w:pPr>
              <w:pStyle w:val="35"/>
              <w:bidi w:val="0"/>
              <w:rPr>
                <w:rFonts w:hint="eastAsia"/>
                <w:b/>
                <w:bCs/>
                <w:color w:val="auto"/>
              </w:rPr>
            </w:pPr>
            <w:r>
              <w:rPr>
                <w:rFonts w:hint="eastAsia"/>
                <w:b/>
                <w:bCs/>
                <w:color w:val="auto"/>
                <w:lang w:val="en-US" w:eastAsia="zh-CN"/>
              </w:rPr>
              <w:t>治理措施</w:t>
            </w:r>
          </w:p>
        </w:tc>
        <w:tc>
          <w:tcPr>
            <w:tcW w:w="714" w:type="pct"/>
            <w:tcBorders>
              <w:tl2br w:val="nil"/>
              <w:tr2bl w:val="nil"/>
            </w:tcBorders>
            <w:noWrap w:val="0"/>
            <w:vAlign w:val="center"/>
          </w:tcPr>
          <w:p>
            <w:pPr>
              <w:pStyle w:val="35"/>
              <w:bidi w:val="0"/>
              <w:rPr>
                <w:rFonts w:hint="eastAsia"/>
                <w:b/>
                <w:bCs/>
                <w:color w:val="auto"/>
              </w:rPr>
            </w:pPr>
            <w:r>
              <w:rPr>
                <w:rFonts w:hint="eastAsia"/>
                <w:b/>
                <w:bCs/>
                <w:color w:val="auto"/>
                <w:lang w:val="en-US" w:eastAsia="zh-CN"/>
              </w:rPr>
              <w:t>面源参数（长、宽、高）</w:t>
            </w:r>
          </w:p>
        </w:tc>
        <w:tc>
          <w:tcPr>
            <w:tcW w:w="714" w:type="pct"/>
            <w:tcBorders>
              <w:tl2br w:val="nil"/>
              <w:tr2bl w:val="nil"/>
            </w:tcBorders>
            <w:noWrap w:val="0"/>
            <w:vAlign w:val="center"/>
          </w:tcPr>
          <w:p>
            <w:pPr>
              <w:pStyle w:val="35"/>
              <w:bidi w:val="0"/>
              <w:rPr>
                <w:rFonts w:hint="eastAsia"/>
                <w:b/>
                <w:bCs/>
                <w:color w:val="auto"/>
              </w:rPr>
            </w:pPr>
            <w:r>
              <w:rPr>
                <w:rFonts w:hint="eastAsia"/>
                <w:b/>
                <w:bCs/>
                <w:color w:val="auto"/>
                <w:lang w:val="en-US" w:eastAsia="zh-CN"/>
              </w:rPr>
              <w:t>产生量（t/a）</w:t>
            </w:r>
          </w:p>
        </w:tc>
        <w:tc>
          <w:tcPr>
            <w:tcW w:w="714" w:type="pct"/>
            <w:tcBorders>
              <w:tl2br w:val="nil"/>
              <w:tr2bl w:val="nil"/>
            </w:tcBorders>
            <w:noWrap w:val="0"/>
            <w:vAlign w:val="center"/>
          </w:tcPr>
          <w:p>
            <w:pPr>
              <w:pStyle w:val="35"/>
              <w:bidi w:val="0"/>
              <w:rPr>
                <w:rFonts w:hint="eastAsia"/>
                <w:b/>
                <w:bCs/>
                <w:color w:val="auto"/>
              </w:rPr>
            </w:pPr>
            <w:r>
              <w:rPr>
                <w:rFonts w:hint="eastAsia"/>
                <w:b/>
                <w:bCs/>
                <w:color w:val="auto"/>
                <w:lang w:val="en-US" w:eastAsia="zh-CN"/>
              </w:rPr>
              <w:t>削减量（t/a）</w:t>
            </w:r>
          </w:p>
        </w:tc>
        <w:tc>
          <w:tcPr>
            <w:tcW w:w="714" w:type="pct"/>
            <w:tcBorders>
              <w:tl2br w:val="nil"/>
              <w:tr2bl w:val="nil"/>
            </w:tcBorders>
            <w:noWrap w:val="0"/>
            <w:vAlign w:val="center"/>
          </w:tcPr>
          <w:p>
            <w:pPr>
              <w:pStyle w:val="35"/>
              <w:bidi w:val="0"/>
              <w:rPr>
                <w:rFonts w:hint="eastAsia"/>
                <w:b/>
                <w:bCs/>
                <w:color w:val="auto"/>
              </w:rPr>
            </w:pPr>
            <w:r>
              <w:rPr>
                <w:rFonts w:hint="eastAsia"/>
                <w:b/>
                <w:bCs/>
                <w:color w:val="auto"/>
                <w:lang w:val="en-US" w:eastAsia="zh-CN"/>
              </w:rPr>
              <w:t>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vMerge w:val="restart"/>
            <w:tcBorders>
              <w:tl2br w:val="nil"/>
              <w:tr2bl w:val="nil"/>
            </w:tcBorders>
            <w:noWrap w:val="0"/>
            <w:vAlign w:val="center"/>
          </w:tcPr>
          <w:p>
            <w:pPr>
              <w:pStyle w:val="35"/>
              <w:bidi w:val="0"/>
              <w:rPr>
                <w:rFonts w:hint="eastAsia"/>
                <w:color w:val="auto"/>
              </w:rPr>
            </w:pPr>
            <w:r>
              <w:rPr>
                <w:rFonts w:hint="eastAsia"/>
                <w:color w:val="auto"/>
                <w:lang w:val="en-US" w:eastAsia="zh-CN"/>
              </w:rPr>
              <w:t>生产车间（一期）</w:t>
            </w:r>
          </w:p>
        </w:tc>
        <w:tc>
          <w:tcPr>
            <w:tcW w:w="918" w:type="pct"/>
            <w:tcBorders>
              <w:tl2br w:val="nil"/>
              <w:tr2bl w:val="nil"/>
            </w:tcBorders>
            <w:noWrap w:val="0"/>
            <w:vAlign w:val="center"/>
          </w:tcPr>
          <w:p>
            <w:pPr>
              <w:pStyle w:val="35"/>
              <w:bidi w:val="0"/>
              <w:rPr>
                <w:rFonts w:hint="eastAsia"/>
                <w:color w:val="auto"/>
              </w:rPr>
            </w:pPr>
            <w:r>
              <w:rPr>
                <w:rFonts w:hint="eastAsia"/>
                <w:color w:val="auto"/>
                <w:lang w:val="en-US" w:eastAsia="zh-CN"/>
              </w:rPr>
              <w:t>氯化氢</w:t>
            </w:r>
          </w:p>
        </w:tc>
        <w:tc>
          <w:tcPr>
            <w:tcW w:w="590" w:type="pct"/>
            <w:vMerge w:val="restart"/>
            <w:tcBorders>
              <w:tl2br w:val="nil"/>
              <w:tr2bl w:val="nil"/>
            </w:tcBorders>
            <w:noWrap w:val="0"/>
            <w:vAlign w:val="center"/>
          </w:tcPr>
          <w:p>
            <w:pPr>
              <w:pStyle w:val="35"/>
              <w:bidi w:val="0"/>
              <w:rPr>
                <w:rFonts w:hint="eastAsia"/>
                <w:color w:val="auto"/>
              </w:rPr>
            </w:pPr>
            <w:r>
              <w:rPr>
                <w:rFonts w:hint="eastAsia"/>
                <w:color w:val="auto"/>
              </w:rPr>
              <w:t>加强设备管道连接的密闭设计，加强车间通风设计</w:t>
            </w:r>
          </w:p>
        </w:tc>
        <w:tc>
          <w:tcPr>
            <w:tcW w:w="714" w:type="pct"/>
            <w:vMerge w:val="restar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45.1*22.5*18</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0.00035</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vMerge w:val="continue"/>
            <w:tcBorders>
              <w:tl2br w:val="nil"/>
              <w:tr2bl w:val="nil"/>
            </w:tcBorders>
            <w:noWrap w:val="0"/>
            <w:vAlign w:val="center"/>
          </w:tcPr>
          <w:p>
            <w:pPr>
              <w:pStyle w:val="35"/>
              <w:bidi w:val="0"/>
              <w:rPr>
                <w:rFonts w:hint="eastAsia"/>
                <w:color w:val="auto"/>
              </w:rPr>
            </w:pPr>
          </w:p>
        </w:tc>
        <w:tc>
          <w:tcPr>
            <w:tcW w:w="918" w:type="pct"/>
            <w:tcBorders>
              <w:tl2br w:val="nil"/>
              <w:tr2bl w:val="nil"/>
            </w:tcBorders>
            <w:noWrap w:val="0"/>
            <w:vAlign w:val="center"/>
          </w:tcPr>
          <w:p>
            <w:pPr>
              <w:pStyle w:val="35"/>
              <w:bidi w:val="0"/>
              <w:rPr>
                <w:rFonts w:hint="eastAsia"/>
                <w:color w:val="auto"/>
              </w:rPr>
            </w:pPr>
            <w:r>
              <w:rPr>
                <w:rFonts w:hint="eastAsia"/>
                <w:color w:val="auto"/>
                <w:lang w:val="en-US" w:eastAsia="zh-CN"/>
              </w:rPr>
              <w:t>非甲烷总烃</w:t>
            </w:r>
          </w:p>
        </w:tc>
        <w:tc>
          <w:tcPr>
            <w:tcW w:w="590" w:type="pct"/>
            <w:vMerge w:val="continue"/>
            <w:tcBorders>
              <w:tl2br w:val="nil"/>
              <w:tr2bl w:val="nil"/>
            </w:tcBorders>
            <w:noWrap w:val="0"/>
            <w:vAlign w:val="center"/>
          </w:tcPr>
          <w:p>
            <w:pPr>
              <w:pStyle w:val="35"/>
              <w:bidi w:val="0"/>
              <w:rPr>
                <w:rFonts w:hint="eastAsia"/>
                <w:color w:val="auto"/>
              </w:rPr>
            </w:pPr>
          </w:p>
        </w:tc>
        <w:tc>
          <w:tcPr>
            <w:tcW w:w="714" w:type="pct"/>
            <w:vMerge w:val="continue"/>
            <w:tcBorders>
              <w:tl2br w:val="nil"/>
              <w:tr2bl w:val="nil"/>
            </w:tcBorders>
            <w:noWrap w:val="0"/>
            <w:vAlign w:val="center"/>
          </w:tcPr>
          <w:p>
            <w:pPr>
              <w:pStyle w:val="35"/>
              <w:bidi w:val="0"/>
              <w:rPr>
                <w:rFonts w:hint="eastAsia"/>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0.0003</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vMerge w:val="continue"/>
            <w:tcBorders>
              <w:tl2br w:val="nil"/>
              <w:tr2bl w:val="nil"/>
            </w:tcBorders>
            <w:noWrap w:val="0"/>
            <w:vAlign w:val="center"/>
          </w:tcPr>
          <w:p>
            <w:pPr>
              <w:pStyle w:val="35"/>
              <w:bidi w:val="0"/>
              <w:rPr>
                <w:rFonts w:hint="eastAsia"/>
                <w:color w:val="auto"/>
              </w:rPr>
            </w:pPr>
          </w:p>
        </w:tc>
        <w:tc>
          <w:tcPr>
            <w:tcW w:w="918" w:type="pct"/>
            <w:tcBorders>
              <w:tl2br w:val="nil"/>
              <w:tr2bl w:val="nil"/>
            </w:tcBorders>
            <w:noWrap w:val="0"/>
            <w:vAlign w:val="center"/>
          </w:tcPr>
          <w:p>
            <w:pPr>
              <w:pStyle w:val="35"/>
              <w:bidi w:val="0"/>
              <w:rPr>
                <w:rFonts w:hint="eastAsia"/>
                <w:color w:val="auto"/>
              </w:rPr>
            </w:pPr>
            <w:r>
              <w:rPr>
                <w:rFonts w:hint="eastAsia"/>
                <w:color w:val="auto"/>
                <w:lang w:val="en-US" w:eastAsia="zh-CN"/>
              </w:rPr>
              <w:t>甲醛</w:t>
            </w:r>
          </w:p>
        </w:tc>
        <w:tc>
          <w:tcPr>
            <w:tcW w:w="590" w:type="pct"/>
            <w:vMerge w:val="continue"/>
            <w:tcBorders>
              <w:tl2br w:val="nil"/>
              <w:tr2bl w:val="nil"/>
            </w:tcBorders>
            <w:noWrap w:val="0"/>
            <w:vAlign w:val="center"/>
          </w:tcPr>
          <w:p>
            <w:pPr>
              <w:pStyle w:val="35"/>
              <w:bidi w:val="0"/>
              <w:rPr>
                <w:rFonts w:hint="eastAsia"/>
                <w:color w:val="auto"/>
              </w:rPr>
            </w:pPr>
          </w:p>
        </w:tc>
        <w:tc>
          <w:tcPr>
            <w:tcW w:w="714" w:type="pct"/>
            <w:vMerge w:val="continue"/>
            <w:tcBorders>
              <w:tl2br w:val="nil"/>
              <w:tr2bl w:val="nil"/>
            </w:tcBorders>
            <w:noWrap w:val="0"/>
            <w:vAlign w:val="center"/>
          </w:tcPr>
          <w:p>
            <w:pPr>
              <w:pStyle w:val="35"/>
              <w:bidi w:val="0"/>
              <w:rPr>
                <w:rFonts w:hint="eastAsia"/>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0.0002</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vMerge w:val="continue"/>
            <w:tcBorders>
              <w:tl2br w:val="nil"/>
              <w:tr2bl w:val="nil"/>
            </w:tcBorders>
            <w:noWrap w:val="0"/>
            <w:vAlign w:val="center"/>
          </w:tcPr>
          <w:p>
            <w:pPr>
              <w:pStyle w:val="35"/>
              <w:bidi w:val="0"/>
              <w:rPr>
                <w:rFonts w:hint="eastAsia"/>
                <w:color w:val="auto"/>
              </w:rPr>
            </w:pPr>
          </w:p>
        </w:tc>
        <w:tc>
          <w:tcPr>
            <w:tcW w:w="918" w:type="pct"/>
            <w:tcBorders>
              <w:tl2br w:val="nil"/>
              <w:tr2bl w:val="nil"/>
            </w:tcBorders>
            <w:noWrap w:val="0"/>
            <w:vAlign w:val="center"/>
          </w:tcPr>
          <w:p>
            <w:pPr>
              <w:pStyle w:val="35"/>
              <w:bidi w:val="0"/>
              <w:rPr>
                <w:rFonts w:hint="eastAsia"/>
                <w:color w:val="auto"/>
              </w:rPr>
            </w:pPr>
            <w:r>
              <w:rPr>
                <w:rFonts w:hint="eastAsia"/>
                <w:color w:val="auto"/>
                <w:lang w:val="en-US" w:eastAsia="zh-CN"/>
              </w:rPr>
              <w:t>酚</w:t>
            </w:r>
          </w:p>
        </w:tc>
        <w:tc>
          <w:tcPr>
            <w:tcW w:w="590" w:type="pct"/>
            <w:vMerge w:val="continue"/>
            <w:tcBorders>
              <w:tl2br w:val="nil"/>
              <w:tr2bl w:val="nil"/>
            </w:tcBorders>
            <w:noWrap w:val="0"/>
            <w:vAlign w:val="center"/>
          </w:tcPr>
          <w:p>
            <w:pPr>
              <w:pStyle w:val="35"/>
              <w:bidi w:val="0"/>
              <w:rPr>
                <w:rFonts w:hint="eastAsia"/>
                <w:color w:val="auto"/>
              </w:rPr>
            </w:pPr>
          </w:p>
        </w:tc>
        <w:tc>
          <w:tcPr>
            <w:tcW w:w="714" w:type="pct"/>
            <w:vMerge w:val="continue"/>
            <w:tcBorders>
              <w:tl2br w:val="nil"/>
              <w:tr2bl w:val="nil"/>
            </w:tcBorders>
            <w:noWrap w:val="0"/>
            <w:vAlign w:val="center"/>
          </w:tcPr>
          <w:p>
            <w:pPr>
              <w:pStyle w:val="35"/>
              <w:bidi w:val="0"/>
              <w:rPr>
                <w:rFonts w:hint="eastAsia"/>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0.0025</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vMerge w:val="continue"/>
            <w:tcBorders>
              <w:tl2br w:val="nil"/>
              <w:tr2bl w:val="nil"/>
            </w:tcBorders>
            <w:noWrap w:val="0"/>
            <w:vAlign w:val="center"/>
          </w:tcPr>
          <w:p>
            <w:pPr>
              <w:pStyle w:val="35"/>
              <w:bidi w:val="0"/>
              <w:rPr>
                <w:rFonts w:hint="eastAsia"/>
                <w:color w:val="auto"/>
              </w:rPr>
            </w:pPr>
          </w:p>
        </w:tc>
        <w:tc>
          <w:tcPr>
            <w:tcW w:w="918" w:type="pct"/>
            <w:tcBorders>
              <w:tl2br w:val="nil"/>
              <w:tr2bl w:val="nil"/>
            </w:tcBorders>
            <w:noWrap w:val="0"/>
            <w:vAlign w:val="center"/>
          </w:tcPr>
          <w:p>
            <w:pPr>
              <w:pStyle w:val="35"/>
              <w:bidi w:val="0"/>
              <w:rPr>
                <w:rFonts w:hint="eastAsia"/>
                <w:color w:val="auto"/>
              </w:rPr>
            </w:pPr>
            <w:r>
              <w:rPr>
                <w:rFonts w:hint="eastAsia"/>
                <w:color w:val="auto"/>
                <w:lang w:val="en-US" w:eastAsia="zh-CN"/>
              </w:rPr>
              <w:t>甲醇</w:t>
            </w:r>
          </w:p>
        </w:tc>
        <w:tc>
          <w:tcPr>
            <w:tcW w:w="590" w:type="pct"/>
            <w:vMerge w:val="continue"/>
            <w:tcBorders>
              <w:tl2br w:val="nil"/>
              <w:tr2bl w:val="nil"/>
            </w:tcBorders>
            <w:noWrap w:val="0"/>
            <w:vAlign w:val="center"/>
          </w:tcPr>
          <w:p>
            <w:pPr>
              <w:pStyle w:val="35"/>
              <w:bidi w:val="0"/>
              <w:rPr>
                <w:rFonts w:hint="eastAsia"/>
                <w:color w:val="auto"/>
              </w:rPr>
            </w:pPr>
          </w:p>
        </w:tc>
        <w:tc>
          <w:tcPr>
            <w:tcW w:w="714" w:type="pct"/>
            <w:vMerge w:val="continue"/>
            <w:tcBorders>
              <w:tl2br w:val="nil"/>
              <w:tr2bl w:val="nil"/>
            </w:tcBorders>
            <w:noWrap w:val="0"/>
            <w:vAlign w:val="center"/>
          </w:tcPr>
          <w:p>
            <w:pPr>
              <w:pStyle w:val="35"/>
              <w:bidi w:val="0"/>
              <w:rPr>
                <w:rFonts w:hint="eastAsia"/>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0.00065</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vMerge w:val="restart"/>
            <w:tcBorders>
              <w:tl2br w:val="nil"/>
              <w:tr2bl w:val="nil"/>
            </w:tcBorders>
            <w:noWrap w:val="0"/>
            <w:vAlign w:val="center"/>
          </w:tcPr>
          <w:p>
            <w:pPr>
              <w:pStyle w:val="35"/>
              <w:bidi w:val="0"/>
              <w:rPr>
                <w:rFonts w:hint="eastAsia"/>
                <w:color w:val="auto"/>
              </w:rPr>
            </w:pPr>
            <w:r>
              <w:rPr>
                <w:rFonts w:hint="eastAsia"/>
                <w:color w:val="auto"/>
                <w:lang w:val="en-US" w:eastAsia="zh-CN"/>
              </w:rPr>
              <w:t>1#生产车间（二期）</w:t>
            </w:r>
          </w:p>
        </w:tc>
        <w:tc>
          <w:tcPr>
            <w:tcW w:w="918" w:type="pct"/>
            <w:tcBorders>
              <w:tl2br w:val="nil"/>
              <w:tr2bl w:val="nil"/>
            </w:tcBorders>
            <w:noWrap w:val="0"/>
            <w:vAlign w:val="center"/>
          </w:tcPr>
          <w:p>
            <w:pPr>
              <w:pStyle w:val="35"/>
              <w:bidi w:val="0"/>
              <w:rPr>
                <w:rFonts w:hint="eastAsia"/>
                <w:color w:val="auto"/>
              </w:rPr>
            </w:pPr>
            <w:r>
              <w:rPr>
                <w:rFonts w:hint="eastAsia"/>
                <w:color w:val="auto"/>
                <w:lang w:val="en-US" w:eastAsia="zh-CN"/>
              </w:rPr>
              <w:t>丙烯酸</w:t>
            </w:r>
          </w:p>
        </w:tc>
        <w:tc>
          <w:tcPr>
            <w:tcW w:w="590" w:type="pct"/>
            <w:vMerge w:val="continue"/>
            <w:tcBorders>
              <w:tl2br w:val="nil"/>
              <w:tr2bl w:val="nil"/>
            </w:tcBorders>
            <w:noWrap w:val="0"/>
            <w:vAlign w:val="center"/>
          </w:tcPr>
          <w:p>
            <w:pPr>
              <w:pStyle w:val="35"/>
              <w:bidi w:val="0"/>
              <w:rPr>
                <w:rFonts w:hint="eastAsia"/>
                <w:color w:val="auto"/>
              </w:rPr>
            </w:pPr>
          </w:p>
        </w:tc>
        <w:tc>
          <w:tcPr>
            <w:tcW w:w="714" w:type="pct"/>
            <w:vMerge w:val="restar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25.7*25.3*15</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0.0034</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vMerge w:val="continue"/>
            <w:tcBorders>
              <w:tl2br w:val="nil"/>
              <w:tr2bl w:val="nil"/>
            </w:tcBorders>
            <w:noWrap w:val="0"/>
            <w:vAlign w:val="center"/>
          </w:tcPr>
          <w:p>
            <w:pPr>
              <w:pStyle w:val="35"/>
              <w:bidi w:val="0"/>
              <w:rPr>
                <w:rFonts w:hint="eastAsia"/>
                <w:color w:val="auto"/>
              </w:rPr>
            </w:pPr>
          </w:p>
        </w:tc>
        <w:tc>
          <w:tcPr>
            <w:tcW w:w="918" w:type="pct"/>
            <w:tcBorders>
              <w:tl2br w:val="nil"/>
              <w:tr2bl w:val="nil"/>
            </w:tcBorders>
            <w:noWrap w:val="0"/>
            <w:vAlign w:val="center"/>
          </w:tcPr>
          <w:p>
            <w:pPr>
              <w:pStyle w:val="35"/>
              <w:bidi w:val="0"/>
              <w:rPr>
                <w:rFonts w:hint="eastAsia"/>
                <w:color w:val="auto"/>
              </w:rPr>
            </w:pPr>
            <w:r>
              <w:rPr>
                <w:rFonts w:hint="eastAsia"/>
                <w:color w:val="auto"/>
                <w:lang w:val="en-US" w:eastAsia="zh-CN"/>
              </w:rPr>
              <w:t>甲基丙烯酸甲酯</w:t>
            </w:r>
          </w:p>
        </w:tc>
        <w:tc>
          <w:tcPr>
            <w:tcW w:w="590" w:type="pct"/>
            <w:vMerge w:val="continue"/>
            <w:tcBorders>
              <w:tl2br w:val="nil"/>
              <w:tr2bl w:val="nil"/>
            </w:tcBorders>
            <w:noWrap w:val="0"/>
            <w:vAlign w:val="center"/>
          </w:tcPr>
          <w:p>
            <w:pPr>
              <w:pStyle w:val="35"/>
              <w:bidi w:val="0"/>
              <w:rPr>
                <w:rFonts w:hint="eastAsia"/>
                <w:color w:val="auto"/>
              </w:rPr>
            </w:pPr>
          </w:p>
        </w:tc>
        <w:tc>
          <w:tcPr>
            <w:tcW w:w="714" w:type="pct"/>
            <w:vMerge w:val="continue"/>
            <w:tcBorders>
              <w:tl2br w:val="nil"/>
              <w:tr2bl w:val="nil"/>
            </w:tcBorders>
            <w:noWrap w:val="0"/>
            <w:vAlign w:val="center"/>
          </w:tcPr>
          <w:p>
            <w:pPr>
              <w:pStyle w:val="35"/>
              <w:bidi w:val="0"/>
              <w:rPr>
                <w:rFonts w:hint="eastAsia"/>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0.0083</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0.0083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vMerge w:val="continue"/>
            <w:tcBorders>
              <w:tl2br w:val="nil"/>
              <w:tr2bl w:val="nil"/>
            </w:tcBorders>
            <w:noWrap w:val="0"/>
            <w:vAlign w:val="center"/>
          </w:tcPr>
          <w:p>
            <w:pPr>
              <w:pStyle w:val="35"/>
              <w:bidi w:val="0"/>
              <w:rPr>
                <w:rFonts w:hint="eastAsia"/>
                <w:color w:val="auto"/>
              </w:rPr>
            </w:pPr>
          </w:p>
        </w:tc>
        <w:tc>
          <w:tcPr>
            <w:tcW w:w="918" w:type="pct"/>
            <w:tcBorders>
              <w:tl2br w:val="nil"/>
              <w:tr2bl w:val="nil"/>
            </w:tcBorders>
            <w:noWrap w:val="0"/>
            <w:vAlign w:val="center"/>
          </w:tcPr>
          <w:p>
            <w:pPr>
              <w:pStyle w:val="35"/>
              <w:bidi w:val="0"/>
              <w:rPr>
                <w:rFonts w:hint="eastAsia"/>
                <w:color w:val="auto"/>
              </w:rPr>
            </w:pPr>
            <w:r>
              <w:rPr>
                <w:rFonts w:hint="eastAsia"/>
                <w:color w:val="auto"/>
                <w:lang w:val="en-US" w:eastAsia="zh-CN"/>
              </w:rPr>
              <w:t>二甲苯</w:t>
            </w:r>
          </w:p>
        </w:tc>
        <w:tc>
          <w:tcPr>
            <w:tcW w:w="590" w:type="pct"/>
            <w:vMerge w:val="continue"/>
            <w:tcBorders>
              <w:tl2br w:val="nil"/>
              <w:tr2bl w:val="nil"/>
            </w:tcBorders>
            <w:noWrap w:val="0"/>
            <w:vAlign w:val="center"/>
          </w:tcPr>
          <w:p>
            <w:pPr>
              <w:pStyle w:val="35"/>
              <w:bidi w:val="0"/>
              <w:rPr>
                <w:rFonts w:hint="eastAsia"/>
                <w:color w:val="auto"/>
              </w:rPr>
            </w:pPr>
          </w:p>
        </w:tc>
        <w:tc>
          <w:tcPr>
            <w:tcW w:w="714" w:type="pct"/>
            <w:vMerge w:val="continue"/>
            <w:tcBorders>
              <w:tl2br w:val="nil"/>
              <w:tr2bl w:val="nil"/>
            </w:tcBorders>
            <w:noWrap w:val="0"/>
            <w:vAlign w:val="center"/>
          </w:tcPr>
          <w:p>
            <w:pPr>
              <w:pStyle w:val="35"/>
              <w:bidi w:val="0"/>
              <w:rPr>
                <w:rFonts w:hint="eastAsia"/>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0.00007</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vMerge w:val="restart"/>
            <w:tcBorders>
              <w:tl2br w:val="nil"/>
              <w:tr2bl w:val="nil"/>
            </w:tcBorders>
            <w:noWrap w:val="0"/>
            <w:vAlign w:val="center"/>
          </w:tcPr>
          <w:p>
            <w:pPr>
              <w:pStyle w:val="35"/>
              <w:bidi w:val="0"/>
              <w:rPr>
                <w:rFonts w:hint="eastAsia"/>
                <w:color w:val="auto"/>
              </w:rPr>
            </w:pPr>
            <w:r>
              <w:rPr>
                <w:rFonts w:hint="eastAsia"/>
                <w:color w:val="auto"/>
                <w:lang w:val="en-US" w:eastAsia="zh-CN"/>
              </w:rPr>
              <w:t>溶剂回收罐</w:t>
            </w:r>
          </w:p>
        </w:tc>
        <w:tc>
          <w:tcPr>
            <w:tcW w:w="918" w:type="pct"/>
            <w:tcBorders>
              <w:tl2br w:val="nil"/>
              <w:tr2bl w:val="nil"/>
            </w:tcBorders>
            <w:noWrap w:val="0"/>
            <w:vAlign w:val="center"/>
          </w:tcPr>
          <w:p>
            <w:pPr>
              <w:pStyle w:val="35"/>
              <w:bidi w:val="0"/>
              <w:rPr>
                <w:rFonts w:hint="eastAsia"/>
                <w:color w:val="auto"/>
              </w:rPr>
            </w:pPr>
            <w:r>
              <w:rPr>
                <w:rFonts w:hint="eastAsia"/>
                <w:color w:val="auto"/>
                <w:lang w:val="en-US" w:eastAsia="zh-CN"/>
              </w:rPr>
              <w:t>甲醇</w:t>
            </w:r>
          </w:p>
        </w:tc>
        <w:tc>
          <w:tcPr>
            <w:tcW w:w="590" w:type="pct"/>
            <w:vMerge w:val="restart"/>
            <w:tcBorders>
              <w:tl2br w:val="nil"/>
              <w:tr2bl w:val="nil"/>
            </w:tcBorders>
            <w:noWrap w:val="0"/>
            <w:vAlign w:val="center"/>
          </w:tcPr>
          <w:p>
            <w:pPr>
              <w:pStyle w:val="35"/>
              <w:bidi w:val="0"/>
              <w:rPr>
                <w:rFonts w:hint="eastAsia"/>
                <w:color w:val="auto"/>
              </w:rPr>
            </w:pPr>
            <w:r>
              <w:rPr>
                <w:rFonts w:hint="eastAsia"/>
                <w:color w:val="auto"/>
              </w:rPr>
              <w:t>加强设备管道连接的密闭设计</w:t>
            </w:r>
          </w:p>
        </w:tc>
        <w:tc>
          <w:tcPr>
            <w:tcW w:w="714" w:type="pct"/>
            <w:vMerge w:val="restar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10*4.5*2</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0.00012</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vMerge w:val="continue"/>
            <w:tcBorders>
              <w:tl2br w:val="nil"/>
              <w:tr2bl w:val="nil"/>
            </w:tcBorders>
            <w:noWrap w:val="0"/>
            <w:vAlign w:val="center"/>
          </w:tcPr>
          <w:p>
            <w:pPr>
              <w:pStyle w:val="35"/>
              <w:bidi w:val="0"/>
              <w:rPr>
                <w:rFonts w:hint="eastAsia"/>
                <w:color w:val="auto"/>
              </w:rPr>
            </w:pPr>
          </w:p>
        </w:tc>
        <w:tc>
          <w:tcPr>
            <w:tcW w:w="918" w:type="pct"/>
            <w:tcBorders>
              <w:tl2br w:val="nil"/>
              <w:tr2bl w:val="nil"/>
            </w:tcBorders>
            <w:noWrap w:val="0"/>
            <w:vAlign w:val="center"/>
          </w:tcPr>
          <w:p>
            <w:pPr>
              <w:pStyle w:val="35"/>
              <w:bidi w:val="0"/>
              <w:rPr>
                <w:rFonts w:hint="eastAsia"/>
                <w:color w:val="auto"/>
              </w:rPr>
            </w:pPr>
            <w:r>
              <w:rPr>
                <w:rFonts w:hint="eastAsia"/>
                <w:color w:val="auto"/>
                <w:lang w:val="en-US" w:eastAsia="zh-CN"/>
              </w:rPr>
              <w:t>二甲苯</w:t>
            </w:r>
          </w:p>
        </w:tc>
        <w:tc>
          <w:tcPr>
            <w:tcW w:w="590" w:type="pct"/>
            <w:vMerge w:val="continue"/>
            <w:tcBorders>
              <w:tl2br w:val="nil"/>
              <w:tr2bl w:val="nil"/>
            </w:tcBorders>
            <w:noWrap w:val="0"/>
            <w:vAlign w:val="center"/>
          </w:tcPr>
          <w:p>
            <w:pPr>
              <w:pStyle w:val="35"/>
              <w:bidi w:val="0"/>
              <w:rPr>
                <w:rFonts w:hint="eastAsia"/>
                <w:color w:val="auto"/>
              </w:rPr>
            </w:pPr>
          </w:p>
        </w:tc>
        <w:tc>
          <w:tcPr>
            <w:tcW w:w="714" w:type="pct"/>
            <w:vMerge w:val="continue"/>
            <w:tcBorders>
              <w:tl2br w:val="nil"/>
              <w:tr2bl w:val="nil"/>
            </w:tcBorders>
            <w:noWrap w:val="0"/>
            <w:vAlign w:val="center"/>
          </w:tcPr>
          <w:p>
            <w:pPr>
              <w:pStyle w:val="35"/>
              <w:bidi w:val="0"/>
              <w:rPr>
                <w:rFonts w:hint="eastAsia"/>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0.00065</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0.00065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tcBorders>
              <w:tl2br w:val="nil"/>
              <w:tr2bl w:val="nil"/>
            </w:tcBorders>
            <w:noWrap w:val="0"/>
            <w:vAlign w:val="center"/>
          </w:tcPr>
          <w:p>
            <w:pPr>
              <w:pStyle w:val="35"/>
              <w:bidi w:val="0"/>
              <w:rPr>
                <w:rFonts w:hint="eastAsia"/>
                <w:color w:val="auto"/>
              </w:rPr>
            </w:pPr>
            <w:r>
              <w:rPr>
                <w:rFonts w:hint="eastAsia"/>
                <w:color w:val="auto"/>
                <w:lang w:val="en-US" w:eastAsia="zh-CN"/>
              </w:rPr>
              <w:t>原料仓库</w:t>
            </w:r>
          </w:p>
        </w:tc>
        <w:tc>
          <w:tcPr>
            <w:tcW w:w="918" w:type="pct"/>
            <w:tcBorders>
              <w:tl2br w:val="nil"/>
              <w:tr2bl w:val="nil"/>
            </w:tcBorders>
            <w:noWrap w:val="0"/>
            <w:vAlign w:val="center"/>
          </w:tcPr>
          <w:p>
            <w:pPr>
              <w:pStyle w:val="35"/>
              <w:bidi w:val="0"/>
              <w:rPr>
                <w:rFonts w:hint="eastAsia"/>
                <w:color w:val="auto"/>
              </w:rPr>
            </w:pPr>
            <w:r>
              <w:rPr>
                <w:rFonts w:hint="eastAsia"/>
                <w:color w:val="auto"/>
                <w:lang w:val="en-US" w:eastAsia="zh-CN"/>
              </w:rPr>
              <w:t>非甲烷总烃</w:t>
            </w:r>
          </w:p>
        </w:tc>
        <w:tc>
          <w:tcPr>
            <w:tcW w:w="590"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通风设计</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22.5*10*8</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0.0083</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0.0083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vMerge w:val="restar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储罐区</w:t>
            </w:r>
          </w:p>
        </w:tc>
        <w:tc>
          <w:tcPr>
            <w:tcW w:w="918" w:type="pct"/>
            <w:tcBorders>
              <w:tl2br w:val="nil"/>
              <w:tr2bl w:val="nil"/>
            </w:tcBorders>
            <w:noWrap w:val="0"/>
            <w:vAlign w:val="center"/>
          </w:tcPr>
          <w:p>
            <w:pPr>
              <w:pStyle w:val="35"/>
              <w:bidi w:val="0"/>
              <w:rPr>
                <w:rFonts w:hint="eastAsia"/>
                <w:color w:val="auto"/>
                <w:lang w:val="en-US" w:eastAsia="zh-CN"/>
              </w:rPr>
            </w:pPr>
            <w:r>
              <w:rPr>
                <w:color w:val="auto"/>
              </w:rPr>
              <w:t>苯乙烯储罐产生的非甲烷总烃</w:t>
            </w:r>
          </w:p>
        </w:tc>
        <w:tc>
          <w:tcPr>
            <w:tcW w:w="590" w:type="pct"/>
            <w:vMerge w:val="restart"/>
            <w:tcBorders>
              <w:tl2br w:val="nil"/>
              <w:tr2bl w:val="nil"/>
            </w:tcBorders>
            <w:noWrap w:val="0"/>
            <w:vAlign w:val="center"/>
          </w:tcPr>
          <w:p>
            <w:pPr>
              <w:pStyle w:val="35"/>
              <w:bidi w:val="0"/>
              <w:rPr>
                <w:rFonts w:hint="eastAsia"/>
                <w:color w:val="auto"/>
                <w:lang w:eastAsia="zh-CN"/>
              </w:rPr>
            </w:pPr>
          </w:p>
        </w:tc>
        <w:tc>
          <w:tcPr>
            <w:tcW w:w="714" w:type="pct"/>
            <w:vMerge w:val="restar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20*40</w:t>
            </w:r>
          </w:p>
        </w:tc>
        <w:tc>
          <w:tcPr>
            <w:tcW w:w="714" w:type="pct"/>
            <w:tcBorders>
              <w:tl2br w:val="nil"/>
              <w:tr2bl w:val="nil"/>
            </w:tcBorders>
            <w:noWrap w:val="0"/>
            <w:vAlign w:val="center"/>
          </w:tcPr>
          <w:p>
            <w:pPr>
              <w:pStyle w:val="35"/>
              <w:bidi w:val="0"/>
              <w:rPr>
                <w:rFonts w:hint="eastAsia"/>
                <w:color w:val="auto"/>
                <w:lang w:val="en-US" w:eastAsia="zh-CN"/>
              </w:rPr>
            </w:pPr>
            <w:r>
              <w:rPr>
                <w:color w:val="auto"/>
              </w:rPr>
              <w:t>0.138</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lang w:val="en-US" w:eastAsia="zh-CN"/>
              </w:rPr>
            </w:pPr>
            <w:r>
              <w:rPr>
                <w:color w:val="auto"/>
              </w:rPr>
              <w:t>0.138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vMerge w:val="continue"/>
            <w:tcBorders>
              <w:tl2br w:val="nil"/>
              <w:tr2bl w:val="nil"/>
            </w:tcBorders>
            <w:noWrap w:val="0"/>
            <w:vAlign w:val="center"/>
          </w:tcPr>
          <w:p>
            <w:pPr>
              <w:pStyle w:val="35"/>
              <w:bidi w:val="0"/>
              <w:rPr>
                <w:rFonts w:hint="eastAsia"/>
                <w:color w:val="auto"/>
                <w:lang w:val="en-US" w:eastAsia="zh-CN"/>
              </w:rPr>
            </w:pPr>
          </w:p>
        </w:tc>
        <w:tc>
          <w:tcPr>
            <w:tcW w:w="918" w:type="pct"/>
            <w:tcBorders>
              <w:tl2br w:val="nil"/>
              <w:tr2bl w:val="nil"/>
            </w:tcBorders>
            <w:noWrap w:val="0"/>
            <w:vAlign w:val="center"/>
          </w:tcPr>
          <w:p>
            <w:pPr>
              <w:pStyle w:val="35"/>
              <w:bidi w:val="0"/>
              <w:rPr>
                <w:rFonts w:hint="eastAsia"/>
                <w:color w:val="auto"/>
                <w:lang w:val="en-US" w:eastAsia="zh-CN"/>
              </w:rPr>
            </w:pPr>
            <w:r>
              <w:rPr>
                <w:color w:val="auto"/>
              </w:rPr>
              <w:t>二氯丙烷储罐产生的非甲烷总烃</w:t>
            </w:r>
          </w:p>
        </w:tc>
        <w:tc>
          <w:tcPr>
            <w:tcW w:w="590" w:type="pct"/>
            <w:vMerge w:val="continue"/>
            <w:tcBorders>
              <w:tl2br w:val="nil"/>
              <w:tr2bl w:val="nil"/>
            </w:tcBorders>
            <w:noWrap w:val="0"/>
            <w:vAlign w:val="center"/>
          </w:tcPr>
          <w:p>
            <w:pPr>
              <w:pStyle w:val="35"/>
              <w:bidi w:val="0"/>
              <w:rPr>
                <w:rFonts w:hint="eastAsia"/>
                <w:color w:val="auto"/>
                <w:lang w:eastAsia="zh-CN"/>
              </w:rPr>
            </w:pPr>
          </w:p>
        </w:tc>
        <w:tc>
          <w:tcPr>
            <w:tcW w:w="714" w:type="pct"/>
            <w:vMerge w:val="continue"/>
            <w:tcBorders>
              <w:tl2br w:val="nil"/>
              <w:tr2bl w:val="nil"/>
            </w:tcBorders>
            <w:noWrap w:val="0"/>
            <w:vAlign w:val="center"/>
          </w:tcPr>
          <w:p>
            <w:pPr>
              <w:pStyle w:val="35"/>
              <w:bidi w:val="0"/>
              <w:rPr>
                <w:rFonts w:hint="eastAsia"/>
                <w:color w:val="auto"/>
                <w:lang w:val="en-US" w:eastAsia="zh-CN"/>
              </w:rPr>
            </w:pPr>
          </w:p>
        </w:tc>
        <w:tc>
          <w:tcPr>
            <w:tcW w:w="714" w:type="pct"/>
            <w:tcBorders>
              <w:tl2br w:val="nil"/>
              <w:tr2bl w:val="nil"/>
            </w:tcBorders>
            <w:noWrap w:val="0"/>
            <w:vAlign w:val="center"/>
          </w:tcPr>
          <w:p>
            <w:pPr>
              <w:pStyle w:val="35"/>
              <w:bidi w:val="0"/>
              <w:rPr>
                <w:rFonts w:hint="eastAsia"/>
                <w:color w:val="auto"/>
                <w:lang w:val="en-US" w:eastAsia="zh-CN"/>
              </w:rPr>
            </w:pPr>
            <w:r>
              <w:rPr>
                <w:color w:val="auto"/>
              </w:rPr>
              <w:t>0.201</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lang w:val="en-US" w:eastAsia="zh-CN"/>
              </w:rPr>
            </w:pPr>
            <w:r>
              <w:rPr>
                <w:color w:val="auto"/>
              </w:rPr>
              <w:t>0.201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632" w:type="pct"/>
            <w:vMerge w:val="continue"/>
            <w:tcBorders>
              <w:tl2br w:val="nil"/>
              <w:tr2bl w:val="nil"/>
            </w:tcBorders>
            <w:noWrap w:val="0"/>
            <w:vAlign w:val="center"/>
          </w:tcPr>
          <w:p>
            <w:pPr>
              <w:pStyle w:val="35"/>
              <w:bidi w:val="0"/>
              <w:rPr>
                <w:rFonts w:hint="eastAsia"/>
                <w:color w:val="auto"/>
                <w:lang w:val="en-US" w:eastAsia="zh-CN"/>
              </w:rPr>
            </w:pPr>
          </w:p>
        </w:tc>
        <w:tc>
          <w:tcPr>
            <w:tcW w:w="918" w:type="pct"/>
            <w:tcBorders>
              <w:tl2br w:val="nil"/>
              <w:tr2bl w:val="nil"/>
            </w:tcBorders>
            <w:noWrap w:val="0"/>
            <w:vAlign w:val="center"/>
          </w:tcPr>
          <w:p>
            <w:pPr>
              <w:pStyle w:val="35"/>
              <w:bidi w:val="0"/>
              <w:rPr>
                <w:rFonts w:hint="eastAsia"/>
                <w:color w:val="auto"/>
                <w:lang w:val="en-US" w:eastAsia="zh-CN"/>
              </w:rPr>
            </w:pPr>
            <w:r>
              <w:rPr>
                <w:color w:val="auto"/>
              </w:rPr>
              <w:t>燃料油储罐产生的非甲烷总烃</w:t>
            </w:r>
          </w:p>
        </w:tc>
        <w:tc>
          <w:tcPr>
            <w:tcW w:w="590" w:type="pct"/>
            <w:vMerge w:val="continue"/>
            <w:tcBorders>
              <w:tl2br w:val="nil"/>
              <w:tr2bl w:val="nil"/>
            </w:tcBorders>
            <w:noWrap w:val="0"/>
            <w:vAlign w:val="center"/>
          </w:tcPr>
          <w:p>
            <w:pPr>
              <w:pStyle w:val="35"/>
              <w:bidi w:val="0"/>
              <w:rPr>
                <w:rFonts w:hint="eastAsia"/>
                <w:color w:val="auto"/>
                <w:lang w:eastAsia="zh-CN"/>
              </w:rPr>
            </w:pPr>
          </w:p>
        </w:tc>
        <w:tc>
          <w:tcPr>
            <w:tcW w:w="714" w:type="pct"/>
            <w:vMerge w:val="continue"/>
            <w:tcBorders>
              <w:tl2br w:val="nil"/>
              <w:tr2bl w:val="nil"/>
            </w:tcBorders>
            <w:noWrap w:val="0"/>
            <w:vAlign w:val="center"/>
          </w:tcPr>
          <w:p>
            <w:pPr>
              <w:pStyle w:val="35"/>
              <w:bidi w:val="0"/>
              <w:rPr>
                <w:rFonts w:hint="eastAsia"/>
                <w:color w:val="auto"/>
                <w:lang w:val="en-US" w:eastAsia="zh-CN"/>
              </w:rPr>
            </w:pPr>
          </w:p>
        </w:tc>
        <w:tc>
          <w:tcPr>
            <w:tcW w:w="714" w:type="pct"/>
            <w:tcBorders>
              <w:tl2br w:val="nil"/>
              <w:tr2bl w:val="nil"/>
            </w:tcBorders>
            <w:noWrap w:val="0"/>
            <w:vAlign w:val="center"/>
          </w:tcPr>
          <w:p>
            <w:pPr>
              <w:pStyle w:val="35"/>
              <w:bidi w:val="0"/>
              <w:rPr>
                <w:rFonts w:hint="eastAsia"/>
                <w:color w:val="auto"/>
                <w:lang w:val="en-US" w:eastAsia="zh-CN"/>
              </w:rPr>
            </w:pPr>
            <w:r>
              <w:rPr>
                <w:color w:val="auto"/>
              </w:rPr>
              <w:t>0.428</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lang w:val="en-US" w:eastAsia="zh-CN"/>
              </w:rPr>
            </w:pPr>
            <w:r>
              <w:rPr>
                <w:color w:val="auto"/>
              </w:rPr>
              <w:t>0.428</w:t>
            </w:r>
          </w:p>
        </w:tc>
      </w:tr>
    </w:tbl>
    <w:p>
      <w:pPr>
        <w:pStyle w:val="33"/>
        <w:bidi w:val="0"/>
        <w:rPr>
          <w:rFonts w:hint="default" w:ascii="Times New Roman" w:hAnsi="Times New Roman"/>
          <w:b/>
          <w:bCs/>
          <w:caps w:val="0"/>
          <w:smallCaps w:val="0"/>
          <w:color w:val="auto"/>
          <w:lang w:val="en-US"/>
        </w:rPr>
      </w:pPr>
      <w:bookmarkStart w:id="52" w:name="_Toc6209"/>
      <w:bookmarkStart w:id="53" w:name="_Toc5323"/>
      <w:r>
        <w:rPr>
          <w:rFonts w:hint="eastAsia"/>
          <w:b/>
          <w:bCs/>
          <w:color w:val="auto"/>
          <w:lang w:val="en-US" w:eastAsia="zh-CN"/>
        </w:rPr>
        <w:t>（3）</w:t>
      </w:r>
      <w:r>
        <w:rPr>
          <w:rFonts w:hint="eastAsia" w:ascii="Times New Roman" w:hAnsi="Times New Roman"/>
          <w:b/>
          <w:bCs/>
          <w:caps w:val="0"/>
          <w:smallCaps w:val="0"/>
          <w:color w:val="auto"/>
        </w:rPr>
        <w:t>排放源</w:t>
      </w:r>
      <w:r>
        <w:rPr>
          <w:rFonts w:hint="eastAsia" w:ascii="Times New Roman" w:hAnsi="Times New Roman"/>
          <w:b/>
          <w:bCs/>
          <w:caps w:val="0"/>
          <w:smallCaps w:val="0"/>
          <w:color w:val="auto"/>
          <w:lang w:eastAsia="zh-CN"/>
        </w:rPr>
        <w:t>实测</w:t>
      </w:r>
      <w:r>
        <w:rPr>
          <w:rFonts w:hint="eastAsia" w:ascii="Times New Roman" w:hAnsi="Times New Roman"/>
          <w:b/>
          <w:bCs/>
          <w:caps w:val="0"/>
          <w:smallCaps w:val="0"/>
          <w:color w:val="auto"/>
          <w:lang w:val="en-US" w:eastAsia="zh-CN"/>
        </w:rPr>
        <w:t>数据</w:t>
      </w:r>
    </w:p>
    <w:p>
      <w:pPr>
        <w:spacing w:line="360" w:lineRule="auto"/>
        <w:ind w:firstLine="480" w:firstLineChars="200"/>
        <w:rPr>
          <w:rFonts w:hint="eastAsia" w:ascii="Times New Roman" w:hAnsi="Times New Roman" w:cs="宋体"/>
          <w:caps w:val="0"/>
          <w:smallCaps w:val="0"/>
          <w:color w:val="auto"/>
          <w:sz w:val="24"/>
          <w:u w:val="none"/>
          <w:lang w:val="en-US" w:eastAsia="zh-CN"/>
        </w:rPr>
      </w:pPr>
      <w:r>
        <w:rPr>
          <w:rFonts w:hint="eastAsia" w:ascii="Times New Roman" w:hAnsi="Times New Roman" w:cs="宋体"/>
          <w:caps w:val="0"/>
          <w:smallCaps w:val="0"/>
          <w:color w:val="auto"/>
          <w:sz w:val="24"/>
          <w:u w:val="none"/>
          <w:lang w:val="en-US" w:eastAsia="zh-CN"/>
        </w:rPr>
        <w:t>本次评价收集了湖南汨江检测有限公司对岳阳凌峰化工有限公司2020年第四季度日常检测数据。</w:t>
      </w:r>
    </w:p>
    <w:p>
      <w:pPr>
        <w:spacing w:line="360" w:lineRule="auto"/>
        <w:ind w:firstLine="480" w:firstLineChars="200"/>
        <w:rPr>
          <w:rFonts w:hint="eastAsia" w:ascii="Times New Roman" w:hAnsi="Times New Roman" w:cs="宋体"/>
          <w:caps w:val="0"/>
          <w:smallCaps w:val="0"/>
          <w:color w:val="auto"/>
          <w:sz w:val="24"/>
          <w:u w:val="none"/>
          <w:lang w:val="en-US" w:eastAsia="zh-CN"/>
        </w:rPr>
      </w:pPr>
      <w:r>
        <w:rPr>
          <w:rFonts w:hint="eastAsia" w:ascii="Times New Roman" w:hAnsi="Times New Roman" w:cs="宋体"/>
          <w:caps w:val="0"/>
          <w:smallCaps w:val="0"/>
          <w:color w:val="auto"/>
          <w:sz w:val="24"/>
          <w:u w:val="none"/>
          <w:lang w:val="en-US" w:eastAsia="zh-CN"/>
        </w:rPr>
        <w:t>（1）有组织废气</w:t>
      </w:r>
    </w:p>
    <w:p>
      <w:pPr>
        <w:pStyle w:val="36"/>
        <w:bidi w:val="0"/>
        <w:rPr>
          <w:rFonts w:hint="default" w:ascii="Times New Roman" w:hAnsi="Times New Roman" w:cs="Times New Roman"/>
          <w:b/>
          <w:caps w:val="0"/>
          <w:smallCaps w:val="0"/>
          <w:color w:val="auto"/>
          <w:u w:val="single"/>
          <w:lang w:val="en-US" w:eastAsia="zh-CN"/>
        </w:rPr>
      </w:pPr>
      <w:r>
        <w:rPr>
          <w:rFonts w:ascii="Times New Roman" w:hAnsi="Times New Roman" w:cs="Times New Roman"/>
          <w:b/>
          <w:caps w:val="0"/>
          <w:smallCaps w:val="0"/>
          <w:color w:val="auto"/>
          <w:u w:val="single"/>
        </w:rPr>
        <w:t>表</w:t>
      </w:r>
      <w:r>
        <w:rPr>
          <w:rFonts w:hint="eastAsia" w:ascii="Times New Roman" w:hAnsi="Times New Roman" w:cs="Times New Roman"/>
          <w:b/>
          <w:caps w:val="0"/>
          <w:smallCaps w:val="0"/>
          <w:color w:val="auto"/>
          <w:u w:val="single"/>
          <w:lang w:val="en-US" w:eastAsia="zh-CN"/>
        </w:rPr>
        <w:t>3.3-3</w:t>
      </w:r>
      <w:r>
        <w:rPr>
          <w:rFonts w:hint="eastAsia" w:ascii="Times New Roman" w:hAnsi="Times New Roman"/>
          <w:b/>
          <w:caps w:val="0"/>
          <w:smallCaps w:val="0"/>
          <w:color w:val="auto"/>
          <w:szCs w:val="21"/>
          <w:u w:val="single"/>
        </w:rPr>
        <w:t>现有</w:t>
      </w:r>
      <w:r>
        <w:rPr>
          <w:rFonts w:ascii="Times New Roman" w:hAnsi="Times New Roman"/>
          <w:b/>
          <w:caps w:val="0"/>
          <w:smallCaps w:val="0"/>
          <w:color w:val="auto"/>
          <w:szCs w:val="21"/>
          <w:u w:val="single"/>
        </w:rPr>
        <w:t>项目</w:t>
      </w:r>
      <w:r>
        <w:rPr>
          <w:rFonts w:hint="eastAsia" w:ascii="Times New Roman" w:hAnsi="Times New Roman"/>
          <w:b/>
          <w:caps w:val="0"/>
          <w:smallCaps w:val="0"/>
          <w:color w:val="auto"/>
          <w:szCs w:val="21"/>
          <w:u w:val="single"/>
          <w:lang w:val="en-US" w:eastAsia="zh-CN"/>
        </w:rPr>
        <w:t>有组织</w:t>
      </w:r>
      <w:r>
        <w:rPr>
          <w:rFonts w:hint="eastAsia" w:ascii="Times New Roman" w:hAnsi="Times New Roman"/>
          <w:b/>
          <w:caps w:val="0"/>
          <w:smallCaps w:val="0"/>
          <w:color w:val="auto"/>
          <w:szCs w:val="21"/>
          <w:u w:val="single"/>
        </w:rPr>
        <w:t>废气常规监测情况一览表</w:t>
      </w:r>
    </w:p>
    <w:tbl>
      <w:tblPr>
        <w:tblStyle w:val="2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584"/>
        <w:gridCol w:w="1585"/>
        <w:gridCol w:w="1585"/>
        <w:gridCol w:w="1585"/>
        <w:gridCol w:w="15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33" w:type="pct"/>
            <w:tcBorders>
              <w:tl2br w:val="nil"/>
              <w:tr2bl w:val="nil"/>
            </w:tcBorders>
            <w:noWrap w:val="0"/>
            <w:vAlign w:val="center"/>
          </w:tcPr>
          <w:p>
            <w:pPr>
              <w:spacing w:line="360" w:lineRule="auto"/>
              <w:jc w:val="center"/>
              <w:rPr>
                <w:rFonts w:hint="default" w:ascii="Times New Roman" w:hAnsi="Times New Roman" w:cs="宋体"/>
                <w:b/>
                <w:bCs/>
                <w:caps w:val="0"/>
                <w:smallCaps w:val="0"/>
                <w:color w:val="auto"/>
                <w:sz w:val="21"/>
                <w:szCs w:val="21"/>
                <w:u w:val="single"/>
                <w:vertAlign w:val="baseline"/>
                <w:lang w:val="en-US" w:eastAsia="zh-CN"/>
              </w:rPr>
            </w:pPr>
            <w:r>
              <w:rPr>
                <w:rFonts w:hint="eastAsia" w:ascii="Times New Roman" w:hAnsi="Times New Roman" w:cs="宋体"/>
                <w:b/>
                <w:bCs/>
                <w:caps w:val="0"/>
                <w:smallCaps w:val="0"/>
                <w:color w:val="auto"/>
                <w:sz w:val="21"/>
                <w:szCs w:val="21"/>
                <w:u w:val="single"/>
                <w:vertAlign w:val="baseline"/>
                <w:lang w:val="en-US" w:eastAsia="zh-CN"/>
              </w:rPr>
              <w:t>检测时间</w:t>
            </w:r>
          </w:p>
        </w:tc>
        <w:tc>
          <w:tcPr>
            <w:tcW w:w="833" w:type="pct"/>
            <w:tcBorders>
              <w:tl2br w:val="nil"/>
              <w:tr2bl w:val="nil"/>
            </w:tcBorders>
            <w:noWrap w:val="0"/>
            <w:vAlign w:val="center"/>
          </w:tcPr>
          <w:p>
            <w:pPr>
              <w:spacing w:line="360" w:lineRule="auto"/>
              <w:jc w:val="center"/>
              <w:rPr>
                <w:rFonts w:hint="default" w:ascii="Times New Roman" w:hAnsi="Times New Roman" w:cs="宋体"/>
                <w:b/>
                <w:bCs/>
                <w:caps w:val="0"/>
                <w:smallCaps w:val="0"/>
                <w:color w:val="auto"/>
                <w:sz w:val="21"/>
                <w:szCs w:val="21"/>
                <w:u w:val="single"/>
                <w:vertAlign w:val="baseline"/>
                <w:lang w:val="en-US" w:eastAsia="zh-CN"/>
              </w:rPr>
            </w:pPr>
            <w:r>
              <w:rPr>
                <w:rFonts w:hint="eastAsia" w:ascii="Times New Roman" w:hAnsi="Times New Roman" w:cs="宋体"/>
                <w:b/>
                <w:bCs/>
                <w:caps w:val="0"/>
                <w:smallCaps w:val="0"/>
                <w:color w:val="auto"/>
                <w:sz w:val="21"/>
                <w:szCs w:val="21"/>
                <w:u w:val="single"/>
                <w:vertAlign w:val="baseline"/>
                <w:lang w:val="en-US" w:eastAsia="zh-CN"/>
              </w:rPr>
              <w:t>检测点位</w:t>
            </w:r>
          </w:p>
        </w:tc>
        <w:tc>
          <w:tcPr>
            <w:tcW w:w="833" w:type="pct"/>
            <w:tcBorders>
              <w:tl2br w:val="nil"/>
              <w:tr2bl w:val="nil"/>
            </w:tcBorders>
            <w:noWrap w:val="0"/>
            <w:vAlign w:val="center"/>
          </w:tcPr>
          <w:p>
            <w:pPr>
              <w:spacing w:line="360" w:lineRule="auto"/>
              <w:jc w:val="center"/>
              <w:rPr>
                <w:rFonts w:hint="default" w:ascii="Times New Roman" w:hAnsi="Times New Roman" w:cs="宋体"/>
                <w:b/>
                <w:bCs/>
                <w:caps w:val="0"/>
                <w:smallCaps w:val="0"/>
                <w:color w:val="auto"/>
                <w:sz w:val="21"/>
                <w:szCs w:val="21"/>
                <w:u w:val="single"/>
                <w:vertAlign w:val="baseline"/>
                <w:lang w:val="en-US" w:eastAsia="zh-CN"/>
              </w:rPr>
            </w:pPr>
            <w:r>
              <w:rPr>
                <w:rFonts w:hint="eastAsia" w:ascii="Times New Roman" w:hAnsi="Times New Roman" w:cs="宋体"/>
                <w:b/>
                <w:bCs/>
                <w:caps w:val="0"/>
                <w:smallCaps w:val="0"/>
                <w:color w:val="auto"/>
                <w:sz w:val="21"/>
                <w:szCs w:val="21"/>
                <w:u w:val="single"/>
                <w:vertAlign w:val="baseline"/>
                <w:lang w:val="en-US" w:eastAsia="zh-CN"/>
              </w:rPr>
              <w:t>检测项目</w:t>
            </w:r>
          </w:p>
        </w:tc>
        <w:tc>
          <w:tcPr>
            <w:tcW w:w="833" w:type="pct"/>
            <w:tcBorders>
              <w:tl2br w:val="nil"/>
              <w:tr2bl w:val="nil"/>
            </w:tcBorders>
            <w:noWrap w:val="0"/>
            <w:vAlign w:val="center"/>
          </w:tcPr>
          <w:p>
            <w:pPr>
              <w:spacing w:line="360" w:lineRule="auto"/>
              <w:jc w:val="center"/>
              <w:rPr>
                <w:rFonts w:hint="default" w:ascii="Times New Roman" w:hAnsi="Times New Roman" w:cs="宋体"/>
                <w:b/>
                <w:bCs/>
                <w:caps w:val="0"/>
                <w:smallCaps w:val="0"/>
                <w:color w:val="auto"/>
                <w:sz w:val="21"/>
                <w:szCs w:val="21"/>
                <w:u w:val="single"/>
                <w:vertAlign w:val="baseline"/>
                <w:lang w:val="en-US" w:eastAsia="zh-CN"/>
              </w:rPr>
            </w:pPr>
            <w:r>
              <w:rPr>
                <w:rFonts w:hint="eastAsia" w:ascii="Times New Roman" w:hAnsi="Times New Roman" w:cs="宋体"/>
                <w:b/>
                <w:bCs/>
                <w:caps w:val="0"/>
                <w:smallCaps w:val="0"/>
                <w:color w:val="auto"/>
                <w:sz w:val="21"/>
                <w:szCs w:val="21"/>
                <w:u w:val="single"/>
                <w:vertAlign w:val="baseline"/>
                <w:lang w:val="en-US" w:eastAsia="zh-CN"/>
              </w:rPr>
              <w:t>检测结果</w:t>
            </w:r>
          </w:p>
        </w:tc>
        <w:tc>
          <w:tcPr>
            <w:tcW w:w="833" w:type="pct"/>
            <w:tcBorders>
              <w:tl2br w:val="nil"/>
              <w:tr2bl w:val="nil"/>
            </w:tcBorders>
            <w:noWrap w:val="0"/>
            <w:vAlign w:val="center"/>
          </w:tcPr>
          <w:p>
            <w:pPr>
              <w:spacing w:line="360" w:lineRule="auto"/>
              <w:jc w:val="center"/>
              <w:rPr>
                <w:rFonts w:hint="default" w:ascii="Times New Roman" w:hAnsi="Times New Roman" w:cs="宋体"/>
                <w:b/>
                <w:bCs/>
                <w:caps w:val="0"/>
                <w:smallCaps w:val="0"/>
                <w:color w:val="auto"/>
                <w:sz w:val="21"/>
                <w:szCs w:val="21"/>
                <w:u w:val="single"/>
                <w:vertAlign w:val="baseline"/>
                <w:lang w:val="en-US" w:eastAsia="zh-CN"/>
              </w:rPr>
            </w:pPr>
            <w:r>
              <w:rPr>
                <w:rFonts w:hint="eastAsia" w:ascii="Times New Roman" w:hAnsi="Times New Roman" w:cs="宋体"/>
                <w:b/>
                <w:bCs/>
                <w:caps w:val="0"/>
                <w:smallCaps w:val="0"/>
                <w:color w:val="auto"/>
                <w:sz w:val="21"/>
                <w:szCs w:val="21"/>
                <w:u w:val="single"/>
                <w:vertAlign w:val="baseline"/>
                <w:lang w:val="en-US" w:eastAsia="zh-CN"/>
              </w:rPr>
              <w:t>单位</w:t>
            </w:r>
          </w:p>
        </w:tc>
        <w:tc>
          <w:tcPr>
            <w:tcW w:w="833" w:type="pct"/>
            <w:tcBorders>
              <w:tl2br w:val="nil"/>
              <w:tr2bl w:val="nil"/>
            </w:tcBorders>
            <w:noWrap w:val="0"/>
            <w:vAlign w:val="center"/>
          </w:tcPr>
          <w:p>
            <w:pPr>
              <w:spacing w:line="360" w:lineRule="auto"/>
              <w:jc w:val="center"/>
              <w:rPr>
                <w:rFonts w:hint="default" w:ascii="Times New Roman" w:hAnsi="Times New Roman" w:cs="宋体"/>
                <w:b/>
                <w:bCs/>
                <w:caps w:val="0"/>
                <w:smallCaps w:val="0"/>
                <w:color w:val="auto"/>
                <w:sz w:val="21"/>
                <w:szCs w:val="21"/>
                <w:u w:val="single"/>
                <w:vertAlign w:val="baseline"/>
                <w:lang w:val="en-US" w:eastAsia="zh-CN"/>
              </w:rPr>
            </w:pPr>
            <w:r>
              <w:rPr>
                <w:rFonts w:hint="eastAsia" w:ascii="Times New Roman" w:hAnsi="Times New Roman" w:cs="宋体"/>
                <w:b/>
                <w:bCs/>
                <w:caps w:val="0"/>
                <w:smallCaps w:val="0"/>
                <w:color w:val="auto"/>
                <w:sz w:val="21"/>
                <w:szCs w:val="21"/>
                <w:u w:val="single"/>
                <w:vertAlign w:val="baseline"/>
                <w:lang w:val="en-US" w:eastAsia="zh-CN"/>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33" w:type="pct"/>
            <w:vMerge w:val="restar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2020年11月3日</w:t>
            </w:r>
          </w:p>
        </w:tc>
        <w:tc>
          <w:tcPr>
            <w:tcW w:w="833" w:type="pct"/>
            <w:vMerge w:val="restar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车间排气口</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标干流量</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3362</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Nm</w:t>
            </w:r>
            <w:r>
              <w:rPr>
                <w:rFonts w:hint="eastAsia" w:ascii="Times New Roman" w:hAnsi="Times New Roman" w:cs="宋体"/>
                <w:caps w:val="0"/>
                <w:smallCaps w:val="0"/>
                <w:color w:val="auto"/>
                <w:sz w:val="21"/>
                <w:szCs w:val="21"/>
                <w:u w:val="single"/>
                <w:vertAlign w:val="superscript"/>
                <w:lang w:val="en-US" w:eastAsia="zh-CN"/>
              </w:rPr>
              <w:t>3</w:t>
            </w:r>
            <w:r>
              <w:rPr>
                <w:rFonts w:hint="eastAsia" w:ascii="Times New Roman" w:hAnsi="Times New Roman" w:cs="宋体"/>
                <w:caps w:val="0"/>
                <w:smallCaps w:val="0"/>
                <w:color w:val="auto"/>
                <w:sz w:val="21"/>
                <w:szCs w:val="21"/>
                <w:u w:val="single"/>
                <w:vertAlign w:val="baseline"/>
                <w:lang w:val="en-US" w:eastAsia="zh-CN"/>
              </w:rPr>
              <w:t>/h</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33" w:type="pct"/>
            <w:vMerge w:val="continue"/>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p>
        </w:tc>
        <w:tc>
          <w:tcPr>
            <w:tcW w:w="833" w:type="pct"/>
            <w:vMerge w:val="continue"/>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非甲烷总烃</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7.01</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mg/m</w:t>
            </w:r>
            <w:r>
              <w:rPr>
                <w:rFonts w:hint="eastAsia" w:ascii="Times New Roman" w:hAnsi="Times New Roman" w:cs="宋体"/>
                <w:caps w:val="0"/>
                <w:smallCaps w:val="0"/>
                <w:color w:val="auto"/>
                <w:sz w:val="21"/>
                <w:szCs w:val="21"/>
                <w:u w:val="single"/>
                <w:vertAlign w:val="superscript"/>
                <w:lang w:val="en-US" w:eastAsia="zh-CN"/>
              </w:rPr>
              <w:t>3</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120mg/m</w:t>
            </w:r>
            <w:r>
              <w:rPr>
                <w:rFonts w:hint="eastAsia" w:ascii="Times New Roman" w:hAnsi="Times New Roman" w:cs="宋体"/>
                <w:caps w:val="0"/>
                <w:smallCaps w:val="0"/>
                <w:color w:val="auto"/>
                <w:sz w:val="21"/>
                <w:szCs w:val="21"/>
                <w:u w:val="singl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33" w:type="pct"/>
            <w:vMerge w:val="continue"/>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p>
        </w:tc>
        <w:tc>
          <w:tcPr>
            <w:tcW w:w="833" w:type="pct"/>
            <w:vMerge w:val="continue"/>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氯化氢</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11.9</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mg/m</w:t>
            </w:r>
            <w:r>
              <w:rPr>
                <w:rFonts w:hint="eastAsia" w:ascii="Times New Roman" w:hAnsi="Times New Roman" w:cs="宋体"/>
                <w:caps w:val="0"/>
                <w:smallCaps w:val="0"/>
                <w:color w:val="auto"/>
                <w:sz w:val="21"/>
                <w:szCs w:val="21"/>
                <w:u w:val="single"/>
                <w:vertAlign w:val="superscript"/>
                <w:lang w:val="en-US" w:eastAsia="zh-CN"/>
              </w:rPr>
              <w:t>3</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30mg/m</w:t>
            </w:r>
            <w:r>
              <w:rPr>
                <w:rFonts w:hint="eastAsia" w:ascii="Times New Roman" w:hAnsi="Times New Roman" w:cs="宋体"/>
                <w:caps w:val="0"/>
                <w:smallCaps w:val="0"/>
                <w:color w:val="auto"/>
                <w:sz w:val="21"/>
                <w:szCs w:val="21"/>
                <w:u w:val="singl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33" w:type="pct"/>
            <w:vMerge w:val="continue"/>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p>
        </w:tc>
        <w:tc>
          <w:tcPr>
            <w:tcW w:w="833" w:type="pct"/>
            <w:vMerge w:val="continue"/>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烟气温度</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25.38</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w:t>
            </w:r>
          </w:p>
        </w:tc>
        <w:tc>
          <w:tcPr>
            <w:tcW w:w="833" w:type="pct"/>
            <w:tcBorders>
              <w:tl2br w:val="nil"/>
              <w:tr2bl w:val="nil"/>
            </w:tcBorders>
            <w:noWrap w:val="0"/>
            <w:vAlign w:val="center"/>
          </w:tcPr>
          <w:p>
            <w:pPr>
              <w:spacing w:line="360" w:lineRule="auto"/>
              <w:jc w:val="center"/>
              <w:rPr>
                <w:rFonts w:hint="eastAsia"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33" w:type="pct"/>
            <w:vMerge w:val="continue"/>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p>
        </w:tc>
        <w:tc>
          <w:tcPr>
            <w:tcW w:w="833" w:type="pct"/>
            <w:vMerge w:val="continue"/>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平均流速</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14.41</w:t>
            </w:r>
          </w:p>
        </w:tc>
        <w:tc>
          <w:tcPr>
            <w:tcW w:w="833" w:type="pct"/>
            <w:tcBorders>
              <w:tl2br w:val="nil"/>
              <w:tr2bl w:val="nil"/>
            </w:tcBorders>
            <w:noWrap w:val="0"/>
            <w:vAlign w:val="center"/>
          </w:tcPr>
          <w:p>
            <w:pPr>
              <w:spacing w:line="360" w:lineRule="auto"/>
              <w:jc w:val="center"/>
              <w:rPr>
                <w:rFonts w:hint="default"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m/s</w:t>
            </w:r>
          </w:p>
        </w:tc>
        <w:tc>
          <w:tcPr>
            <w:tcW w:w="833" w:type="pct"/>
            <w:tcBorders>
              <w:tl2br w:val="nil"/>
              <w:tr2bl w:val="nil"/>
            </w:tcBorders>
            <w:noWrap w:val="0"/>
            <w:vAlign w:val="center"/>
          </w:tcPr>
          <w:p>
            <w:pPr>
              <w:spacing w:line="360" w:lineRule="auto"/>
              <w:jc w:val="center"/>
              <w:rPr>
                <w:rFonts w:hint="eastAsia" w:ascii="Times New Roman" w:hAnsi="Times New Roman" w:cs="宋体"/>
                <w:caps w:val="0"/>
                <w:smallCaps w:val="0"/>
                <w:color w:val="auto"/>
                <w:sz w:val="21"/>
                <w:szCs w:val="21"/>
                <w:u w:val="single"/>
                <w:vertAlign w:val="baseline"/>
                <w:lang w:val="en-US" w:eastAsia="zh-CN"/>
              </w:rPr>
            </w:pPr>
            <w:r>
              <w:rPr>
                <w:rFonts w:hint="eastAsia" w:ascii="Times New Roman" w:hAnsi="Times New Roman" w:cs="宋体"/>
                <w:caps w:val="0"/>
                <w:smallCaps w:val="0"/>
                <w:color w:val="auto"/>
                <w:sz w:val="21"/>
                <w:szCs w:val="21"/>
                <w:u w:val="single"/>
                <w:vertAlign w:val="baseline"/>
                <w:lang w:val="en-US" w:eastAsia="zh-CN"/>
              </w:rPr>
              <w:t>/</w:t>
            </w:r>
          </w:p>
        </w:tc>
      </w:tr>
    </w:tbl>
    <w:p>
      <w:pPr>
        <w:spacing w:line="360" w:lineRule="auto"/>
        <w:ind w:firstLine="480" w:firstLineChars="200"/>
        <w:rPr>
          <w:rFonts w:hint="default" w:ascii="Times New Roman" w:hAnsi="Times New Roman" w:cs="宋体"/>
          <w:caps w:val="0"/>
          <w:smallCaps w:val="0"/>
          <w:color w:val="auto"/>
          <w:sz w:val="24"/>
          <w:u w:val="single"/>
          <w:lang w:val="en-US" w:eastAsia="zh-CN"/>
        </w:rPr>
      </w:pPr>
      <w:r>
        <w:rPr>
          <w:rFonts w:hint="eastAsia" w:ascii="Times New Roman" w:hAnsi="Times New Roman" w:cs="宋体"/>
          <w:caps w:val="0"/>
          <w:smallCaps w:val="0"/>
          <w:color w:val="auto"/>
          <w:sz w:val="24"/>
          <w:u w:val="single"/>
          <w:lang w:val="en-US" w:eastAsia="zh-CN"/>
        </w:rPr>
        <w:t>根据日常监测数据结果表明，现有项目有组织废气污染物中非甲烷总烃和氯化氢均能够满足《石油化学工业污染物排放标准》（GB31571-2015）表4标准要求。</w:t>
      </w:r>
    </w:p>
    <w:p>
      <w:pPr>
        <w:spacing w:line="360" w:lineRule="auto"/>
        <w:ind w:firstLine="480" w:firstLineChars="200"/>
        <w:rPr>
          <w:rFonts w:hint="eastAsia" w:ascii="Times New Roman" w:hAnsi="Times New Roman" w:cs="宋体"/>
          <w:caps w:val="0"/>
          <w:smallCaps w:val="0"/>
          <w:color w:val="auto"/>
          <w:sz w:val="24"/>
          <w:u w:val="single"/>
          <w:lang w:val="en-US" w:eastAsia="zh-CN"/>
        </w:rPr>
      </w:pPr>
      <w:r>
        <w:rPr>
          <w:rFonts w:hint="eastAsia" w:ascii="Times New Roman" w:hAnsi="Times New Roman" w:cs="宋体"/>
          <w:caps w:val="0"/>
          <w:smallCaps w:val="0"/>
          <w:color w:val="auto"/>
          <w:sz w:val="24"/>
          <w:u w:val="single"/>
          <w:lang w:val="en-US" w:eastAsia="zh-CN"/>
        </w:rPr>
        <w:t>（2）无组织废气</w:t>
      </w:r>
    </w:p>
    <w:p>
      <w:pPr>
        <w:pStyle w:val="36"/>
        <w:bidi w:val="0"/>
        <w:rPr>
          <w:rFonts w:hint="eastAsia" w:ascii="Times New Roman" w:hAnsi="Times New Roman" w:cs="Times New Roman"/>
          <w:b/>
          <w:caps w:val="0"/>
          <w:smallCaps w:val="0"/>
          <w:color w:val="auto"/>
          <w:u w:val="single"/>
          <w:lang w:val="en-US" w:eastAsia="zh-CN"/>
        </w:rPr>
      </w:pPr>
      <w:r>
        <w:rPr>
          <w:rFonts w:ascii="Times New Roman" w:hAnsi="Times New Roman" w:cs="Times New Roman"/>
          <w:b/>
          <w:caps w:val="0"/>
          <w:smallCaps w:val="0"/>
          <w:color w:val="auto"/>
          <w:u w:val="single"/>
        </w:rPr>
        <w:t>表</w:t>
      </w:r>
      <w:r>
        <w:rPr>
          <w:rFonts w:hint="eastAsia" w:ascii="Times New Roman" w:hAnsi="Times New Roman" w:cs="Times New Roman"/>
          <w:b/>
          <w:caps w:val="0"/>
          <w:smallCaps w:val="0"/>
          <w:color w:val="auto"/>
          <w:u w:val="single"/>
          <w:lang w:val="en-US" w:eastAsia="zh-CN"/>
        </w:rPr>
        <w:t>3.3-</w:t>
      </w:r>
      <w:r>
        <w:rPr>
          <w:rFonts w:hint="eastAsia" w:cs="Times New Roman"/>
          <w:b/>
          <w:caps w:val="0"/>
          <w:smallCaps w:val="0"/>
          <w:color w:val="auto"/>
          <w:u w:val="single"/>
          <w:lang w:val="en-US" w:eastAsia="zh-CN"/>
        </w:rPr>
        <w:t>4</w:t>
      </w:r>
      <w:r>
        <w:rPr>
          <w:rFonts w:hint="eastAsia" w:ascii="Times New Roman" w:hAnsi="Times New Roman"/>
          <w:b/>
          <w:caps w:val="0"/>
          <w:smallCaps w:val="0"/>
          <w:color w:val="auto"/>
          <w:szCs w:val="21"/>
          <w:u w:val="single"/>
        </w:rPr>
        <w:t>现有</w:t>
      </w:r>
      <w:r>
        <w:rPr>
          <w:rFonts w:ascii="Times New Roman" w:hAnsi="Times New Roman"/>
          <w:b/>
          <w:caps w:val="0"/>
          <w:smallCaps w:val="0"/>
          <w:color w:val="auto"/>
          <w:szCs w:val="21"/>
          <w:u w:val="single"/>
        </w:rPr>
        <w:t>项目</w:t>
      </w:r>
      <w:r>
        <w:rPr>
          <w:rFonts w:hint="eastAsia" w:ascii="Times New Roman" w:hAnsi="Times New Roman"/>
          <w:b/>
          <w:caps w:val="0"/>
          <w:smallCaps w:val="0"/>
          <w:color w:val="auto"/>
          <w:szCs w:val="21"/>
          <w:u w:val="single"/>
          <w:lang w:val="en-US" w:eastAsia="zh-CN"/>
        </w:rPr>
        <w:t>无组织</w:t>
      </w:r>
      <w:r>
        <w:rPr>
          <w:rFonts w:hint="eastAsia" w:ascii="Times New Roman" w:hAnsi="Times New Roman"/>
          <w:b/>
          <w:caps w:val="0"/>
          <w:smallCaps w:val="0"/>
          <w:color w:val="auto"/>
          <w:szCs w:val="21"/>
          <w:u w:val="single"/>
        </w:rPr>
        <w:t>废气常规监测情况一览表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565"/>
        <w:gridCol w:w="1699"/>
        <w:gridCol w:w="1700"/>
        <w:gridCol w:w="1702"/>
        <w:gridCol w:w="17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69" w:type="pct"/>
            <w:tcBorders>
              <w:tl2br w:val="nil"/>
              <w:tr2bl w:val="nil"/>
            </w:tcBorders>
            <w:noWrap w:val="0"/>
            <w:tcMar>
              <w:left w:w="57" w:type="dxa"/>
              <w:right w:w="57" w:type="dxa"/>
            </w:tcMar>
            <w:vAlign w:val="center"/>
          </w:tcPr>
          <w:p>
            <w:pPr>
              <w:spacing w:line="360" w:lineRule="auto"/>
              <w:jc w:val="center"/>
              <w:rPr>
                <w:rFonts w:hint="eastAsia" w:ascii="Times New Roman" w:hAnsi="Times New Roman" w:cs="宋体"/>
                <w:b/>
                <w:bCs/>
                <w:caps w:val="0"/>
                <w:smallCaps w:val="0"/>
                <w:color w:val="auto"/>
                <w:sz w:val="21"/>
                <w:szCs w:val="21"/>
                <w:u w:val="single"/>
                <w:vertAlign w:val="baseline"/>
                <w:lang w:val="en-US" w:eastAsia="zh-CN"/>
              </w:rPr>
            </w:pPr>
            <w:r>
              <w:rPr>
                <w:rFonts w:hint="eastAsia" w:ascii="Times New Roman" w:hAnsi="Times New Roman" w:cs="宋体"/>
                <w:b/>
                <w:bCs/>
                <w:caps w:val="0"/>
                <w:smallCaps w:val="0"/>
                <w:color w:val="auto"/>
                <w:sz w:val="21"/>
                <w:szCs w:val="21"/>
                <w:u w:val="single"/>
                <w:vertAlign w:val="baseline"/>
                <w:lang w:val="en-US" w:eastAsia="zh-CN"/>
              </w:rPr>
              <w:t>污染物</w:t>
            </w:r>
          </w:p>
          <w:p>
            <w:pPr>
              <w:spacing w:line="360" w:lineRule="auto"/>
              <w:jc w:val="center"/>
              <w:rPr>
                <w:rFonts w:hint="eastAsia" w:ascii="Times New Roman" w:hAnsi="Times New Roman" w:cs="宋体"/>
                <w:b/>
                <w:bCs/>
                <w:caps w:val="0"/>
                <w:smallCaps w:val="0"/>
                <w:color w:val="auto"/>
                <w:sz w:val="21"/>
                <w:szCs w:val="21"/>
                <w:u w:val="single"/>
                <w:vertAlign w:val="baseline"/>
                <w:lang w:val="en-US" w:eastAsia="zh-CN"/>
              </w:rPr>
            </w:pPr>
            <w:r>
              <w:rPr>
                <w:rFonts w:hint="eastAsia" w:ascii="Times New Roman" w:hAnsi="Times New Roman" w:cs="宋体"/>
                <w:b/>
                <w:bCs/>
                <w:caps w:val="0"/>
                <w:smallCaps w:val="0"/>
                <w:color w:val="auto"/>
                <w:sz w:val="21"/>
                <w:szCs w:val="21"/>
                <w:u w:val="single"/>
                <w:vertAlign w:val="baseline"/>
                <w:lang w:val="en-US" w:eastAsia="zh-CN"/>
              </w:rPr>
              <w:t>监测点</w:t>
            </w:r>
          </w:p>
        </w:tc>
        <w:tc>
          <w:tcPr>
            <w:tcW w:w="907" w:type="pct"/>
            <w:tcBorders>
              <w:tl2br w:val="nil"/>
              <w:tr2bl w:val="nil"/>
            </w:tcBorders>
            <w:noWrap w:val="0"/>
            <w:vAlign w:val="center"/>
          </w:tcPr>
          <w:p>
            <w:pPr>
              <w:spacing w:line="360" w:lineRule="auto"/>
              <w:jc w:val="center"/>
              <w:rPr>
                <w:rFonts w:hint="eastAsia" w:ascii="Times New Roman" w:hAnsi="Times New Roman" w:cs="宋体"/>
                <w:b/>
                <w:bCs/>
                <w:caps w:val="0"/>
                <w:smallCaps w:val="0"/>
                <w:color w:val="auto"/>
                <w:sz w:val="21"/>
                <w:szCs w:val="21"/>
                <w:u w:val="single"/>
                <w:vertAlign w:val="baseline"/>
                <w:lang w:val="en-US" w:eastAsia="zh-CN"/>
              </w:rPr>
            </w:pPr>
            <w:r>
              <w:rPr>
                <w:rFonts w:hint="eastAsia" w:ascii="Times New Roman" w:hAnsi="Times New Roman" w:cs="宋体"/>
                <w:b/>
                <w:bCs/>
                <w:caps w:val="0"/>
                <w:smallCaps w:val="0"/>
                <w:color w:val="auto"/>
                <w:sz w:val="21"/>
                <w:szCs w:val="21"/>
                <w:u w:val="single"/>
                <w:vertAlign w:val="baseline"/>
                <w:lang w:val="en-US" w:eastAsia="zh-CN"/>
              </w:rPr>
              <w:t>颗粒物</w:t>
            </w:r>
          </w:p>
        </w:tc>
        <w:tc>
          <w:tcPr>
            <w:tcW w:w="907" w:type="pct"/>
            <w:tcBorders>
              <w:tl2br w:val="nil"/>
              <w:tr2bl w:val="nil"/>
            </w:tcBorders>
            <w:noWrap w:val="0"/>
            <w:vAlign w:val="center"/>
          </w:tcPr>
          <w:p>
            <w:pPr>
              <w:spacing w:line="360" w:lineRule="auto"/>
              <w:jc w:val="center"/>
              <w:rPr>
                <w:rFonts w:hint="eastAsia" w:ascii="Times New Roman" w:hAnsi="Times New Roman" w:cs="宋体"/>
                <w:b/>
                <w:bCs/>
                <w:caps w:val="0"/>
                <w:smallCaps w:val="0"/>
                <w:color w:val="auto"/>
                <w:sz w:val="21"/>
                <w:szCs w:val="21"/>
                <w:u w:val="single"/>
                <w:vertAlign w:val="baseline"/>
                <w:lang w:val="en-US" w:eastAsia="zh-CN"/>
              </w:rPr>
            </w:pPr>
            <w:r>
              <w:rPr>
                <w:rFonts w:hint="eastAsia" w:ascii="Times New Roman" w:hAnsi="Times New Roman" w:cs="宋体"/>
                <w:b/>
                <w:bCs/>
                <w:caps w:val="0"/>
                <w:smallCaps w:val="0"/>
                <w:color w:val="auto"/>
                <w:sz w:val="21"/>
                <w:szCs w:val="21"/>
                <w:u w:val="single"/>
                <w:vertAlign w:val="baseline"/>
                <w:lang w:val="en-US" w:eastAsia="zh-CN"/>
              </w:rPr>
              <w:t>SO</w:t>
            </w:r>
            <w:r>
              <w:rPr>
                <w:rFonts w:hint="eastAsia" w:ascii="Times New Roman" w:hAnsi="Times New Roman" w:cs="宋体"/>
                <w:b/>
                <w:bCs/>
                <w:caps w:val="0"/>
                <w:smallCaps w:val="0"/>
                <w:color w:val="auto"/>
                <w:sz w:val="21"/>
                <w:szCs w:val="21"/>
                <w:u w:val="single"/>
                <w:vertAlign w:val="subscript"/>
                <w:lang w:val="en-US" w:eastAsia="zh-CN"/>
              </w:rPr>
              <w:t>2</w:t>
            </w:r>
          </w:p>
        </w:tc>
        <w:tc>
          <w:tcPr>
            <w:tcW w:w="908" w:type="pct"/>
            <w:tcBorders>
              <w:tl2br w:val="nil"/>
              <w:tr2bl w:val="nil"/>
            </w:tcBorders>
            <w:noWrap w:val="0"/>
            <w:vAlign w:val="center"/>
          </w:tcPr>
          <w:p>
            <w:pPr>
              <w:spacing w:line="360" w:lineRule="auto"/>
              <w:jc w:val="center"/>
              <w:rPr>
                <w:rFonts w:hint="default" w:ascii="Times New Roman" w:hAnsi="Times New Roman" w:cs="宋体"/>
                <w:b/>
                <w:bCs/>
                <w:caps w:val="0"/>
                <w:smallCaps w:val="0"/>
                <w:color w:val="auto"/>
                <w:sz w:val="21"/>
                <w:szCs w:val="21"/>
                <w:u w:val="single"/>
                <w:vertAlign w:val="baseline"/>
                <w:lang w:val="en-US" w:eastAsia="zh-CN"/>
              </w:rPr>
            </w:pPr>
            <w:r>
              <w:rPr>
                <w:rFonts w:hint="eastAsia" w:ascii="Times New Roman" w:hAnsi="Times New Roman" w:cs="宋体"/>
                <w:b/>
                <w:bCs/>
                <w:caps w:val="0"/>
                <w:smallCaps w:val="0"/>
                <w:color w:val="auto"/>
                <w:sz w:val="21"/>
                <w:szCs w:val="21"/>
                <w:u w:val="single"/>
                <w:vertAlign w:val="baseline"/>
                <w:lang w:val="en-US" w:eastAsia="zh-CN"/>
              </w:rPr>
              <w:t>非甲烷总烃</w:t>
            </w:r>
          </w:p>
        </w:tc>
        <w:tc>
          <w:tcPr>
            <w:tcW w:w="907" w:type="pct"/>
            <w:tcBorders>
              <w:tl2br w:val="nil"/>
              <w:tr2bl w:val="nil"/>
            </w:tcBorders>
            <w:noWrap w:val="0"/>
            <w:vAlign w:val="center"/>
          </w:tcPr>
          <w:p>
            <w:pPr>
              <w:spacing w:line="360" w:lineRule="auto"/>
              <w:jc w:val="center"/>
              <w:rPr>
                <w:rFonts w:hint="eastAsia" w:ascii="Times New Roman" w:hAnsi="Times New Roman" w:cs="宋体"/>
                <w:b/>
                <w:bCs/>
                <w:caps w:val="0"/>
                <w:smallCaps w:val="0"/>
                <w:color w:val="auto"/>
                <w:sz w:val="21"/>
                <w:szCs w:val="21"/>
                <w:u w:val="single"/>
                <w:vertAlign w:val="baseline"/>
                <w:lang w:val="en-US" w:eastAsia="zh-CN"/>
              </w:rPr>
            </w:pPr>
            <w:r>
              <w:rPr>
                <w:rFonts w:hint="eastAsia" w:ascii="Times New Roman" w:hAnsi="Times New Roman" w:cs="宋体"/>
                <w:b/>
                <w:bCs/>
                <w:caps w:val="0"/>
                <w:smallCaps w:val="0"/>
                <w:color w:val="auto"/>
                <w:sz w:val="21"/>
                <w:szCs w:val="21"/>
                <w:u w:val="single"/>
                <w:vertAlign w:val="baseline"/>
                <w:lang w:val="en-US" w:eastAsia="zh-CN"/>
              </w:rPr>
              <w:t>氯化氢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69" w:type="pct"/>
            <w:tcBorders>
              <w:tl2br w:val="nil"/>
              <w:tr2bl w:val="nil"/>
            </w:tcBorders>
            <w:noWrap w:val="0"/>
            <w:tcMar>
              <w:left w:w="57" w:type="dxa"/>
              <w:right w:w="57" w:type="dxa"/>
            </w:tcMar>
            <w:vAlign w:val="center"/>
          </w:tcPr>
          <w:p>
            <w:pPr>
              <w:spacing w:line="360" w:lineRule="auto"/>
              <w:jc w:val="center"/>
              <w:rPr>
                <w:rFonts w:hint="eastAsia"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厂界东</w:t>
            </w:r>
          </w:p>
        </w:tc>
        <w:tc>
          <w:tcPr>
            <w:tcW w:w="907" w:type="pct"/>
            <w:tcBorders>
              <w:tl2br w:val="nil"/>
              <w:tr2bl w:val="nil"/>
            </w:tcBorders>
            <w:noWrap w:val="0"/>
            <w:vAlign w:val="center"/>
          </w:tcPr>
          <w:p>
            <w:pPr>
              <w:spacing w:line="360" w:lineRule="auto"/>
              <w:jc w:val="center"/>
              <w:rPr>
                <w:rFonts w:hint="default"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0.161</w:t>
            </w:r>
          </w:p>
        </w:tc>
        <w:tc>
          <w:tcPr>
            <w:tcW w:w="907" w:type="pct"/>
            <w:tcBorders>
              <w:tl2br w:val="nil"/>
              <w:tr2bl w:val="nil"/>
            </w:tcBorders>
            <w:noWrap w:val="0"/>
            <w:vAlign w:val="center"/>
          </w:tcPr>
          <w:p>
            <w:pPr>
              <w:spacing w:line="360" w:lineRule="auto"/>
              <w:jc w:val="center"/>
              <w:rPr>
                <w:rFonts w:hint="default"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0.045</w:t>
            </w:r>
          </w:p>
        </w:tc>
        <w:tc>
          <w:tcPr>
            <w:tcW w:w="908" w:type="pct"/>
            <w:tcBorders>
              <w:tl2br w:val="nil"/>
              <w:tr2bl w:val="nil"/>
            </w:tcBorders>
            <w:noWrap w:val="0"/>
            <w:vAlign w:val="center"/>
          </w:tcPr>
          <w:p>
            <w:pPr>
              <w:spacing w:line="360" w:lineRule="auto"/>
              <w:jc w:val="center"/>
              <w:rPr>
                <w:rFonts w:hint="default"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1.71</w:t>
            </w:r>
          </w:p>
        </w:tc>
        <w:tc>
          <w:tcPr>
            <w:tcW w:w="907" w:type="pct"/>
            <w:tcBorders>
              <w:tl2br w:val="nil"/>
              <w:tr2bl w:val="nil"/>
            </w:tcBorders>
            <w:noWrap w:val="0"/>
            <w:vAlign w:val="center"/>
          </w:tcPr>
          <w:p>
            <w:pPr>
              <w:spacing w:line="360" w:lineRule="auto"/>
              <w:jc w:val="center"/>
              <w:rPr>
                <w:rFonts w:hint="default"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0.128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69" w:type="pct"/>
            <w:tcBorders>
              <w:tl2br w:val="nil"/>
              <w:tr2bl w:val="nil"/>
            </w:tcBorders>
            <w:noWrap w:val="0"/>
            <w:tcMar>
              <w:left w:w="57" w:type="dxa"/>
              <w:right w:w="57" w:type="dxa"/>
            </w:tcMar>
            <w:vAlign w:val="center"/>
          </w:tcPr>
          <w:p>
            <w:pPr>
              <w:spacing w:line="360" w:lineRule="auto"/>
              <w:jc w:val="center"/>
              <w:rPr>
                <w:rFonts w:hint="eastAsia"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厂界南</w:t>
            </w:r>
          </w:p>
        </w:tc>
        <w:tc>
          <w:tcPr>
            <w:tcW w:w="907" w:type="pct"/>
            <w:tcBorders>
              <w:tl2br w:val="nil"/>
              <w:tr2bl w:val="nil"/>
            </w:tcBorders>
            <w:noWrap w:val="0"/>
            <w:vAlign w:val="center"/>
          </w:tcPr>
          <w:p>
            <w:pPr>
              <w:spacing w:line="360" w:lineRule="auto"/>
              <w:jc w:val="center"/>
              <w:rPr>
                <w:rFonts w:hint="default"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0.160</w:t>
            </w:r>
          </w:p>
        </w:tc>
        <w:tc>
          <w:tcPr>
            <w:tcW w:w="907" w:type="pct"/>
            <w:tcBorders>
              <w:tl2br w:val="nil"/>
              <w:tr2bl w:val="nil"/>
            </w:tcBorders>
            <w:noWrap w:val="0"/>
            <w:vAlign w:val="center"/>
          </w:tcPr>
          <w:p>
            <w:pPr>
              <w:spacing w:line="360" w:lineRule="auto"/>
              <w:jc w:val="center"/>
              <w:rPr>
                <w:rFonts w:hint="default"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0.029</w:t>
            </w:r>
          </w:p>
        </w:tc>
        <w:tc>
          <w:tcPr>
            <w:tcW w:w="908" w:type="pct"/>
            <w:tcBorders>
              <w:tl2br w:val="nil"/>
              <w:tr2bl w:val="nil"/>
            </w:tcBorders>
            <w:noWrap w:val="0"/>
            <w:vAlign w:val="center"/>
          </w:tcPr>
          <w:p>
            <w:pPr>
              <w:spacing w:line="360" w:lineRule="auto"/>
              <w:jc w:val="center"/>
              <w:rPr>
                <w:rFonts w:hint="default"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1.39</w:t>
            </w:r>
          </w:p>
        </w:tc>
        <w:tc>
          <w:tcPr>
            <w:tcW w:w="907" w:type="pct"/>
            <w:tcBorders>
              <w:tl2br w:val="nil"/>
              <w:tr2bl w:val="nil"/>
            </w:tcBorders>
            <w:noWrap w:val="0"/>
            <w:vAlign w:val="center"/>
          </w:tcPr>
          <w:p>
            <w:pPr>
              <w:spacing w:line="360" w:lineRule="auto"/>
              <w:jc w:val="center"/>
              <w:rPr>
                <w:rFonts w:hint="default"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0.173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69" w:type="pct"/>
            <w:tcBorders>
              <w:tl2br w:val="nil"/>
              <w:tr2bl w:val="nil"/>
            </w:tcBorders>
            <w:noWrap w:val="0"/>
            <w:tcMar>
              <w:left w:w="57" w:type="dxa"/>
              <w:right w:w="57" w:type="dxa"/>
            </w:tcMar>
            <w:vAlign w:val="center"/>
          </w:tcPr>
          <w:p>
            <w:pPr>
              <w:spacing w:line="360" w:lineRule="auto"/>
              <w:jc w:val="center"/>
              <w:rPr>
                <w:rFonts w:hint="eastAsia"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厂界北</w:t>
            </w:r>
          </w:p>
        </w:tc>
        <w:tc>
          <w:tcPr>
            <w:tcW w:w="907" w:type="pct"/>
            <w:tcBorders>
              <w:tl2br w:val="nil"/>
              <w:tr2bl w:val="nil"/>
            </w:tcBorders>
            <w:noWrap w:val="0"/>
            <w:vAlign w:val="center"/>
          </w:tcPr>
          <w:p>
            <w:pPr>
              <w:spacing w:line="360" w:lineRule="auto"/>
              <w:jc w:val="center"/>
              <w:rPr>
                <w:rFonts w:hint="default"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0.142</w:t>
            </w:r>
          </w:p>
        </w:tc>
        <w:tc>
          <w:tcPr>
            <w:tcW w:w="907" w:type="pct"/>
            <w:tcBorders>
              <w:tl2br w:val="nil"/>
              <w:tr2bl w:val="nil"/>
            </w:tcBorders>
            <w:noWrap w:val="0"/>
            <w:vAlign w:val="center"/>
          </w:tcPr>
          <w:p>
            <w:pPr>
              <w:spacing w:line="360" w:lineRule="auto"/>
              <w:jc w:val="center"/>
              <w:rPr>
                <w:rFonts w:hint="default"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0.053</w:t>
            </w:r>
          </w:p>
        </w:tc>
        <w:tc>
          <w:tcPr>
            <w:tcW w:w="908" w:type="pct"/>
            <w:tcBorders>
              <w:tl2br w:val="nil"/>
              <w:tr2bl w:val="nil"/>
            </w:tcBorders>
            <w:noWrap w:val="0"/>
            <w:vAlign w:val="center"/>
          </w:tcPr>
          <w:p>
            <w:pPr>
              <w:spacing w:line="360" w:lineRule="auto"/>
              <w:jc w:val="center"/>
              <w:rPr>
                <w:rFonts w:hint="default"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1.42</w:t>
            </w:r>
          </w:p>
        </w:tc>
        <w:tc>
          <w:tcPr>
            <w:tcW w:w="907" w:type="pct"/>
            <w:tcBorders>
              <w:tl2br w:val="nil"/>
              <w:tr2bl w:val="nil"/>
            </w:tcBorders>
            <w:noWrap w:val="0"/>
            <w:vAlign w:val="center"/>
          </w:tcPr>
          <w:p>
            <w:pPr>
              <w:spacing w:line="360" w:lineRule="auto"/>
              <w:jc w:val="center"/>
              <w:rPr>
                <w:rFonts w:hint="default"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0.168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69" w:type="pct"/>
            <w:tcBorders>
              <w:tl2br w:val="nil"/>
              <w:tr2bl w:val="nil"/>
            </w:tcBorders>
            <w:noWrap w:val="0"/>
            <w:tcMar>
              <w:left w:w="57" w:type="dxa"/>
              <w:right w:w="57" w:type="dxa"/>
            </w:tcMar>
            <w:vAlign w:val="center"/>
          </w:tcPr>
          <w:p>
            <w:pPr>
              <w:spacing w:line="360" w:lineRule="auto"/>
              <w:jc w:val="center"/>
              <w:rPr>
                <w:rFonts w:hint="eastAsia"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标准值</w:t>
            </w:r>
          </w:p>
        </w:tc>
        <w:tc>
          <w:tcPr>
            <w:tcW w:w="907" w:type="pct"/>
            <w:tcBorders>
              <w:tl2br w:val="nil"/>
              <w:tr2bl w:val="nil"/>
            </w:tcBorders>
            <w:noWrap w:val="0"/>
            <w:vAlign w:val="center"/>
          </w:tcPr>
          <w:p>
            <w:pPr>
              <w:spacing w:line="360" w:lineRule="auto"/>
              <w:jc w:val="center"/>
              <w:rPr>
                <w:rFonts w:hint="eastAsia"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1.0</w:t>
            </w:r>
          </w:p>
        </w:tc>
        <w:tc>
          <w:tcPr>
            <w:tcW w:w="907" w:type="pct"/>
            <w:tcBorders>
              <w:tl2br w:val="nil"/>
              <w:tr2bl w:val="nil"/>
            </w:tcBorders>
            <w:noWrap w:val="0"/>
            <w:vAlign w:val="center"/>
          </w:tcPr>
          <w:p>
            <w:pPr>
              <w:spacing w:line="360" w:lineRule="auto"/>
              <w:jc w:val="center"/>
              <w:rPr>
                <w:rFonts w:hint="eastAsia"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0.4</w:t>
            </w:r>
          </w:p>
        </w:tc>
        <w:tc>
          <w:tcPr>
            <w:tcW w:w="908" w:type="pct"/>
            <w:tcBorders>
              <w:tl2br w:val="nil"/>
              <w:tr2bl w:val="nil"/>
            </w:tcBorders>
            <w:noWrap w:val="0"/>
            <w:vAlign w:val="center"/>
          </w:tcPr>
          <w:p>
            <w:pPr>
              <w:spacing w:line="360" w:lineRule="auto"/>
              <w:jc w:val="center"/>
              <w:rPr>
                <w:rFonts w:hint="eastAsia"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4.0</w:t>
            </w:r>
          </w:p>
        </w:tc>
        <w:tc>
          <w:tcPr>
            <w:tcW w:w="907" w:type="pct"/>
            <w:tcBorders>
              <w:tl2br w:val="nil"/>
              <w:tr2bl w:val="nil"/>
            </w:tcBorders>
            <w:noWrap w:val="0"/>
            <w:vAlign w:val="center"/>
          </w:tcPr>
          <w:p>
            <w:pPr>
              <w:spacing w:line="360" w:lineRule="auto"/>
              <w:jc w:val="center"/>
              <w:rPr>
                <w:rFonts w:hint="eastAsia" w:ascii="Times New Roman" w:hAnsi="Times New Roman" w:cs="宋体"/>
                <w:b w:val="0"/>
                <w:bCs w:val="0"/>
                <w:caps w:val="0"/>
                <w:smallCaps w:val="0"/>
                <w:color w:val="auto"/>
                <w:sz w:val="21"/>
                <w:szCs w:val="21"/>
                <w:u w:val="single"/>
                <w:vertAlign w:val="baseline"/>
                <w:lang w:val="en-US" w:eastAsia="zh-CN"/>
              </w:rPr>
            </w:pPr>
            <w:r>
              <w:rPr>
                <w:rFonts w:hint="eastAsia" w:ascii="Times New Roman" w:hAnsi="Times New Roman" w:cs="宋体"/>
                <w:b w:val="0"/>
                <w:bCs w:val="0"/>
                <w:caps w:val="0"/>
                <w:smallCaps w:val="0"/>
                <w:color w:val="auto"/>
                <w:sz w:val="21"/>
                <w:szCs w:val="21"/>
                <w:u w:val="single"/>
                <w:vertAlign w:val="baseline"/>
                <w:lang w:val="en-US" w:eastAsia="zh-CN"/>
              </w:rPr>
              <w:t>0.2</w:t>
            </w:r>
          </w:p>
        </w:tc>
      </w:tr>
    </w:tbl>
    <w:p>
      <w:pPr>
        <w:spacing w:line="360" w:lineRule="auto"/>
        <w:ind w:firstLine="480" w:firstLineChars="200"/>
        <w:rPr>
          <w:rFonts w:hint="default" w:ascii="Times New Roman" w:hAnsi="Times New Roman" w:cs="宋体"/>
          <w:caps w:val="0"/>
          <w:smallCaps w:val="0"/>
          <w:color w:val="auto"/>
          <w:sz w:val="24"/>
          <w:u w:val="single"/>
          <w:lang w:val="en-US" w:eastAsia="zh-CN"/>
        </w:rPr>
      </w:pPr>
      <w:r>
        <w:rPr>
          <w:rFonts w:hint="eastAsia" w:ascii="Times New Roman" w:hAnsi="Times New Roman" w:cs="宋体"/>
          <w:caps w:val="0"/>
          <w:smallCaps w:val="0"/>
          <w:color w:val="auto"/>
          <w:sz w:val="24"/>
          <w:u w:val="single"/>
          <w:lang w:val="en-US" w:eastAsia="zh-CN"/>
        </w:rPr>
        <w:t>根据日常监测数据结果表明，项目无组织气污染物颗粒物、二氧化硫、非甲烷总烃、氯化氢能够满足《大气污染物综合排放排放标准》表2中无组织排放限值要求。</w:t>
      </w:r>
    </w:p>
    <w:p>
      <w:pPr>
        <w:pStyle w:val="32"/>
        <w:bidi w:val="0"/>
        <w:rPr>
          <w:rFonts w:hint="eastAsia" w:ascii="Times New Roman" w:hAnsi="Times New Roman" w:eastAsia="宋体"/>
          <w:caps w:val="0"/>
          <w:smallCaps w:val="0"/>
          <w:color w:val="auto"/>
          <w:lang w:val="en-US" w:eastAsia="zh-CN"/>
        </w:rPr>
      </w:pPr>
      <w:r>
        <w:rPr>
          <w:rFonts w:hint="eastAsia"/>
          <w:color w:val="auto"/>
          <w:lang w:val="en-US" w:eastAsia="zh-CN"/>
        </w:rPr>
        <w:t>3.3.2废水</w:t>
      </w:r>
      <w:bookmarkEnd w:id="52"/>
    </w:p>
    <w:p>
      <w:pPr>
        <w:pStyle w:val="33"/>
        <w:bidi w:val="0"/>
        <w:rPr>
          <w:color w:val="auto"/>
        </w:rPr>
      </w:pPr>
      <w:r>
        <w:rPr>
          <w:rFonts w:hint="eastAsia"/>
          <w:color w:val="auto"/>
          <w:lang w:val="en-US" w:eastAsia="zh-CN"/>
        </w:rPr>
        <w:t>根据</w:t>
      </w:r>
      <w:r>
        <w:rPr>
          <w:rFonts w:hint="eastAsia" w:ascii="Times New Roman" w:hAnsi="Times New Roman" w:eastAsia="宋体" w:cs="Times New Roman"/>
          <w:color w:val="auto"/>
          <w:kern w:val="2"/>
          <w:sz w:val="24"/>
          <w:szCs w:val="20"/>
          <w:lang w:val="en-US" w:eastAsia="zh-CN" w:bidi="ar-SA"/>
        </w:rPr>
        <w:t>《岳阳市凌峰化工有限公司二期工程项目环境影响报告书》及其批复</w:t>
      </w:r>
      <w:r>
        <w:rPr>
          <w:rFonts w:hint="eastAsia" w:ascii="Times New Roman" w:hAnsi="Times New Roman"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岳阳市凌峰化工有限公司</w:t>
      </w:r>
      <w:r>
        <w:rPr>
          <w:rFonts w:hint="eastAsia" w:ascii="Times New Roman" w:hAnsi="Times New Roman" w:cs="Times New Roman"/>
          <w:color w:val="auto"/>
          <w:kern w:val="2"/>
          <w:sz w:val="24"/>
          <w:szCs w:val="20"/>
          <w:lang w:val="en-US" w:eastAsia="zh-CN" w:bidi="ar-SA"/>
        </w:rPr>
        <w:t>现有项目废水产排情况包括</w:t>
      </w:r>
      <w:r>
        <w:rPr>
          <w:rFonts w:hint="eastAsia"/>
          <w:color w:val="auto"/>
          <w:lang w:eastAsia="zh-CN"/>
        </w:rPr>
        <w:t>二氯丙烷及聚酯分散剂生产工艺废水</w:t>
      </w:r>
      <w:r>
        <w:rPr>
          <w:rFonts w:hint="eastAsia"/>
          <w:color w:val="auto"/>
        </w:rPr>
        <w:t>、</w:t>
      </w:r>
      <w:r>
        <w:rPr>
          <w:rFonts w:hint="eastAsia"/>
          <w:color w:val="auto"/>
          <w:lang w:eastAsia="zh-CN"/>
        </w:rPr>
        <w:t>设备</w:t>
      </w:r>
      <w:r>
        <w:rPr>
          <w:rFonts w:hint="eastAsia"/>
          <w:color w:val="auto"/>
        </w:rPr>
        <w:t>地面清洗废水</w:t>
      </w:r>
      <w:r>
        <w:rPr>
          <w:rFonts w:hint="eastAsia"/>
          <w:color w:val="auto"/>
          <w:lang w:eastAsia="zh-CN"/>
        </w:rPr>
        <w:t>（含反应釜清洗废水）</w:t>
      </w:r>
      <w:r>
        <w:rPr>
          <w:rFonts w:hint="eastAsia"/>
          <w:color w:val="auto"/>
        </w:rPr>
        <w:t>、实验室废水、</w:t>
      </w:r>
      <w:r>
        <w:rPr>
          <w:rFonts w:hint="eastAsia"/>
          <w:color w:val="auto"/>
          <w:lang w:eastAsia="zh-CN"/>
        </w:rPr>
        <w:t>水喷射泵排水、碱液喷淋设施排水、</w:t>
      </w:r>
      <w:r>
        <w:rPr>
          <w:rFonts w:hint="eastAsia"/>
          <w:color w:val="auto"/>
        </w:rPr>
        <w:t>初期雨水、冷却塔排水、生活污水。具体产生情况如下：</w:t>
      </w:r>
    </w:p>
    <w:p>
      <w:pPr>
        <w:pStyle w:val="33"/>
        <w:bidi w:val="0"/>
        <w:rPr>
          <w:b/>
          <w:bCs/>
          <w:color w:val="auto"/>
        </w:rPr>
      </w:pPr>
      <w:r>
        <w:rPr>
          <w:rFonts w:hint="eastAsia"/>
          <w:b/>
          <w:bCs/>
          <w:color w:val="auto"/>
        </w:rPr>
        <w:t>（1）工艺废水：</w:t>
      </w:r>
    </w:p>
    <w:p>
      <w:pPr>
        <w:pStyle w:val="33"/>
        <w:bidi w:val="0"/>
        <w:rPr>
          <w:color w:val="auto"/>
        </w:rPr>
      </w:pPr>
      <w:r>
        <w:rPr>
          <w:rFonts w:hint="eastAsia"/>
          <w:color w:val="auto"/>
        </w:rPr>
        <w:t>①</w:t>
      </w:r>
      <w:r>
        <w:rPr>
          <w:rFonts w:hint="eastAsia"/>
          <w:color w:val="auto"/>
          <w:lang w:eastAsia="zh-CN"/>
        </w:rPr>
        <w:t>二氯丙烷生产线</w:t>
      </w:r>
      <w:r>
        <w:rPr>
          <w:rFonts w:hint="eastAsia"/>
          <w:color w:val="auto"/>
        </w:rPr>
        <w:t>工艺废水</w:t>
      </w:r>
    </w:p>
    <w:p>
      <w:pPr>
        <w:pStyle w:val="33"/>
        <w:bidi w:val="0"/>
        <w:rPr>
          <w:color w:val="auto"/>
        </w:rPr>
      </w:pPr>
      <w:r>
        <w:rPr>
          <w:rFonts w:hint="eastAsia"/>
          <w:color w:val="auto"/>
          <w:lang w:eastAsia="zh-CN"/>
        </w:rPr>
        <w:t>二氯丙烷生产线</w:t>
      </w:r>
      <w:r>
        <w:rPr>
          <w:rFonts w:hint="eastAsia"/>
          <w:color w:val="auto"/>
        </w:rPr>
        <w:t>废水产生量为</w:t>
      </w:r>
      <w:r>
        <w:rPr>
          <w:rFonts w:hint="eastAsia"/>
          <w:color w:val="auto"/>
          <w:lang w:val="en-US" w:eastAsia="zh-CN"/>
        </w:rPr>
        <w:t>891</w:t>
      </w:r>
      <w:r>
        <w:rPr>
          <w:rFonts w:hint="eastAsia"/>
          <w:color w:val="auto"/>
        </w:rPr>
        <w:t>t/a，此部分废水为高浓度有机废水，CODcr达到1万mg/L以上</w:t>
      </w:r>
      <w:r>
        <w:rPr>
          <w:rFonts w:hint="eastAsia"/>
          <w:color w:val="auto"/>
          <w:lang w:eastAsia="zh-CN"/>
        </w:rPr>
        <w:t>、</w:t>
      </w:r>
      <w:r>
        <w:rPr>
          <w:rFonts w:hint="eastAsia"/>
          <w:color w:val="auto"/>
        </w:rPr>
        <w:t>含</w:t>
      </w:r>
      <w:r>
        <w:rPr>
          <w:rFonts w:hint="eastAsia"/>
          <w:color w:val="auto"/>
          <w:lang w:eastAsia="zh-CN"/>
        </w:rPr>
        <w:t>盐量较高、</w:t>
      </w:r>
      <w:r>
        <w:rPr>
          <w:rFonts w:hint="eastAsia"/>
          <w:color w:val="auto"/>
        </w:rPr>
        <w:t>石油类及多种有机物。</w:t>
      </w:r>
    </w:p>
    <w:p>
      <w:pPr>
        <w:pStyle w:val="33"/>
        <w:bidi w:val="0"/>
        <w:rPr>
          <w:color w:val="auto"/>
        </w:rPr>
      </w:pPr>
      <w:r>
        <w:rPr>
          <w:rFonts w:hint="eastAsia"/>
          <w:color w:val="auto"/>
          <w:lang w:val="en-US" w:eastAsia="zh-CN"/>
        </w:rPr>
        <w:t>②</w:t>
      </w:r>
      <w:r>
        <w:rPr>
          <w:rFonts w:hint="eastAsia"/>
          <w:color w:val="auto"/>
          <w:lang w:eastAsia="zh-CN"/>
        </w:rPr>
        <w:t>聚酯</w:t>
      </w:r>
      <w:r>
        <w:rPr>
          <w:rFonts w:hint="eastAsia"/>
          <w:color w:val="auto"/>
        </w:rPr>
        <w:t>分散剂</w:t>
      </w:r>
      <w:r>
        <w:rPr>
          <w:rFonts w:hint="eastAsia"/>
          <w:color w:val="auto"/>
          <w:lang w:eastAsia="zh-CN"/>
        </w:rPr>
        <w:t>生产产生的酯化废液</w:t>
      </w:r>
    </w:p>
    <w:p>
      <w:pPr>
        <w:pStyle w:val="33"/>
        <w:bidi w:val="0"/>
        <w:rPr>
          <w:color w:val="auto"/>
        </w:rPr>
      </w:pPr>
      <w:r>
        <w:rPr>
          <w:rFonts w:hint="eastAsia"/>
          <w:color w:val="auto"/>
        </w:rPr>
        <w:t>项目</w:t>
      </w:r>
      <w:r>
        <w:rPr>
          <w:rFonts w:hint="eastAsia"/>
          <w:color w:val="auto"/>
          <w:lang w:eastAsia="zh-CN"/>
        </w:rPr>
        <w:t>酯化废液</w:t>
      </w:r>
      <w:r>
        <w:rPr>
          <w:rFonts w:hint="eastAsia"/>
          <w:color w:val="auto"/>
        </w:rPr>
        <w:t>产生量为</w:t>
      </w:r>
      <w:r>
        <w:rPr>
          <w:rFonts w:hint="eastAsia"/>
          <w:color w:val="auto"/>
          <w:lang w:val="en-US" w:eastAsia="zh-CN"/>
        </w:rPr>
        <w:t>66</w:t>
      </w:r>
      <w:r>
        <w:rPr>
          <w:rFonts w:hint="eastAsia"/>
          <w:color w:val="auto"/>
        </w:rPr>
        <w:t>t/a，此部分</w:t>
      </w:r>
      <w:r>
        <w:rPr>
          <w:rFonts w:hint="eastAsia"/>
          <w:color w:val="auto"/>
          <w:lang w:eastAsia="zh-CN"/>
        </w:rPr>
        <w:t>废液</w:t>
      </w:r>
      <w:r>
        <w:rPr>
          <w:rFonts w:hint="eastAsia"/>
          <w:color w:val="auto"/>
        </w:rPr>
        <w:t>有机</w:t>
      </w:r>
      <w:r>
        <w:rPr>
          <w:rFonts w:hint="eastAsia"/>
          <w:color w:val="auto"/>
          <w:lang w:eastAsia="zh-CN"/>
        </w:rPr>
        <w:t>物</w:t>
      </w:r>
      <w:r>
        <w:rPr>
          <w:rFonts w:hint="eastAsia"/>
          <w:color w:val="auto"/>
        </w:rPr>
        <w:t>浓度高，CODcr通常达到1万mg/L以上，且含多种有机物。</w:t>
      </w:r>
    </w:p>
    <w:p>
      <w:pPr>
        <w:pStyle w:val="33"/>
        <w:bidi w:val="0"/>
        <w:rPr>
          <w:color w:val="auto"/>
        </w:rPr>
      </w:pPr>
      <w:r>
        <w:rPr>
          <w:rFonts w:hint="eastAsia"/>
          <w:color w:val="auto"/>
        </w:rPr>
        <w:t>（2）</w:t>
      </w:r>
      <w:r>
        <w:rPr>
          <w:rFonts w:hint="eastAsia"/>
          <w:color w:val="auto"/>
          <w:lang w:eastAsia="zh-CN"/>
        </w:rPr>
        <w:t>设备</w:t>
      </w:r>
      <w:r>
        <w:rPr>
          <w:rFonts w:hint="eastAsia"/>
          <w:color w:val="auto"/>
        </w:rPr>
        <w:t>清洗水：</w:t>
      </w:r>
    </w:p>
    <w:p>
      <w:pPr>
        <w:pStyle w:val="33"/>
        <w:bidi w:val="0"/>
        <w:rPr>
          <w:rFonts w:ascii="Times New Roman" w:hAnsi="Times New Roman"/>
          <w:caps w:val="0"/>
          <w:smallCaps w:val="0"/>
          <w:color w:val="auto"/>
          <w:sz w:val="24"/>
        </w:rPr>
      </w:pPr>
      <w:r>
        <w:rPr>
          <w:rFonts w:hint="eastAsia"/>
          <w:color w:val="auto"/>
          <w:lang w:eastAsia="zh-CN"/>
        </w:rPr>
        <w:t>反应釜等设备清洗废水主要为更换产品或工艺需求需要清洗时产生，为不定期间歇排放，</w:t>
      </w:r>
      <w:r>
        <w:rPr>
          <w:rFonts w:hint="eastAsia"/>
          <w:caps w:val="0"/>
          <w:smallCaps w:val="0"/>
          <w:color w:val="auto"/>
          <w:sz w:val="24"/>
          <w:lang w:val="en-US" w:eastAsia="zh-CN"/>
        </w:rPr>
        <w:t>清洗废水产生量</w:t>
      </w:r>
      <w:r>
        <w:rPr>
          <w:rFonts w:hint="eastAsia" w:ascii="Times New Roman" w:hAnsi="Times New Roman"/>
          <w:caps w:val="0"/>
          <w:smallCaps w:val="0"/>
          <w:color w:val="auto"/>
          <w:sz w:val="24"/>
        </w:rPr>
        <w:t>为</w:t>
      </w:r>
      <w:r>
        <w:rPr>
          <w:rFonts w:hint="eastAsia"/>
          <w:caps w:val="0"/>
          <w:smallCaps w:val="0"/>
          <w:color w:val="auto"/>
          <w:sz w:val="24"/>
          <w:lang w:val="en-US" w:eastAsia="zh-CN"/>
        </w:rPr>
        <w:t>1336.5</w:t>
      </w:r>
      <w:r>
        <w:rPr>
          <w:rFonts w:ascii="Times New Roman" w:hAnsi="Times New Roman"/>
          <w:caps w:val="0"/>
          <w:smallCaps w:val="0"/>
          <w:color w:val="auto"/>
          <w:sz w:val="24"/>
        </w:rPr>
        <w:t>m</w:t>
      </w:r>
      <w:r>
        <w:rPr>
          <w:rFonts w:ascii="Times New Roman" w:hAnsi="Times New Roman"/>
          <w:caps w:val="0"/>
          <w:smallCaps w:val="0"/>
          <w:color w:val="auto"/>
          <w:sz w:val="24"/>
          <w:vertAlign w:val="superscript"/>
        </w:rPr>
        <w:t>3</w:t>
      </w:r>
      <w:r>
        <w:rPr>
          <w:rFonts w:ascii="Times New Roman" w:hAnsi="Times New Roman"/>
          <w:caps w:val="0"/>
          <w:smallCaps w:val="0"/>
          <w:color w:val="auto"/>
          <w:sz w:val="24"/>
        </w:rPr>
        <w:t>/a</w:t>
      </w:r>
      <w:r>
        <w:rPr>
          <w:rFonts w:hint="eastAsia" w:ascii="Times New Roman" w:hAnsi="Times New Roman"/>
          <w:caps w:val="0"/>
          <w:smallCaps w:val="0"/>
          <w:color w:val="auto"/>
          <w:sz w:val="24"/>
        </w:rPr>
        <w:t>，主要污染物为</w:t>
      </w:r>
      <w:r>
        <w:rPr>
          <w:rFonts w:ascii="Times New Roman" w:hAnsi="Times New Roman"/>
          <w:caps w:val="0"/>
          <w:smallCaps w:val="0"/>
          <w:color w:val="auto"/>
          <w:sz w:val="24"/>
        </w:rPr>
        <w:t>COD500mg/l</w:t>
      </w:r>
      <w:r>
        <w:rPr>
          <w:rFonts w:hint="eastAsia" w:ascii="Times New Roman" w:hAnsi="Times New Roman"/>
          <w:caps w:val="0"/>
          <w:smallCaps w:val="0"/>
          <w:color w:val="auto"/>
          <w:sz w:val="24"/>
        </w:rPr>
        <w:t>、</w:t>
      </w:r>
      <w:r>
        <w:rPr>
          <w:rFonts w:ascii="Times New Roman" w:hAnsi="Times New Roman"/>
          <w:caps w:val="0"/>
          <w:smallCaps w:val="0"/>
          <w:color w:val="auto"/>
          <w:sz w:val="24"/>
        </w:rPr>
        <w:t>SS300mg/l</w:t>
      </w:r>
      <w:r>
        <w:rPr>
          <w:rFonts w:hint="eastAsia" w:ascii="Times New Roman" w:hAnsi="Times New Roman"/>
          <w:caps w:val="0"/>
          <w:smallCaps w:val="0"/>
          <w:color w:val="auto"/>
          <w:sz w:val="24"/>
        </w:rPr>
        <w:t>，氨氮</w:t>
      </w:r>
      <w:r>
        <w:rPr>
          <w:rFonts w:ascii="Times New Roman" w:hAnsi="Times New Roman"/>
          <w:caps w:val="0"/>
          <w:smallCaps w:val="0"/>
          <w:color w:val="auto"/>
          <w:sz w:val="24"/>
        </w:rPr>
        <w:t>5mg/l</w:t>
      </w:r>
      <w:r>
        <w:rPr>
          <w:rFonts w:hint="eastAsia" w:ascii="Times New Roman" w:hAnsi="Times New Roman"/>
          <w:caps w:val="0"/>
          <w:smallCaps w:val="0"/>
          <w:color w:val="auto"/>
          <w:sz w:val="24"/>
        </w:rPr>
        <w:t>。车间清洗水排入厂区污水处理系统预处理。</w:t>
      </w:r>
    </w:p>
    <w:p>
      <w:pPr>
        <w:pStyle w:val="33"/>
        <w:bidi w:val="0"/>
        <w:rPr>
          <w:color w:val="auto"/>
        </w:rPr>
      </w:pPr>
      <w:r>
        <w:rPr>
          <w:rFonts w:hint="eastAsia"/>
          <w:color w:val="auto"/>
        </w:rPr>
        <w:t>（3）化验室废水</w:t>
      </w:r>
    </w:p>
    <w:p>
      <w:pPr>
        <w:pStyle w:val="33"/>
        <w:bidi w:val="0"/>
        <w:rPr>
          <w:color w:val="auto"/>
        </w:rPr>
      </w:pPr>
      <w:r>
        <w:rPr>
          <w:rFonts w:hint="eastAsia"/>
          <w:color w:val="auto"/>
        </w:rPr>
        <w:t>化验废水产生量为</w:t>
      </w:r>
      <w:r>
        <w:rPr>
          <w:rFonts w:hint="eastAsia"/>
          <w:color w:val="auto"/>
          <w:lang w:val="en-US" w:eastAsia="zh-CN"/>
        </w:rPr>
        <w:t>396</w:t>
      </w:r>
      <w:r>
        <w:rPr>
          <w:rFonts w:hint="eastAsia"/>
          <w:color w:val="auto"/>
        </w:rPr>
        <w:t>t/a，主要为含酸碱物质、有机物、无机盐等。</w:t>
      </w:r>
    </w:p>
    <w:p>
      <w:pPr>
        <w:pStyle w:val="33"/>
        <w:numPr>
          <w:ilvl w:val="0"/>
          <w:numId w:val="2"/>
        </w:numPr>
        <w:bidi w:val="0"/>
        <w:rPr>
          <w:rFonts w:hint="eastAsia"/>
          <w:color w:val="auto"/>
          <w:lang w:eastAsia="zh-CN"/>
        </w:rPr>
      </w:pPr>
      <w:r>
        <w:rPr>
          <w:rFonts w:hint="eastAsia"/>
          <w:color w:val="auto"/>
          <w:lang w:eastAsia="zh-CN"/>
        </w:rPr>
        <w:t>水喷射泵排水及碱液喷淋设施排水</w:t>
      </w:r>
    </w:p>
    <w:p>
      <w:pPr>
        <w:pStyle w:val="33"/>
        <w:bidi w:val="0"/>
        <w:rPr>
          <w:rFonts w:hint="eastAsia" w:eastAsia="宋体"/>
          <w:color w:val="auto"/>
          <w:lang w:val="en-US" w:eastAsia="zh-CN"/>
        </w:rPr>
      </w:pPr>
      <w:r>
        <w:rPr>
          <w:rFonts w:hint="eastAsia"/>
          <w:color w:val="auto"/>
          <w:lang w:eastAsia="zh-CN"/>
        </w:rPr>
        <w:t>本项目真空吸料、减压脱溶过程使用水喷射泵，每台水喷射泵配套一个循环水箱，循环水箱水每月</w:t>
      </w:r>
      <w:r>
        <w:rPr>
          <w:rFonts w:hint="eastAsia"/>
          <w:color w:val="auto"/>
          <w:lang w:val="en-US" w:eastAsia="zh-CN"/>
        </w:rPr>
        <w:t>更换一次。</w:t>
      </w:r>
      <w:r>
        <w:rPr>
          <w:rFonts w:hint="eastAsia"/>
          <w:color w:val="auto"/>
          <w:lang w:eastAsia="zh-CN"/>
        </w:rPr>
        <w:t>新增碱液喷淋设施水循环利用，每</w:t>
      </w:r>
      <w:r>
        <w:rPr>
          <w:rFonts w:hint="eastAsia"/>
          <w:color w:val="auto"/>
          <w:lang w:val="en-US" w:eastAsia="zh-CN"/>
        </w:rPr>
        <w:t>2周更换一次。产生量为495</w:t>
      </w:r>
      <w:r>
        <w:rPr>
          <w:rFonts w:hint="eastAsia"/>
          <w:color w:val="auto"/>
        </w:rPr>
        <w:t>t/a</w:t>
      </w:r>
      <w:r>
        <w:rPr>
          <w:rFonts w:hint="eastAsia"/>
          <w:color w:val="auto"/>
          <w:lang w:eastAsia="zh-CN"/>
        </w:rPr>
        <w:t>。</w:t>
      </w:r>
    </w:p>
    <w:p>
      <w:pPr>
        <w:pStyle w:val="33"/>
        <w:numPr>
          <w:ilvl w:val="0"/>
          <w:numId w:val="2"/>
        </w:numPr>
        <w:bidi w:val="0"/>
        <w:rPr>
          <w:color w:val="auto"/>
        </w:rPr>
      </w:pPr>
      <w:r>
        <w:rPr>
          <w:rFonts w:hint="eastAsia"/>
          <w:color w:val="auto"/>
        </w:rPr>
        <w:t>生活污水</w:t>
      </w:r>
    </w:p>
    <w:p>
      <w:pPr>
        <w:pStyle w:val="33"/>
        <w:bidi w:val="0"/>
        <w:rPr>
          <w:rFonts w:ascii="Times New Roman" w:hAnsi="Times New Roman"/>
          <w:caps w:val="0"/>
          <w:smallCaps w:val="0"/>
          <w:color w:val="auto"/>
          <w:sz w:val="24"/>
        </w:rPr>
      </w:pPr>
      <w:r>
        <w:rPr>
          <w:rFonts w:hint="eastAsia" w:ascii="Times New Roman" w:hAnsi="Times New Roman"/>
          <w:caps w:val="0"/>
          <w:smallCaps w:val="0"/>
          <w:color w:val="auto"/>
          <w:sz w:val="24"/>
        </w:rPr>
        <w:t>生活污水主要来源于厂区办公及职工生活污水，</w:t>
      </w:r>
      <w:r>
        <w:rPr>
          <w:rFonts w:hint="eastAsia"/>
          <w:caps w:val="0"/>
          <w:smallCaps w:val="0"/>
          <w:color w:val="auto"/>
          <w:sz w:val="24"/>
          <w:lang w:val="en-US" w:eastAsia="zh-CN"/>
        </w:rPr>
        <w:t>项目</w:t>
      </w:r>
      <w:r>
        <w:rPr>
          <w:rFonts w:hint="eastAsia" w:ascii="Times New Roman" w:hAnsi="Times New Roman"/>
          <w:caps w:val="0"/>
          <w:smallCaps w:val="0"/>
          <w:color w:val="auto"/>
          <w:sz w:val="24"/>
        </w:rPr>
        <w:t>生活污水量约为</w:t>
      </w:r>
      <w:r>
        <w:rPr>
          <w:rFonts w:hint="eastAsia"/>
          <w:caps w:val="0"/>
          <w:smallCaps w:val="0"/>
          <w:color w:val="auto"/>
          <w:sz w:val="24"/>
          <w:lang w:val="en-US" w:eastAsia="zh-CN"/>
        </w:rPr>
        <w:t>1923.9</w:t>
      </w:r>
      <w:r>
        <w:rPr>
          <w:rFonts w:ascii="Times New Roman" w:hAnsi="Times New Roman"/>
          <w:caps w:val="0"/>
          <w:smallCaps w:val="0"/>
          <w:color w:val="auto"/>
          <w:sz w:val="24"/>
        </w:rPr>
        <w:t>m</w:t>
      </w:r>
      <w:r>
        <w:rPr>
          <w:rFonts w:ascii="Times New Roman" w:hAnsi="Times New Roman"/>
          <w:caps w:val="0"/>
          <w:smallCaps w:val="0"/>
          <w:color w:val="auto"/>
          <w:sz w:val="24"/>
          <w:vertAlign w:val="superscript"/>
        </w:rPr>
        <w:t>3</w:t>
      </w:r>
      <w:r>
        <w:rPr>
          <w:rFonts w:ascii="Times New Roman" w:hAnsi="Times New Roman"/>
          <w:caps w:val="0"/>
          <w:smallCaps w:val="0"/>
          <w:color w:val="auto"/>
          <w:sz w:val="24"/>
        </w:rPr>
        <w:t>/a</w:t>
      </w:r>
      <w:r>
        <w:rPr>
          <w:rFonts w:hint="eastAsia" w:ascii="Times New Roman" w:hAnsi="Times New Roman"/>
          <w:caps w:val="0"/>
          <w:smallCaps w:val="0"/>
          <w:color w:val="auto"/>
          <w:sz w:val="24"/>
        </w:rPr>
        <w:t>。</w:t>
      </w:r>
    </w:p>
    <w:p>
      <w:pPr>
        <w:pStyle w:val="33"/>
        <w:bidi w:val="0"/>
        <w:rPr>
          <w:color w:val="auto"/>
        </w:rPr>
      </w:pPr>
      <w:r>
        <w:rPr>
          <w:rFonts w:hint="eastAsia"/>
          <w:color w:val="auto"/>
        </w:rPr>
        <w:t>（</w:t>
      </w:r>
      <w:r>
        <w:rPr>
          <w:rFonts w:hint="eastAsia"/>
          <w:color w:val="auto"/>
          <w:lang w:val="en-US" w:eastAsia="zh-CN"/>
        </w:rPr>
        <w:t>7</w:t>
      </w:r>
      <w:r>
        <w:rPr>
          <w:rFonts w:hint="eastAsia"/>
          <w:color w:val="auto"/>
        </w:rPr>
        <w:t>）初期雨水</w:t>
      </w:r>
    </w:p>
    <w:p>
      <w:pPr>
        <w:pStyle w:val="33"/>
        <w:bidi w:val="0"/>
        <w:rPr>
          <w:color w:val="auto"/>
        </w:rPr>
      </w:pPr>
      <w:r>
        <w:rPr>
          <w:rFonts w:hint="eastAsia"/>
          <w:color w:val="auto"/>
        </w:rPr>
        <w:t>在降雨天气情况下，生产区初期雨水将会夹带少量粉尘和所储运的化工原料等，按照暴雨强度计算公式：</w:t>
      </w:r>
    </w:p>
    <w:p>
      <w:pPr>
        <w:spacing w:line="360" w:lineRule="auto"/>
        <w:ind w:firstLine="480" w:firstLineChars="200"/>
        <w:jc w:val="center"/>
        <w:rPr>
          <w:rFonts w:ascii="Times New Roman" w:hAnsi="Times New Roman"/>
          <w:caps w:val="0"/>
          <w:smallCaps w:val="0"/>
          <w:color w:val="auto"/>
          <w:sz w:val="24"/>
        </w:rPr>
      </w:pPr>
      <w:r>
        <w:rPr>
          <w:rFonts w:ascii="Times New Roman" w:hAnsi="Times New Roman"/>
          <w:caps w:val="0"/>
          <w:smallCaps w:val="0"/>
          <w:color w:val="auto"/>
          <w:sz w:val="24"/>
        </w:rPr>
        <w:t>V= Ψ×F×H</w:t>
      </w:r>
    </w:p>
    <w:p>
      <w:pPr>
        <w:pStyle w:val="33"/>
        <w:bidi w:val="0"/>
        <w:rPr>
          <w:color w:val="auto"/>
        </w:rPr>
      </w:pPr>
      <w:r>
        <w:rPr>
          <w:rFonts w:hint="eastAsia"/>
          <w:color w:val="auto"/>
        </w:rPr>
        <w:t>其中：V--径流雨水量；</w:t>
      </w:r>
    </w:p>
    <w:p>
      <w:pPr>
        <w:pStyle w:val="33"/>
        <w:bidi w:val="0"/>
        <w:rPr>
          <w:color w:val="auto"/>
        </w:rPr>
      </w:pPr>
      <w:r>
        <w:rPr>
          <w:rFonts w:hint="eastAsia"/>
          <w:color w:val="auto"/>
        </w:rPr>
        <w:t>Ψ--径流系数，取0.9；</w:t>
      </w:r>
    </w:p>
    <w:p>
      <w:pPr>
        <w:pStyle w:val="33"/>
        <w:bidi w:val="0"/>
        <w:rPr>
          <w:color w:val="auto"/>
        </w:rPr>
      </w:pPr>
      <w:r>
        <w:rPr>
          <w:rFonts w:hint="eastAsia"/>
          <w:color w:val="auto"/>
        </w:rPr>
        <w:t>H--降雨强度，采用最大小时降雨量70mm，取初期15min，后期雨水视为清洁水；</w:t>
      </w:r>
    </w:p>
    <w:p>
      <w:pPr>
        <w:pStyle w:val="33"/>
        <w:bidi w:val="0"/>
        <w:rPr>
          <w:color w:val="auto"/>
        </w:rPr>
      </w:pPr>
      <w:r>
        <w:rPr>
          <w:rFonts w:hint="eastAsia"/>
          <w:color w:val="auto"/>
        </w:rPr>
        <w:t>F--区域面积。</w:t>
      </w:r>
    </w:p>
    <w:p>
      <w:pPr>
        <w:pStyle w:val="33"/>
        <w:bidi w:val="0"/>
        <w:rPr>
          <w:color w:val="auto"/>
        </w:rPr>
      </w:pPr>
      <w:r>
        <w:rPr>
          <w:rFonts w:hint="eastAsia"/>
          <w:color w:val="auto"/>
        </w:rPr>
        <w:t>本项目生产区面积约5960m</w:t>
      </w:r>
      <w:r>
        <w:rPr>
          <w:rFonts w:hint="eastAsia"/>
          <w:color w:val="auto"/>
          <w:vertAlign w:val="superscript"/>
        </w:rPr>
        <w:t>2</w:t>
      </w:r>
      <w:r>
        <w:rPr>
          <w:rFonts w:hint="eastAsia"/>
          <w:color w:val="auto"/>
        </w:rPr>
        <w:t>，初期雨污水最大发生量约93.87m</w:t>
      </w:r>
      <w:r>
        <w:rPr>
          <w:rFonts w:hint="eastAsia"/>
          <w:color w:val="auto"/>
          <w:vertAlign w:val="superscript"/>
        </w:rPr>
        <w:t>3</w:t>
      </w:r>
      <w:r>
        <w:rPr>
          <w:rFonts w:hint="eastAsia"/>
          <w:color w:val="auto"/>
        </w:rPr>
        <w:t>/次。该部分雨污水通过雨污切换装置切入园区工业污水专用管网，进云溪工业污水处理厂处理。初期雨水不纳入水污染源汇总。</w:t>
      </w:r>
    </w:p>
    <w:p>
      <w:pPr>
        <w:pStyle w:val="33"/>
        <w:bidi w:val="0"/>
        <w:rPr>
          <w:rFonts w:hint="eastAsia"/>
          <w:color w:val="auto"/>
        </w:rPr>
      </w:pPr>
      <w:r>
        <w:rPr>
          <w:rFonts w:hint="eastAsia"/>
          <w:color w:val="auto"/>
          <w:lang w:eastAsia="zh-CN"/>
        </w:rPr>
        <w:t>企业按照“雨污分流、污污分流、分质处理”的原则对各类废水收集处理，二氯丙烷生产线和聚酯分散剂生产线工艺废水经物化预处理后与设备</w:t>
      </w:r>
      <w:r>
        <w:rPr>
          <w:rFonts w:hint="eastAsia"/>
          <w:color w:val="auto"/>
        </w:rPr>
        <w:t>地面清洗废水、实验室废水、</w:t>
      </w:r>
      <w:r>
        <w:rPr>
          <w:rFonts w:hint="eastAsia"/>
          <w:color w:val="auto"/>
          <w:lang w:eastAsia="zh-CN"/>
        </w:rPr>
        <w:t>水喷射泵排水、碱液喷淋设施排水、循环冷却水排水、</w:t>
      </w:r>
      <w:r>
        <w:rPr>
          <w:rFonts w:hint="eastAsia"/>
          <w:color w:val="auto"/>
        </w:rPr>
        <w:t>初期雨水混合进入厂区内自建污水处理系统</w:t>
      </w:r>
      <w:r>
        <w:rPr>
          <w:rFonts w:hint="eastAsia"/>
          <w:color w:val="auto"/>
          <w:lang w:eastAsia="zh-CN"/>
        </w:rPr>
        <w:t>生化</w:t>
      </w:r>
      <w:r>
        <w:rPr>
          <w:rFonts w:hint="eastAsia"/>
          <w:color w:val="auto"/>
        </w:rPr>
        <w:t>处理满足</w:t>
      </w:r>
      <w:r>
        <w:rPr>
          <w:color w:val="auto"/>
        </w:rPr>
        <w:t>《</w:t>
      </w:r>
      <w:r>
        <w:rPr>
          <w:rFonts w:hint="eastAsia"/>
          <w:color w:val="auto"/>
        </w:rPr>
        <w:t>石油化学工业污染物排放标准</w:t>
      </w:r>
      <w:r>
        <w:rPr>
          <w:color w:val="auto"/>
        </w:rPr>
        <w:t>》</w:t>
      </w:r>
      <w:r>
        <w:rPr>
          <w:rFonts w:hint="eastAsia"/>
          <w:color w:val="auto"/>
        </w:rPr>
        <w:t>（GB31571-2015）</w:t>
      </w:r>
      <w:r>
        <w:rPr>
          <w:rFonts w:hint="eastAsia"/>
          <w:color w:val="auto"/>
          <w:lang w:eastAsia="zh-CN"/>
        </w:rPr>
        <w:t>、《合成树脂工业污染物排放标准》（</w:t>
      </w:r>
      <w:r>
        <w:rPr>
          <w:rFonts w:hint="eastAsia"/>
          <w:color w:val="auto"/>
          <w:lang w:val="en-US" w:eastAsia="zh-CN"/>
        </w:rPr>
        <w:t>GB31572-2015</w:t>
      </w:r>
      <w:r>
        <w:rPr>
          <w:rFonts w:hint="eastAsia"/>
          <w:color w:val="auto"/>
          <w:lang w:eastAsia="zh-CN"/>
        </w:rPr>
        <w:t>）</w:t>
      </w:r>
      <w:r>
        <w:rPr>
          <w:rFonts w:hint="eastAsia"/>
          <w:color w:val="auto"/>
        </w:rPr>
        <w:t>及云溪区污水处理厂进水水质要求</w:t>
      </w:r>
      <w:r>
        <w:rPr>
          <w:rFonts w:hint="eastAsia"/>
          <w:color w:val="auto"/>
          <w:lang w:eastAsia="zh-CN"/>
        </w:rPr>
        <w:t>后进工业园污水处理站处理</w:t>
      </w:r>
      <w:r>
        <w:rPr>
          <w:rFonts w:hint="eastAsia"/>
          <w:color w:val="auto"/>
        </w:rPr>
        <w:t>。</w:t>
      </w:r>
    </w:p>
    <w:p>
      <w:pPr>
        <w:pStyle w:val="33"/>
        <w:bidi w:val="0"/>
        <w:rPr>
          <w:rFonts w:hint="eastAsia"/>
          <w:color w:val="auto"/>
        </w:rPr>
      </w:pPr>
      <w:r>
        <w:rPr>
          <w:rFonts w:hint="eastAsia"/>
          <w:color w:val="auto"/>
        </w:rPr>
        <w:t>本项目生产废水产排放状况见表</w:t>
      </w:r>
      <w:r>
        <w:rPr>
          <w:rFonts w:hint="eastAsia"/>
          <w:color w:val="auto"/>
          <w:lang w:val="en-US" w:eastAsia="zh-CN"/>
        </w:rPr>
        <w:t>3.3-5</w:t>
      </w:r>
      <w:r>
        <w:rPr>
          <w:rFonts w:hint="eastAsia"/>
          <w:color w:val="auto"/>
        </w:rPr>
        <w:t>。</w:t>
      </w:r>
    </w:p>
    <w:p>
      <w:pPr>
        <w:pStyle w:val="36"/>
        <w:bidi w:val="0"/>
        <w:rPr>
          <w:color w:val="auto"/>
        </w:rPr>
      </w:pPr>
      <w:r>
        <w:rPr>
          <w:color w:val="auto"/>
        </w:rPr>
        <w:t>表</w:t>
      </w:r>
      <w:r>
        <w:rPr>
          <w:rFonts w:hint="eastAsia"/>
          <w:color w:val="auto"/>
          <w:lang w:val="en-US" w:eastAsia="zh-CN"/>
        </w:rPr>
        <w:t>3.3-5</w:t>
      </w:r>
      <w:r>
        <w:rPr>
          <w:rFonts w:hint="eastAsia"/>
          <w:color w:val="auto"/>
        </w:rPr>
        <w:t xml:space="preserve"> </w:t>
      </w:r>
      <w:r>
        <w:rPr>
          <w:color w:val="auto"/>
        </w:rPr>
        <w:t xml:space="preserve"> 项目废水源强及排放汇总</w:t>
      </w:r>
      <w:r>
        <w:rPr>
          <w:rFonts w:hint="eastAsia"/>
          <w:color w:val="auto"/>
        </w:rPr>
        <w:t>一览表</w:t>
      </w:r>
    </w:p>
    <w:tbl>
      <w:tblPr>
        <w:tblStyle w:val="27"/>
        <w:tblW w:w="512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87"/>
        <w:gridCol w:w="1819"/>
        <w:gridCol w:w="719"/>
        <w:gridCol w:w="472"/>
        <w:gridCol w:w="725"/>
        <w:gridCol w:w="646"/>
        <w:gridCol w:w="608"/>
        <w:gridCol w:w="660"/>
        <w:gridCol w:w="836"/>
        <w:gridCol w:w="631"/>
        <w:gridCol w:w="1858"/>
      </w:tblGrid>
      <w:tr>
        <w:trPr>
          <w:jc w:val="center"/>
        </w:trPr>
        <w:tc>
          <w:tcPr>
            <w:tcW w:w="1258" w:type="pct"/>
            <w:gridSpan w:val="2"/>
            <w:vMerge w:val="restart"/>
            <w:tcBorders>
              <w:tl2br w:val="nil"/>
              <w:tr2bl w:val="nil"/>
            </w:tcBorders>
            <w:noWrap w:val="0"/>
            <w:vAlign w:val="center"/>
          </w:tcPr>
          <w:p>
            <w:pPr>
              <w:pStyle w:val="35"/>
              <w:bidi w:val="0"/>
              <w:rPr>
                <w:color w:val="auto"/>
              </w:rPr>
            </w:pPr>
            <w:r>
              <w:rPr>
                <w:color w:val="auto"/>
              </w:rPr>
              <w:t>污染源</w:t>
            </w:r>
          </w:p>
        </w:tc>
        <w:tc>
          <w:tcPr>
            <w:tcW w:w="376" w:type="pct"/>
            <w:vMerge w:val="restart"/>
            <w:tcBorders>
              <w:tl2br w:val="nil"/>
              <w:tr2bl w:val="nil"/>
            </w:tcBorders>
            <w:noWrap w:val="0"/>
            <w:tcMar>
              <w:left w:w="28" w:type="dxa"/>
              <w:right w:w="28" w:type="dxa"/>
            </w:tcMar>
            <w:vAlign w:val="center"/>
          </w:tcPr>
          <w:p>
            <w:pPr>
              <w:pStyle w:val="35"/>
              <w:bidi w:val="0"/>
              <w:rPr>
                <w:color w:val="auto"/>
              </w:rPr>
            </w:pPr>
            <w:r>
              <w:rPr>
                <w:color w:val="auto"/>
              </w:rPr>
              <w:t>产生量</w:t>
            </w:r>
          </w:p>
          <w:p>
            <w:pPr>
              <w:pStyle w:val="35"/>
              <w:bidi w:val="0"/>
              <w:rPr>
                <w:rFonts w:hint="eastAsia"/>
                <w:color w:val="auto"/>
                <w:lang w:eastAsia="zh-CN"/>
              </w:rPr>
            </w:pPr>
            <w:r>
              <w:rPr>
                <w:color w:val="auto"/>
              </w:rPr>
              <w:t>m</w:t>
            </w:r>
            <w:r>
              <w:rPr>
                <w:color w:val="auto"/>
                <w:vertAlign w:val="superscript"/>
              </w:rPr>
              <w:t>3</w:t>
            </w:r>
            <w:r>
              <w:rPr>
                <w:color w:val="auto"/>
              </w:rPr>
              <w:t>/</w:t>
            </w:r>
            <w:r>
              <w:rPr>
                <w:rFonts w:hint="eastAsia"/>
                <w:color w:val="auto"/>
                <w:lang w:val="en-US" w:eastAsia="zh-CN"/>
              </w:rPr>
              <w:t>d</w:t>
            </w:r>
          </w:p>
        </w:tc>
        <w:tc>
          <w:tcPr>
            <w:tcW w:w="2394" w:type="pct"/>
            <w:gridSpan w:val="7"/>
            <w:tcBorders>
              <w:tl2br w:val="nil"/>
              <w:tr2bl w:val="nil"/>
            </w:tcBorders>
            <w:noWrap w:val="0"/>
            <w:tcMar>
              <w:left w:w="28" w:type="dxa"/>
              <w:right w:w="28" w:type="dxa"/>
            </w:tcMar>
            <w:vAlign w:val="center"/>
          </w:tcPr>
          <w:p>
            <w:pPr>
              <w:pStyle w:val="35"/>
              <w:bidi w:val="0"/>
              <w:rPr>
                <w:color w:val="auto"/>
              </w:rPr>
            </w:pPr>
            <w:r>
              <w:rPr>
                <w:color w:val="auto"/>
              </w:rPr>
              <w:t>污染物（mg/L，pH除外）</w:t>
            </w:r>
          </w:p>
        </w:tc>
        <w:tc>
          <w:tcPr>
            <w:tcW w:w="971" w:type="pct"/>
            <w:vMerge w:val="restart"/>
            <w:tcBorders>
              <w:tl2br w:val="nil"/>
              <w:tr2bl w:val="nil"/>
            </w:tcBorders>
            <w:noWrap w:val="0"/>
            <w:vAlign w:val="center"/>
          </w:tcPr>
          <w:p>
            <w:pPr>
              <w:pStyle w:val="35"/>
              <w:bidi w:val="0"/>
              <w:rPr>
                <w:color w:val="auto"/>
              </w:rPr>
            </w:pPr>
            <w:r>
              <w:rPr>
                <w:color w:val="auto"/>
              </w:rPr>
              <w:t>去向</w:t>
            </w:r>
          </w:p>
        </w:tc>
      </w:tr>
      <w:tr>
        <w:trPr>
          <w:jc w:val="center"/>
        </w:trPr>
        <w:tc>
          <w:tcPr>
            <w:tcW w:w="1258" w:type="pct"/>
            <w:gridSpan w:val="2"/>
            <w:vMerge w:val="continue"/>
            <w:tcBorders>
              <w:tl2br w:val="nil"/>
              <w:tr2bl w:val="nil"/>
            </w:tcBorders>
            <w:noWrap w:val="0"/>
            <w:vAlign w:val="center"/>
          </w:tcPr>
          <w:p>
            <w:pPr>
              <w:pStyle w:val="35"/>
              <w:bidi w:val="0"/>
              <w:rPr>
                <w:color w:val="auto"/>
              </w:rPr>
            </w:pPr>
          </w:p>
        </w:tc>
        <w:tc>
          <w:tcPr>
            <w:tcW w:w="376" w:type="pct"/>
            <w:vMerge w:val="continue"/>
            <w:tcBorders>
              <w:tl2br w:val="nil"/>
              <w:tr2bl w:val="nil"/>
            </w:tcBorders>
            <w:noWrap w:val="0"/>
            <w:tcMar>
              <w:left w:w="28" w:type="dxa"/>
              <w:right w:w="28" w:type="dxa"/>
            </w:tcMar>
            <w:vAlign w:val="center"/>
          </w:tcPr>
          <w:p>
            <w:pPr>
              <w:pStyle w:val="35"/>
              <w:bidi w:val="0"/>
              <w:rPr>
                <w:color w:val="auto"/>
              </w:rPr>
            </w:pPr>
          </w:p>
        </w:tc>
        <w:tc>
          <w:tcPr>
            <w:tcW w:w="247" w:type="pct"/>
            <w:tcBorders>
              <w:tl2br w:val="nil"/>
              <w:tr2bl w:val="nil"/>
            </w:tcBorders>
            <w:noWrap w:val="0"/>
            <w:tcMar>
              <w:left w:w="28" w:type="dxa"/>
              <w:right w:w="28" w:type="dxa"/>
            </w:tcMar>
            <w:vAlign w:val="center"/>
          </w:tcPr>
          <w:p>
            <w:pPr>
              <w:pStyle w:val="35"/>
              <w:bidi w:val="0"/>
              <w:rPr>
                <w:color w:val="auto"/>
              </w:rPr>
            </w:pPr>
            <w:r>
              <w:rPr>
                <w:color w:val="auto"/>
              </w:rPr>
              <w:t>pH</w:t>
            </w:r>
          </w:p>
        </w:tc>
        <w:tc>
          <w:tcPr>
            <w:tcW w:w="379" w:type="pct"/>
            <w:tcBorders>
              <w:tl2br w:val="nil"/>
              <w:tr2bl w:val="nil"/>
            </w:tcBorders>
            <w:noWrap w:val="0"/>
            <w:tcMar>
              <w:left w:w="28" w:type="dxa"/>
              <w:right w:w="28" w:type="dxa"/>
            </w:tcMar>
            <w:vAlign w:val="center"/>
          </w:tcPr>
          <w:p>
            <w:pPr>
              <w:pStyle w:val="35"/>
              <w:bidi w:val="0"/>
              <w:rPr>
                <w:color w:val="auto"/>
              </w:rPr>
            </w:pPr>
            <w:r>
              <w:rPr>
                <w:color w:val="auto"/>
              </w:rPr>
              <w:t>COD</w:t>
            </w:r>
          </w:p>
        </w:tc>
        <w:tc>
          <w:tcPr>
            <w:tcW w:w="338" w:type="pct"/>
            <w:tcBorders>
              <w:tl2br w:val="nil"/>
              <w:tr2bl w:val="nil"/>
            </w:tcBorders>
            <w:noWrap w:val="0"/>
            <w:tcMar>
              <w:left w:w="28" w:type="dxa"/>
              <w:right w:w="28" w:type="dxa"/>
            </w:tcMar>
            <w:vAlign w:val="center"/>
          </w:tcPr>
          <w:p>
            <w:pPr>
              <w:pStyle w:val="35"/>
              <w:bidi w:val="0"/>
              <w:rPr>
                <w:color w:val="auto"/>
              </w:rPr>
            </w:pPr>
            <w:r>
              <w:rPr>
                <w:color w:val="auto"/>
              </w:rPr>
              <w:t>SS</w:t>
            </w:r>
          </w:p>
        </w:tc>
        <w:tc>
          <w:tcPr>
            <w:tcW w:w="318" w:type="pct"/>
            <w:tcBorders>
              <w:tl2br w:val="nil"/>
              <w:tr2bl w:val="nil"/>
            </w:tcBorders>
            <w:noWrap w:val="0"/>
            <w:tcMar>
              <w:left w:w="28" w:type="dxa"/>
              <w:right w:w="28" w:type="dxa"/>
            </w:tcMar>
            <w:vAlign w:val="center"/>
          </w:tcPr>
          <w:p>
            <w:pPr>
              <w:pStyle w:val="35"/>
              <w:bidi w:val="0"/>
              <w:rPr>
                <w:color w:val="auto"/>
              </w:rPr>
            </w:pPr>
            <w:r>
              <w:rPr>
                <w:rFonts w:hint="eastAsia"/>
                <w:color w:val="auto"/>
              </w:rPr>
              <w:t>石油类</w:t>
            </w:r>
          </w:p>
        </w:tc>
        <w:tc>
          <w:tcPr>
            <w:tcW w:w="345" w:type="pct"/>
            <w:tcBorders>
              <w:tl2br w:val="nil"/>
              <w:tr2bl w:val="nil"/>
            </w:tcBorders>
            <w:noWrap w:val="0"/>
            <w:tcMar>
              <w:left w:w="28" w:type="dxa"/>
              <w:right w:w="28" w:type="dxa"/>
            </w:tcMar>
            <w:vAlign w:val="center"/>
          </w:tcPr>
          <w:p>
            <w:pPr>
              <w:pStyle w:val="35"/>
              <w:bidi w:val="0"/>
              <w:rPr>
                <w:color w:val="auto"/>
              </w:rPr>
            </w:pPr>
            <w:r>
              <w:rPr>
                <w:color w:val="auto"/>
              </w:rPr>
              <w:t>BOD</w:t>
            </w:r>
            <w:r>
              <w:rPr>
                <w:color w:val="auto"/>
                <w:vertAlign w:val="subscript"/>
              </w:rPr>
              <w:t>5</w:t>
            </w:r>
          </w:p>
        </w:tc>
        <w:tc>
          <w:tcPr>
            <w:tcW w:w="437" w:type="pct"/>
            <w:tcBorders>
              <w:tl2br w:val="nil"/>
              <w:tr2bl w:val="nil"/>
            </w:tcBorders>
            <w:noWrap w:val="0"/>
            <w:tcMar>
              <w:left w:w="28" w:type="dxa"/>
              <w:right w:w="28" w:type="dxa"/>
            </w:tcMar>
            <w:vAlign w:val="center"/>
          </w:tcPr>
          <w:p>
            <w:pPr>
              <w:pStyle w:val="35"/>
              <w:bidi w:val="0"/>
              <w:rPr>
                <w:color w:val="auto"/>
              </w:rPr>
            </w:pPr>
            <w:r>
              <w:rPr>
                <w:color w:val="auto"/>
              </w:rPr>
              <w:t>氨氮</w:t>
            </w:r>
          </w:p>
        </w:tc>
        <w:tc>
          <w:tcPr>
            <w:tcW w:w="328" w:type="pct"/>
            <w:tcBorders>
              <w:tl2br w:val="nil"/>
              <w:tr2bl w:val="nil"/>
            </w:tcBorders>
            <w:noWrap w:val="0"/>
            <w:vAlign w:val="center"/>
          </w:tcPr>
          <w:p>
            <w:pPr>
              <w:pStyle w:val="35"/>
              <w:bidi w:val="0"/>
              <w:rPr>
                <w:color w:val="auto"/>
              </w:rPr>
            </w:pPr>
            <w:r>
              <w:rPr>
                <w:rFonts w:hint="eastAsia"/>
                <w:color w:val="auto"/>
              </w:rPr>
              <w:t>AOX</w:t>
            </w:r>
          </w:p>
        </w:tc>
        <w:tc>
          <w:tcPr>
            <w:tcW w:w="971" w:type="pct"/>
            <w:vMerge w:val="continue"/>
            <w:tcBorders>
              <w:tl2br w:val="nil"/>
              <w:tr2bl w:val="nil"/>
            </w:tcBorders>
            <w:noWrap w:val="0"/>
            <w:vAlign w:val="center"/>
          </w:tcPr>
          <w:p>
            <w:pPr>
              <w:pStyle w:val="35"/>
              <w:bidi w:val="0"/>
              <w:rPr>
                <w:color w:val="auto"/>
              </w:rPr>
            </w:pPr>
          </w:p>
        </w:tc>
      </w:tr>
      <w:tr>
        <w:trPr>
          <w:trHeight w:val="293" w:hRule="atLeast"/>
          <w:jc w:val="center"/>
        </w:trPr>
        <w:tc>
          <w:tcPr>
            <w:tcW w:w="307" w:type="pct"/>
            <w:vMerge w:val="restart"/>
            <w:tcBorders>
              <w:tl2br w:val="nil"/>
              <w:tr2bl w:val="nil"/>
            </w:tcBorders>
            <w:noWrap w:val="0"/>
            <w:tcMar>
              <w:left w:w="28" w:type="dxa"/>
              <w:right w:w="28" w:type="dxa"/>
            </w:tcMar>
            <w:vAlign w:val="center"/>
          </w:tcPr>
          <w:p>
            <w:pPr>
              <w:pStyle w:val="35"/>
              <w:bidi w:val="0"/>
              <w:rPr>
                <w:color w:val="auto"/>
              </w:rPr>
            </w:pPr>
            <w:r>
              <w:rPr>
                <w:rFonts w:hint="eastAsia"/>
                <w:color w:val="auto"/>
              </w:rPr>
              <w:t>工艺废水</w:t>
            </w:r>
          </w:p>
        </w:tc>
        <w:tc>
          <w:tcPr>
            <w:tcW w:w="950"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二氯丙烷生产线</w:t>
            </w:r>
          </w:p>
        </w:tc>
        <w:tc>
          <w:tcPr>
            <w:tcW w:w="376" w:type="pct"/>
            <w:tcBorders>
              <w:tl2br w:val="nil"/>
              <w:tr2bl w:val="nil"/>
            </w:tcBorders>
            <w:noWrap w:val="0"/>
            <w:tcMar>
              <w:left w:w="28" w:type="dxa"/>
              <w:right w:w="28" w:type="dxa"/>
            </w:tcMar>
            <w:vAlign w:val="center"/>
          </w:tcPr>
          <w:p>
            <w:pPr>
              <w:pStyle w:val="35"/>
              <w:bidi w:val="0"/>
              <w:rPr>
                <w:rFonts w:hint="default"/>
                <w:color w:val="auto"/>
                <w:lang w:val="en-US" w:eastAsia="zh-CN"/>
              </w:rPr>
            </w:pPr>
            <w:r>
              <w:rPr>
                <w:rFonts w:hint="eastAsia"/>
                <w:color w:val="auto"/>
                <w:lang w:val="en-US" w:eastAsia="zh-CN"/>
              </w:rPr>
              <w:t>2.7</w:t>
            </w:r>
          </w:p>
        </w:tc>
        <w:tc>
          <w:tcPr>
            <w:tcW w:w="247" w:type="pct"/>
            <w:tcBorders>
              <w:tl2br w:val="nil"/>
              <w:tr2bl w:val="nil"/>
            </w:tcBorders>
            <w:noWrap w:val="0"/>
            <w:tcMar>
              <w:left w:w="28" w:type="dxa"/>
              <w:right w:w="28" w:type="dxa"/>
            </w:tcMar>
            <w:vAlign w:val="center"/>
          </w:tcPr>
          <w:p>
            <w:pPr>
              <w:pStyle w:val="35"/>
              <w:bidi w:val="0"/>
              <w:rPr>
                <w:color w:val="auto"/>
              </w:rPr>
            </w:pPr>
            <w:r>
              <w:rPr>
                <w:rFonts w:hint="eastAsia"/>
                <w:color w:val="auto"/>
              </w:rPr>
              <w:t>5.5</w:t>
            </w:r>
          </w:p>
        </w:tc>
        <w:tc>
          <w:tcPr>
            <w:tcW w:w="379" w:type="pct"/>
            <w:tcBorders>
              <w:tl2br w:val="nil"/>
              <w:tr2bl w:val="nil"/>
            </w:tcBorders>
            <w:noWrap w:val="0"/>
            <w:tcMar>
              <w:left w:w="28" w:type="dxa"/>
              <w:right w:w="28" w:type="dxa"/>
            </w:tcMar>
            <w:vAlign w:val="center"/>
          </w:tcPr>
          <w:p>
            <w:pPr>
              <w:pStyle w:val="35"/>
              <w:bidi w:val="0"/>
              <w:rPr>
                <w:color w:val="auto"/>
              </w:rPr>
            </w:pPr>
            <w:r>
              <w:rPr>
                <w:rFonts w:hint="eastAsia"/>
                <w:color w:val="auto"/>
              </w:rPr>
              <w:t>12000</w:t>
            </w:r>
          </w:p>
        </w:tc>
        <w:tc>
          <w:tcPr>
            <w:tcW w:w="338" w:type="pct"/>
            <w:tcBorders>
              <w:tl2br w:val="nil"/>
              <w:tr2bl w:val="nil"/>
            </w:tcBorders>
            <w:noWrap w:val="0"/>
            <w:tcMar>
              <w:left w:w="28" w:type="dxa"/>
              <w:right w:w="28" w:type="dxa"/>
            </w:tcMar>
            <w:vAlign w:val="center"/>
          </w:tcPr>
          <w:p>
            <w:pPr>
              <w:pStyle w:val="35"/>
              <w:bidi w:val="0"/>
              <w:rPr>
                <w:color w:val="auto"/>
              </w:rPr>
            </w:pPr>
            <w:r>
              <w:rPr>
                <w:rFonts w:hint="eastAsia"/>
                <w:color w:val="auto"/>
              </w:rPr>
              <w:t>162</w:t>
            </w:r>
          </w:p>
        </w:tc>
        <w:tc>
          <w:tcPr>
            <w:tcW w:w="318" w:type="pct"/>
            <w:tcBorders>
              <w:tl2br w:val="nil"/>
              <w:tr2bl w:val="nil"/>
            </w:tcBorders>
            <w:noWrap w:val="0"/>
            <w:tcMar>
              <w:left w:w="28" w:type="dxa"/>
              <w:right w:w="28" w:type="dxa"/>
            </w:tcMar>
            <w:vAlign w:val="center"/>
          </w:tcPr>
          <w:p>
            <w:pPr>
              <w:pStyle w:val="35"/>
              <w:bidi w:val="0"/>
              <w:rPr>
                <w:color w:val="auto"/>
              </w:rPr>
            </w:pPr>
            <w:r>
              <w:rPr>
                <w:rFonts w:hint="eastAsia"/>
                <w:color w:val="auto"/>
              </w:rPr>
              <w:t>330</w:t>
            </w:r>
          </w:p>
        </w:tc>
        <w:tc>
          <w:tcPr>
            <w:tcW w:w="345" w:type="pct"/>
            <w:tcBorders>
              <w:tl2br w:val="nil"/>
              <w:tr2bl w:val="nil"/>
            </w:tcBorders>
            <w:noWrap w:val="0"/>
            <w:tcMar>
              <w:left w:w="28" w:type="dxa"/>
              <w:right w:w="28" w:type="dxa"/>
            </w:tcMar>
            <w:vAlign w:val="center"/>
          </w:tcPr>
          <w:p>
            <w:pPr>
              <w:pStyle w:val="35"/>
              <w:bidi w:val="0"/>
              <w:rPr>
                <w:color w:val="auto"/>
              </w:rPr>
            </w:pPr>
            <w:r>
              <w:rPr>
                <w:color w:val="auto"/>
              </w:rPr>
              <w:t>—</w:t>
            </w:r>
          </w:p>
        </w:tc>
        <w:tc>
          <w:tcPr>
            <w:tcW w:w="437" w:type="pct"/>
            <w:tcBorders>
              <w:tl2br w:val="nil"/>
              <w:tr2bl w:val="nil"/>
            </w:tcBorders>
            <w:noWrap w:val="0"/>
            <w:tcMar>
              <w:left w:w="28" w:type="dxa"/>
              <w:right w:w="28" w:type="dxa"/>
            </w:tcMar>
            <w:vAlign w:val="center"/>
          </w:tcPr>
          <w:p>
            <w:pPr>
              <w:pStyle w:val="35"/>
              <w:bidi w:val="0"/>
              <w:rPr>
                <w:color w:val="auto"/>
              </w:rPr>
            </w:pPr>
            <w:r>
              <w:rPr>
                <w:rFonts w:hint="eastAsia"/>
                <w:color w:val="auto"/>
              </w:rPr>
              <w:t>50</w:t>
            </w:r>
          </w:p>
        </w:tc>
        <w:tc>
          <w:tcPr>
            <w:tcW w:w="328" w:type="pct"/>
            <w:tcBorders>
              <w:tl2br w:val="nil"/>
              <w:tr2bl w:val="nil"/>
            </w:tcBorders>
            <w:noWrap w:val="0"/>
            <w:vAlign w:val="center"/>
          </w:tcPr>
          <w:p>
            <w:pPr>
              <w:pStyle w:val="35"/>
              <w:bidi w:val="0"/>
              <w:rPr>
                <w:color w:val="auto"/>
              </w:rPr>
            </w:pPr>
            <w:r>
              <w:rPr>
                <w:rFonts w:hint="eastAsia"/>
                <w:color w:val="auto"/>
              </w:rPr>
              <w:t>45</w:t>
            </w:r>
          </w:p>
        </w:tc>
        <w:tc>
          <w:tcPr>
            <w:tcW w:w="971" w:type="pct"/>
            <w:vMerge w:val="restart"/>
            <w:tcBorders>
              <w:tl2br w:val="nil"/>
              <w:tr2bl w:val="nil"/>
            </w:tcBorders>
            <w:noWrap w:val="0"/>
            <w:vAlign w:val="center"/>
          </w:tcPr>
          <w:p>
            <w:pPr>
              <w:pStyle w:val="35"/>
              <w:bidi w:val="0"/>
              <w:rPr>
                <w:rFonts w:hint="eastAsia"/>
                <w:color w:val="auto"/>
                <w:lang w:eastAsia="zh-CN"/>
              </w:rPr>
            </w:pPr>
          </w:p>
          <w:p>
            <w:pPr>
              <w:pStyle w:val="35"/>
              <w:bidi w:val="0"/>
              <w:rPr>
                <w:color w:val="auto"/>
              </w:rPr>
            </w:pPr>
            <w:r>
              <w:rPr>
                <w:rFonts w:hint="eastAsia"/>
                <w:color w:val="auto"/>
                <w:lang w:eastAsia="zh-CN"/>
              </w:rPr>
              <w:t>经厂内新建污水处理站预处理后送</w:t>
            </w:r>
            <w:r>
              <w:rPr>
                <w:rFonts w:hint="eastAsia"/>
                <w:color w:val="auto"/>
                <w:lang w:val="en-US" w:eastAsia="zh-CN"/>
              </w:rPr>
              <w:t>云溪工业园</w:t>
            </w:r>
            <w:r>
              <w:rPr>
                <w:rFonts w:hint="eastAsia"/>
                <w:color w:val="auto"/>
              </w:rPr>
              <w:t>污水处理厂</w:t>
            </w:r>
          </w:p>
        </w:tc>
      </w:tr>
      <w:tr>
        <w:trPr>
          <w:trHeight w:val="217" w:hRule="atLeast"/>
          <w:jc w:val="center"/>
        </w:trPr>
        <w:tc>
          <w:tcPr>
            <w:tcW w:w="307" w:type="pct"/>
            <w:vMerge w:val="continue"/>
            <w:tcBorders>
              <w:tl2br w:val="nil"/>
              <w:tr2bl w:val="nil"/>
            </w:tcBorders>
            <w:noWrap w:val="0"/>
            <w:tcMar>
              <w:left w:w="28" w:type="dxa"/>
              <w:right w:w="28" w:type="dxa"/>
            </w:tcMar>
            <w:vAlign w:val="center"/>
          </w:tcPr>
          <w:p>
            <w:pPr>
              <w:pStyle w:val="35"/>
              <w:bidi w:val="0"/>
              <w:rPr>
                <w:color w:val="auto"/>
              </w:rPr>
            </w:pPr>
          </w:p>
        </w:tc>
        <w:tc>
          <w:tcPr>
            <w:tcW w:w="950" w:type="pct"/>
            <w:tcBorders>
              <w:tl2br w:val="nil"/>
              <w:tr2bl w:val="nil"/>
            </w:tcBorders>
            <w:noWrap w:val="0"/>
            <w:vAlign w:val="center"/>
          </w:tcPr>
          <w:p>
            <w:pPr>
              <w:pStyle w:val="35"/>
              <w:bidi w:val="0"/>
              <w:rPr>
                <w:color w:val="auto"/>
              </w:rPr>
            </w:pPr>
            <w:r>
              <w:rPr>
                <w:rFonts w:hint="eastAsia"/>
                <w:color w:val="auto"/>
                <w:lang w:eastAsia="zh-CN"/>
              </w:rPr>
              <w:t>聚酯分散剂生产线</w:t>
            </w:r>
          </w:p>
        </w:tc>
        <w:tc>
          <w:tcPr>
            <w:tcW w:w="376" w:type="pct"/>
            <w:tcBorders>
              <w:tl2br w:val="nil"/>
              <w:tr2bl w:val="nil"/>
            </w:tcBorders>
            <w:noWrap w:val="0"/>
            <w:tcMar>
              <w:left w:w="28" w:type="dxa"/>
              <w:right w:w="28" w:type="dxa"/>
            </w:tcMar>
            <w:vAlign w:val="center"/>
          </w:tcPr>
          <w:p>
            <w:pPr>
              <w:pStyle w:val="35"/>
              <w:bidi w:val="0"/>
              <w:rPr>
                <w:color w:val="auto"/>
              </w:rPr>
            </w:pPr>
            <w:r>
              <w:rPr>
                <w:rFonts w:hint="eastAsia"/>
                <w:color w:val="auto"/>
              </w:rPr>
              <w:t>0.2</w:t>
            </w:r>
          </w:p>
        </w:tc>
        <w:tc>
          <w:tcPr>
            <w:tcW w:w="247" w:type="pct"/>
            <w:tcBorders>
              <w:tl2br w:val="nil"/>
              <w:tr2bl w:val="nil"/>
            </w:tcBorders>
            <w:noWrap w:val="0"/>
            <w:tcMar>
              <w:left w:w="28" w:type="dxa"/>
              <w:right w:w="28" w:type="dxa"/>
            </w:tcMar>
            <w:vAlign w:val="center"/>
          </w:tcPr>
          <w:p>
            <w:pPr>
              <w:pStyle w:val="35"/>
              <w:bidi w:val="0"/>
              <w:rPr>
                <w:color w:val="auto"/>
              </w:rPr>
            </w:pPr>
            <w:r>
              <w:rPr>
                <w:rFonts w:hint="eastAsia"/>
                <w:color w:val="auto"/>
              </w:rPr>
              <w:t>6</w:t>
            </w:r>
          </w:p>
        </w:tc>
        <w:tc>
          <w:tcPr>
            <w:tcW w:w="379" w:type="pct"/>
            <w:tcBorders>
              <w:tl2br w:val="nil"/>
              <w:tr2bl w:val="nil"/>
            </w:tcBorders>
            <w:noWrap w:val="0"/>
            <w:tcMar>
              <w:left w:w="28" w:type="dxa"/>
              <w:right w:w="28" w:type="dxa"/>
            </w:tcMar>
            <w:vAlign w:val="bottom"/>
          </w:tcPr>
          <w:p>
            <w:pPr>
              <w:pStyle w:val="35"/>
              <w:bidi w:val="0"/>
              <w:rPr>
                <w:color w:val="auto"/>
              </w:rPr>
            </w:pPr>
            <w:r>
              <w:rPr>
                <w:rFonts w:hint="eastAsia"/>
                <w:color w:val="auto"/>
              </w:rPr>
              <w:t>16000</w:t>
            </w:r>
          </w:p>
        </w:tc>
        <w:tc>
          <w:tcPr>
            <w:tcW w:w="338" w:type="pct"/>
            <w:tcBorders>
              <w:tl2br w:val="nil"/>
              <w:tr2bl w:val="nil"/>
            </w:tcBorders>
            <w:noWrap w:val="0"/>
            <w:tcMar>
              <w:left w:w="28" w:type="dxa"/>
              <w:right w:w="28" w:type="dxa"/>
            </w:tcMar>
            <w:vAlign w:val="center"/>
          </w:tcPr>
          <w:p>
            <w:pPr>
              <w:pStyle w:val="35"/>
              <w:bidi w:val="0"/>
              <w:rPr>
                <w:color w:val="auto"/>
              </w:rPr>
            </w:pPr>
            <w:r>
              <w:rPr>
                <w:rFonts w:hint="eastAsia"/>
                <w:color w:val="auto"/>
              </w:rPr>
              <w:t>865</w:t>
            </w:r>
          </w:p>
        </w:tc>
        <w:tc>
          <w:tcPr>
            <w:tcW w:w="318" w:type="pct"/>
            <w:tcBorders>
              <w:tl2br w:val="nil"/>
              <w:tr2bl w:val="nil"/>
            </w:tcBorders>
            <w:noWrap w:val="0"/>
            <w:tcMar>
              <w:left w:w="28" w:type="dxa"/>
              <w:right w:w="28" w:type="dxa"/>
            </w:tcMar>
            <w:vAlign w:val="center"/>
          </w:tcPr>
          <w:p>
            <w:pPr>
              <w:pStyle w:val="35"/>
              <w:bidi w:val="0"/>
              <w:rPr>
                <w:color w:val="auto"/>
              </w:rPr>
            </w:pPr>
            <w:r>
              <w:rPr>
                <w:color w:val="auto"/>
              </w:rPr>
              <w:t>—</w:t>
            </w:r>
          </w:p>
        </w:tc>
        <w:tc>
          <w:tcPr>
            <w:tcW w:w="345" w:type="pct"/>
            <w:tcBorders>
              <w:tl2br w:val="nil"/>
              <w:tr2bl w:val="nil"/>
            </w:tcBorders>
            <w:noWrap w:val="0"/>
            <w:tcMar>
              <w:left w:w="28" w:type="dxa"/>
              <w:right w:w="28" w:type="dxa"/>
            </w:tcMar>
            <w:vAlign w:val="center"/>
          </w:tcPr>
          <w:p>
            <w:pPr>
              <w:pStyle w:val="35"/>
              <w:bidi w:val="0"/>
              <w:rPr>
                <w:color w:val="auto"/>
              </w:rPr>
            </w:pPr>
            <w:r>
              <w:rPr>
                <w:color w:val="auto"/>
              </w:rPr>
              <w:t>—</w:t>
            </w:r>
          </w:p>
        </w:tc>
        <w:tc>
          <w:tcPr>
            <w:tcW w:w="437" w:type="pct"/>
            <w:tcBorders>
              <w:tl2br w:val="nil"/>
              <w:tr2bl w:val="nil"/>
            </w:tcBorders>
            <w:noWrap w:val="0"/>
            <w:tcMar>
              <w:left w:w="28" w:type="dxa"/>
              <w:right w:w="28" w:type="dxa"/>
            </w:tcMar>
            <w:vAlign w:val="center"/>
          </w:tcPr>
          <w:p>
            <w:pPr>
              <w:pStyle w:val="35"/>
              <w:bidi w:val="0"/>
              <w:rPr>
                <w:color w:val="auto"/>
              </w:rPr>
            </w:pPr>
            <w:r>
              <w:rPr>
                <w:rFonts w:hint="eastAsia"/>
                <w:color w:val="auto"/>
              </w:rPr>
              <w:t>50</w:t>
            </w:r>
          </w:p>
        </w:tc>
        <w:tc>
          <w:tcPr>
            <w:tcW w:w="328" w:type="pct"/>
            <w:tcBorders>
              <w:tl2br w:val="nil"/>
              <w:tr2bl w:val="nil"/>
            </w:tcBorders>
            <w:noWrap w:val="0"/>
            <w:vAlign w:val="center"/>
          </w:tcPr>
          <w:p>
            <w:pPr>
              <w:pStyle w:val="35"/>
              <w:bidi w:val="0"/>
              <w:rPr>
                <w:color w:val="auto"/>
              </w:rPr>
            </w:pPr>
            <w:r>
              <w:rPr>
                <w:color w:val="auto"/>
              </w:rPr>
              <w:t>—</w:t>
            </w:r>
          </w:p>
        </w:tc>
        <w:tc>
          <w:tcPr>
            <w:tcW w:w="971" w:type="pct"/>
            <w:vMerge w:val="continue"/>
            <w:tcBorders>
              <w:tl2br w:val="nil"/>
              <w:tr2bl w:val="nil"/>
            </w:tcBorders>
            <w:noWrap w:val="0"/>
            <w:vAlign w:val="center"/>
          </w:tcPr>
          <w:p>
            <w:pPr>
              <w:pStyle w:val="35"/>
              <w:bidi w:val="0"/>
              <w:rPr>
                <w:color w:val="auto"/>
              </w:rPr>
            </w:pPr>
          </w:p>
        </w:tc>
      </w:tr>
      <w:tr>
        <w:trPr>
          <w:trHeight w:val="167" w:hRule="atLeast"/>
          <w:jc w:val="center"/>
        </w:trPr>
        <w:tc>
          <w:tcPr>
            <w:tcW w:w="307" w:type="pct"/>
            <w:vMerge w:val="continue"/>
            <w:tcBorders>
              <w:tl2br w:val="nil"/>
              <w:tr2bl w:val="nil"/>
            </w:tcBorders>
            <w:noWrap w:val="0"/>
            <w:tcMar>
              <w:left w:w="28" w:type="dxa"/>
              <w:right w:w="28" w:type="dxa"/>
            </w:tcMar>
            <w:vAlign w:val="center"/>
          </w:tcPr>
          <w:p>
            <w:pPr>
              <w:pStyle w:val="35"/>
              <w:bidi w:val="0"/>
              <w:rPr>
                <w:color w:val="auto"/>
              </w:rPr>
            </w:pPr>
          </w:p>
        </w:tc>
        <w:tc>
          <w:tcPr>
            <w:tcW w:w="950" w:type="pct"/>
            <w:tcBorders>
              <w:tl2br w:val="nil"/>
              <w:tr2bl w:val="nil"/>
            </w:tcBorders>
            <w:noWrap w:val="0"/>
            <w:vAlign w:val="center"/>
          </w:tcPr>
          <w:p>
            <w:pPr>
              <w:pStyle w:val="35"/>
              <w:bidi w:val="0"/>
              <w:rPr>
                <w:color w:val="auto"/>
              </w:rPr>
            </w:pPr>
            <w:r>
              <w:rPr>
                <w:rFonts w:hint="eastAsia"/>
                <w:color w:val="auto"/>
              </w:rPr>
              <w:t>合计</w:t>
            </w:r>
          </w:p>
        </w:tc>
        <w:tc>
          <w:tcPr>
            <w:tcW w:w="376" w:type="pct"/>
            <w:tcBorders>
              <w:tl2br w:val="nil"/>
              <w:tr2bl w:val="nil"/>
            </w:tcBorders>
            <w:noWrap w:val="0"/>
            <w:tcMar>
              <w:left w:w="28" w:type="dxa"/>
              <w:right w:w="28" w:type="dxa"/>
            </w:tcMar>
            <w:vAlign w:val="center"/>
          </w:tcPr>
          <w:p>
            <w:pPr>
              <w:pStyle w:val="35"/>
              <w:bidi w:val="0"/>
              <w:rPr>
                <w:rFonts w:hint="default"/>
                <w:color w:val="auto"/>
                <w:lang w:val="en-US" w:eastAsia="zh-CN"/>
              </w:rPr>
            </w:pPr>
            <w:r>
              <w:rPr>
                <w:rFonts w:hint="eastAsia"/>
                <w:color w:val="auto"/>
                <w:lang w:val="en-US" w:eastAsia="zh-CN"/>
              </w:rPr>
              <w:t>2.9</w:t>
            </w:r>
          </w:p>
        </w:tc>
        <w:tc>
          <w:tcPr>
            <w:tcW w:w="247" w:type="pct"/>
            <w:tcBorders>
              <w:tl2br w:val="nil"/>
              <w:tr2bl w:val="nil"/>
            </w:tcBorders>
            <w:noWrap w:val="0"/>
            <w:tcMar>
              <w:left w:w="28" w:type="dxa"/>
              <w:right w:w="28" w:type="dxa"/>
            </w:tcMar>
            <w:vAlign w:val="center"/>
          </w:tcPr>
          <w:p>
            <w:pPr>
              <w:pStyle w:val="35"/>
              <w:bidi w:val="0"/>
              <w:rPr>
                <w:color w:val="auto"/>
              </w:rPr>
            </w:pPr>
            <w:r>
              <w:rPr>
                <w:rFonts w:hint="eastAsia"/>
                <w:color w:val="auto"/>
              </w:rPr>
              <w:t>6.8</w:t>
            </w:r>
          </w:p>
        </w:tc>
        <w:tc>
          <w:tcPr>
            <w:tcW w:w="379" w:type="pct"/>
            <w:tcBorders>
              <w:tl2br w:val="nil"/>
              <w:tr2bl w:val="nil"/>
            </w:tcBorders>
            <w:noWrap w:val="0"/>
            <w:tcMar>
              <w:left w:w="28" w:type="dxa"/>
              <w:right w:w="28" w:type="dxa"/>
            </w:tcMar>
            <w:vAlign w:val="bottom"/>
          </w:tcPr>
          <w:p>
            <w:pPr>
              <w:pStyle w:val="35"/>
              <w:bidi w:val="0"/>
              <w:rPr>
                <w:color w:val="auto"/>
              </w:rPr>
            </w:pPr>
            <w:r>
              <w:rPr>
                <w:rFonts w:hint="eastAsia"/>
                <w:color w:val="auto"/>
              </w:rPr>
              <w:t>11020</w:t>
            </w:r>
          </w:p>
        </w:tc>
        <w:tc>
          <w:tcPr>
            <w:tcW w:w="338" w:type="pct"/>
            <w:tcBorders>
              <w:tl2br w:val="nil"/>
              <w:tr2bl w:val="nil"/>
            </w:tcBorders>
            <w:noWrap w:val="0"/>
            <w:tcMar>
              <w:left w:w="28" w:type="dxa"/>
              <w:right w:w="28" w:type="dxa"/>
            </w:tcMar>
            <w:vAlign w:val="center"/>
          </w:tcPr>
          <w:p>
            <w:pPr>
              <w:pStyle w:val="35"/>
              <w:bidi w:val="0"/>
              <w:rPr>
                <w:color w:val="auto"/>
              </w:rPr>
            </w:pPr>
            <w:r>
              <w:rPr>
                <w:rFonts w:hint="eastAsia"/>
                <w:color w:val="auto"/>
              </w:rPr>
              <w:t>541</w:t>
            </w:r>
          </w:p>
        </w:tc>
        <w:tc>
          <w:tcPr>
            <w:tcW w:w="318" w:type="pct"/>
            <w:tcBorders>
              <w:tl2br w:val="nil"/>
              <w:tr2bl w:val="nil"/>
            </w:tcBorders>
            <w:noWrap w:val="0"/>
            <w:tcMar>
              <w:left w:w="28" w:type="dxa"/>
              <w:right w:w="28" w:type="dxa"/>
            </w:tcMar>
            <w:vAlign w:val="center"/>
          </w:tcPr>
          <w:p>
            <w:pPr>
              <w:pStyle w:val="35"/>
              <w:bidi w:val="0"/>
              <w:rPr>
                <w:color w:val="auto"/>
              </w:rPr>
            </w:pPr>
            <w:r>
              <w:rPr>
                <w:rFonts w:hint="eastAsia"/>
                <w:color w:val="auto"/>
              </w:rPr>
              <w:t>178</w:t>
            </w:r>
          </w:p>
        </w:tc>
        <w:tc>
          <w:tcPr>
            <w:tcW w:w="345" w:type="pct"/>
            <w:tcBorders>
              <w:tl2br w:val="nil"/>
              <w:tr2bl w:val="nil"/>
            </w:tcBorders>
            <w:noWrap w:val="0"/>
            <w:tcMar>
              <w:left w:w="28" w:type="dxa"/>
              <w:right w:w="28" w:type="dxa"/>
            </w:tcMar>
            <w:vAlign w:val="center"/>
          </w:tcPr>
          <w:p>
            <w:pPr>
              <w:pStyle w:val="35"/>
              <w:bidi w:val="0"/>
              <w:rPr>
                <w:color w:val="auto"/>
              </w:rPr>
            </w:pPr>
            <w:r>
              <w:rPr>
                <w:rFonts w:hint="eastAsia"/>
                <w:color w:val="auto"/>
              </w:rPr>
              <w:t>110</w:t>
            </w:r>
          </w:p>
        </w:tc>
        <w:tc>
          <w:tcPr>
            <w:tcW w:w="437" w:type="pct"/>
            <w:tcBorders>
              <w:tl2br w:val="nil"/>
              <w:tr2bl w:val="nil"/>
            </w:tcBorders>
            <w:noWrap w:val="0"/>
            <w:tcMar>
              <w:left w:w="28" w:type="dxa"/>
              <w:right w:w="28" w:type="dxa"/>
            </w:tcMar>
            <w:vAlign w:val="center"/>
          </w:tcPr>
          <w:p>
            <w:pPr>
              <w:pStyle w:val="35"/>
              <w:bidi w:val="0"/>
              <w:rPr>
                <w:color w:val="auto"/>
              </w:rPr>
            </w:pPr>
            <w:r>
              <w:rPr>
                <w:rFonts w:hint="eastAsia"/>
                <w:color w:val="auto"/>
              </w:rPr>
              <w:t>38</w:t>
            </w:r>
          </w:p>
        </w:tc>
        <w:tc>
          <w:tcPr>
            <w:tcW w:w="328" w:type="pct"/>
            <w:tcBorders>
              <w:tl2br w:val="nil"/>
              <w:tr2bl w:val="nil"/>
            </w:tcBorders>
            <w:noWrap w:val="0"/>
            <w:vAlign w:val="center"/>
          </w:tcPr>
          <w:p>
            <w:pPr>
              <w:pStyle w:val="35"/>
              <w:bidi w:val="0"/>
              <w:rPr>
                <w:color w:val="auto"/>
              </w:rPr>
            </w:pPr>
            <w:r>
              <w:rPr>
                <w:rFonts w:hint="eastAsia"/>
                <w:color w:val="auto"/>
              </w:rPr>
              <w:t>4.5</w:t>
            </w:r>
          </w:p>
        </w:tc>
        <w:tc>
          <w:tcPr>
            <w:tcW w:w="971" w:type="pct"/>
            <w:vMerge w:val="continue"/>
            <w:tcBorders>
              <w:tl2br w:val="nil"/>
              <w:tr2bl w:val="nil"/>
            </w:tcBorders>
            <w:noWrap w:val="0"/>
            <w:vAlign w:val="center"/>
          </w:tcPr>
          <w:p>
            <w:pPr>
              <w:pStyle w:val="35"/>
              <w:bidi w:val="0"/>
              <w:rPr>
                <w:color w:val="auto"/>
              </w:rPr>
            </w:pPr>
          </w:p>
        </w:tc>
      </w:tr>
      <w:tr>
        <w:trPr>
          <w:trHeight w:val="176" w:hRule="atLeast"/>
          <w:jc w:val="center"/>
        </w:trPr>
        <w:tc>
          <w:tcPr>
            <w:tcW w:w="307" w:type="pct"/>
            <w:vMerge w:val="restart"/>
            <w:tcBorders>
              <w:tl2br w:val="nil"/>
              <w:tr2bl w:val="nil"/>
            </w:tcBorders>
            <w:noWrap w:val="0"/>
            <w:tcMar>
              <w:left w:w="28" w:type="dxa"/>
              <w:right w:w="28" w:type="dxa"/>
            </w:tcMar>
            <w:vAlign w:val="center"/>
          </w:tcPr>
          <w:p>
            <w:pPr>
              <w:pStyle w:val="35"/>
              <w:bidi w:val="0"/>
              <w:rPr>
                <w:color w:val="auto"/>
              </w:rPr>
            </w:pPr>
            <w:r>
              <w:rPr>
                <w:rFonts w:hint="eastAsia"/>
                <w:color w:val="auto"/>
              </w:rPr>
              <w:t>其他废水</w:t>
            </w:r>
          </w:p>
        </w:tc>
        <w:tc>
          <w:tcPr>
            <w:tcW w:w="950" w:type="pct"/>
            <w:tcBorders>
              <w:tl2br w:val="nil"/>
              <w:tr2bl w:val="nil"/>
            </w:tcBorders>
            <w:noWrap w:val="0"/>
            <w:vAlign w:val="center"/>
          </w:tcPr>
          <w:p>
            <w:pPr>
              <w:pStyle w:val="35"/>
              <w:bidi w:val="0"/>
              <w:rPr>
                <w:color w:val="auto"/>
              </w:rPr>
            </w:pPr>
            <w:r>
              <w:rPr>
                <w:rFonts w:hint="eastAsia"/>
                <w:color w:val="auto"/>
              </w:rPr>
              <w:t>设备地面冲洗水</w:t>
            </w:r>
          </w:p>
        </w:tc>
        <w:tc>
          <w:tcPr>
            <w:tcW w:w="376" w:type="pct"/>
            <w:tcBorders>
              <w:tl2br w:val="nil"/>
              <w:tr2bl w:val="nil"/>
            </w:tcBorders>
            <w:noWrap w:val="0"/>
            <w:tcMar>
              <w:left w:w="28" w:type="dxa"/>
              <w:right w:w="28" w:type="dxa"/>
            </w:tcMar>
            <w:vAlign w:val="center"/>
          </w:tcPr>
          <w:p>
            <w:pPr>
              <w:pStyle w:val="35"/>
              <w:bidi w:val="0"/>
              <w:rPr>
                <w:rFonts w:hint="default"/>
                <w:color w:val="auto"/>
                <w:lang w:val="en-US" w:eastAsia="zh-CN"/>
              </w:rPr>
            </w:pPr>
            <w:r>
              <w:rPr>
                <w:rFonts w:hint="eastAsia"/>
                <w:color w:val="auto"/>
                <w:lang w:val="en-US" w:eastAsia="zh-CN"/>
              </w:rPr>
              <w:t>4.05</w:t>
            </w:r>
          </w:p>
        </w:tc>
        <w:tc>
          <w:tcPr>
            <w:tcW w:w="247" w:type="pct"/>
            <w:tcBorders>
              <w:tl2br w:val="nil"/>
              <w:tr2bl w:val="nil"/>
            </w:tcBorders>
            <w:noWrap w:val="0"/>
            <w:tcMar>
              <w:left w:w="28" w:type="dxa"/>
              <w:right w:w="28" w:type="dxa"/>
            </w:tcMar>
            <w:vAlign w:val="center"/>
          </w:tcPr>
          <w:p>
            <w:pPr>
              <w:pStyle w:val="35"/>
              <w:bidi w:val="0"/>
              <w:rPr>
                <w:color w:val="auto"/>
              </w:rPr>
            </w:pPr>
            <w:r>
              <w:rPr>
                <w:color w:val="auto"/>
              </w:rPr>
              <w:t>7</w:t>
            </w:r>
          </w:p>
        </w:tc>
        <w:tc>
          <w:tcPr>
            <w:tcW w:w="379" w:type="pct"/>
            <w:tcBorders>
              <w:tl2br w:val="nil"/>
              <w:tr2bl w:val="nil"/>
            </w:tcBorders>
            <w:noWrap w:val="0"/>
            <w:tcMar>
              <w:left w:w="28" w:type="dxa"/>
              <w:right w:w="28" w:type="dxa"/>
            </w:tcMar>
            <w:vAlign w:val="bottom"/>
          </w:tcPr>
          <w:p>
            <w:pPr>
              <w:pStyle w:val="35"/>
              <w:bidi w:val="0"/>
              <w:rPr>
                <w:color w:val="auto"/>
              </w:rPr>
            </w:pPr>
            <w:r>
              <w:rPr>
                <w:rFonts w:hint="eastAsia"/>
                <w:color w:val="auto"/>
              </w:rPr>
              <w:t>500</w:t>
            </w:r>
          </w:p>
        </w:tc>
        <w:tc>
          <w:tcPr>
            <w:tcW w:w="338" w:type="pct"/>
            <w:tcBorders>
              <w:tl2br w:val="nil"/>
              <w:tr2bl w:val="nil"/>
            </w:tcBorders>
            <w:noWrap w:val="0"/>
            <w:tcMar>
              <w:left w:w="28" w:type="dxa"/>
              <w:right w:w="28" w:type="dxa"/>
            </w:tcMar>
            <w:vAlign w:val="center"/>
          </w:tcPr>
          <w:p>
            <w:pPr>
              <w:pStyle w:val="35"/>
              <w:bidi w:val="0"/>
              <w:rPr>
                <w:color w:val="auto"/>
              </w:rPr>
            </w:pPr>
            <w:r>
              <w:rPr>
                <w:rFonts w:hint="eastAsia"/>
                <w:color w:val="auto"/>
              </w:rPr>
              <w:t>300</w:t>
            </w:r>
          </w:p>
        </w:tc>
        <w:tc>
          <w:tcPr>
            <w:tcW w:w="318" w:type="pct"/>
            <w:tcBorders>
              <w:tl2br w:val="nil"/>
              <w:tr2bl w:val="nil"/>
            </w:tcBorders>
            <w:noWrap w:val="0"/>
            <w:tcMar>
              <w:left w:w="28" w:type="dxa"/>
              <w:right w:w="28" w:type="dxa"/>
            </w:tcMar>
            <w:vAlign w:val="center"/>
          </w:tcPr>
          <w:p>
            <w:pPr>
              <w:pStyle w:val="35"/>
              <w:bidi w:val="0"/>
              <w:rPr>
                <w:color w:val="auto"/>
              </w:rPr>
            </w:pPr>
            <w:r>
              <w:rPr>
                <w:rFonts w:hint="eastAsia"/>
                <w:color w:val="auto"/>
              </w:rPr>
              <w:t>60</w:t>
            </w:r>
          </w:p>
        </w:tc>
        <w:tc>
          <w:tcPr>
            <w:tcW w:w="345" w:type="pct"/>
            <w:tcBorders>
              <w:tl2br w:val="nil"/>
              <w:tr2bl w:val="nil"/>
            </w:tcBorders>
            <w:noWrap w:val="0"/>
            <w:tcMar>
              <w:left w:w="28" w:type="dxa"/>
              <w:right w:w="28" w:type="dxa"/>
            </w:tcMar>
            <w:vAlign w:val="center"/>
          </w:tcPr>
          <w:p>
            <w:pPr>
              <w:pStyle w:val="35"/>
              <w:bidi w:val="0"/>
              <w:rPr>
                <w:color w:val="auto"/>
              </w:rPr>
            </w:pPr>
            <w:r>
              <w:rPr>
                <w:color w:val="auto"/>
              </w:rPr>
              <w:t>—</w:t>
            </w:r>
          </w:p>
        </w:tc>
        <w:tc>
          <w:tcPr>
            <w:tcW w:w="437" w:type="pct"/>
            <w:tcBorders>
              <w:tl2br w:val="nil"/>
              <w:tr2bl w:val="nil"/>
            </w:tcBorders>
            <w:noWrap w:val="0"/>
            <w:tcMar>
              <w:left w:w="28" w:type="dxa"/>
              <w:right w:w="28" w:type="dxa"/>
            </w:tcMar>
            <w:vAlign w:val="center"/>
          </w:tcPr>
          <w:p>
            <w:pPr>
              <w:pStyle w:val="35"/>
              <w:bidi w:val="0"/>
              <w:rPr>
                <w:color w:val="auto"/>
              </w:rPr>
            </w:pPr>
            <w:r>
              <w:rPr>
                <w:rFonts w:hint="eastAsia"/>
                <w:color w:val="auto"/>
              </w:rPr>
              <w:t>5</w:t>
            </w:r>
          </w:p>
        </w:tc>
        <w:tc>
          <w:tcPr>
            <w:tcW w:w="328" w:type="pct"/>
            <w:tcBorders>
              <w:tl2br w:val="nil"/>
              <w:tr2bl w:val="nil"/>
            </w:tcBorders>
            <w:noWrap w:val="0"/>
            <w:vAlign w:val="center"/>
          </w:tcPr>
          <w:p>
            <w:pPr>
              <w:pStyle w:val="35"/>
              <w:bidi w:val="0"/>
              <w:rPr>
                <w:color w:val="auto"/>
              </w:rPr>
            </w:pPr>
            <w:r>
              <w:rPr>
                <w:color w:val="auto"/>
              </w:rPr>
              <w:t>—</w:t>
            </w:r>
          </w:p>
        </w:tc>
        <w:tc>
          <w:tcPr>
            <w:tcW w:w="971" w:type="pct"/>
            <w:vMerge w:val="continue"/>
            <w:tcBorders>
              <w:tl2br w:val="nil"/>
              <w:tr2bl w:val="nil"/>
            </w:tcBorders>
            <w:noWrap w:val="0"/>
            <w:vAlign w:val="center"/>
          </w:tcPr>
          <w:p>
            <w:pPr>
              <w:pStyle w:val="35"/>
              <w:bidi w:val="0"/>
              <w:rPr>
                <w:color w:val="auto"/>
              </w:rPr>
            </w:pPr>
          </w:p>
        </w:tc>
      </w:tr>
      <w:tr>
        <w:trPr>
          <w:trHeight w:val="293" w:hRule="atLeast"/>
          <w:jc w:val="center"/>
        </w:trPr>
        <w:tc>
          <w:tcPr>
            <w:tcW w:w="307" w:type="pct"/>
            <w:vMerge w:val="continue"/>
            <w:tcBorders>
              <w:tl2br w:val="nil"/>
              <w:tr2bl w:val="nil"/>
            </w:tcBorders>
            <w:noWrap w:val="0"/>
            <w:tcMar>
              <w:left w:w="28" w:type="dxa"/>
              <w:right w:w="28" w:type="dxa"/>
            </w:tcMar>
            <w:vAlign w:val="center"/>
          </w:tcPr>
          <w:p>
            <w:pPr>
              <w:pStyle w:val="35"/>
              <w:bidi w:val="0"/>
              <w:rPr>
                <w:color w:val="auto"/>
              </w:rPr>
            </w:pPr>
          </w:p>
        </w:tc>
        <w:tc>
          <w:tcPr>
            <w:tcW w:w="950" w:type="pct"/>
            <w:tcBorders>
              <w:tl2br w:val="nil"/>
              <w:tr2bl w:val="nil"/>
            </w:tcBorders>
            <w:noWrap w:val="0"/>
            <w:vAlign w:val="center"/>
          </w:tcPr>
          <w:p>
            <w:pPr>
              <w:pStyle w:val="35"/>
              <w:bidi w:val="0"/>
              <w:rPr>
                <w:color w:val="auto"/>
              </w:rPr>
            </w:pPr>
            <w:r>
              <w:rPr>
                <w:rFonts w:hint="eastAsia"/>
                <w:color w:val="auto"/>
              </w:rPr>
              <w:t>实验室化验废水</w:t>
            </w:r>
          </w:p>
        </w:tc>
        <w:tc>
          <w:tcPr>
            <w:tcW w:w="376" w:type="pct"/>
            <w:tcBorders>
              <w:tl2br w:val="nil"/>
              <w:tr2bl w:val="nil"/>
            </w:tcBorders>
            <w:noWrap w:val="0"/>
            <w:tcMar>
              <w:left w:w="28" w:type="dxa"/>
              <w:right w:w="28" w:type="dxa"/>
            </w:tcMar>
            <w:vAlign w:val="center"/>
          </w:tcPr>
          <w:p>
            <w:pPr>
              <w:pStyle w:val="35"/>
              <w:bidi w:val="0"/>
              <w:rPr>
                <w:rFonts w:hint="default"/>
                <w:color w:val="auto"/>
                <w:lang w:val="en-US" w:eastAsia="zh-CN"/>
              </w:rPr>
            </w:pPr>
            <w:r>
              <w:rPr>
                <w:rFonts w:hint="eastAsia"/>
                <w:color w:val="auto"/>
                <w:lang w:val="en-US" w:eastAsia="zh-CN"/>
              </w:rPr>
              <w:t>1.2</w:t>
            </w:r>
          </w:p>
        </w:tc>
        <w:tc>
          <w:tcPr>
            <w:tcW w:w="247" w:type="pct"/>
            <w:tcBorders>
              <w:tl2br w:val="nil"/>
              <w:tr2bl w:val="nil"/>
            </w:tcBorders>
            <w:noWrap w:val="0"/>
            <w:tcMar>
              <w:left w:w="28" w:type="dxa"/>
              <w:right w:w="28" w:type="dxa"/>
            </w:tcMar>
            <w:vAlign w:val="center"/>
          </w:tcPr>
          <w:p>
            <w:pPr>
              <w:pStyle w:val="35"/>
              <w:bidi w:val="0"/>
              <w:rPr>
                <w:color w:val="auto"/>
              </w:rPr>
            </w:pPr>
            <w:r>
              <w:rPr>
                <w:color w:val="auto"/>
              </w:rPr>
              <w:t>8</w:t>
            </w:r>
          </w:p>
        </w:tc>
        <w:tc>
          <w:tcPr>
            <w:tcW w:w="379" w:type="pct"/>
            <w:tcBorders>
              <w:tl2br w:val="nil"/>
              <w:tr2bl w:val="nil"/>
            </w:tcBorders>
            <w:noWrap w:val="0"/>
            <w:tcMar>
              <w:left w:w="28" w:type="dxa"/>
              <w:right w:w="28" w:type="dxa"/>
            </w:tcMar>
            <w:vAlign w:val="bottom"/>
          </w:tcPr>
          <w:p>
            <w:pPr>
              <w:pStyle w:val="35"/>
              <w:bidi w:val="0"/>
              <w:rPr>
                <w:color w:val="auto"/>
              </w:rPr>
            </w:pPr>
            <w:r>
              <w:rPr>
                <w:rFonts w:hint="eastAsia"/>
                <w:color w:val="auto"/>
              </w:rPr>
              <w:t>6</w:t>
            </w:r>
            <w:r>
              <w:rPr>
                <w:color w:val="auto"/>
              </w:rPr>
              <w:t>00</w:t>
            </w:r>
          </w:p>
        </w:tc>
        <w:tc>
          <w:tcPr>
            <w:tcW w:w="338" w:type="pct"/>
            <w:tcBorders>
              <w:tl2br w:val="nil"/>
              <w:tr2bl w:val="nil"/>
            </w:tcBorders>
            <w:noWrap w:val="0"/>
            <w:tcMar>
              <w:left w:w="28" w:type="dxa"/>
              <w:right w:w="28" w:type="dxa"/>
            </w:tcMar>
            <w:vAlign w:val="center"/>
          </w:tcPr>
          <w:p>
            <w:pPr>
              <w:pStyle w:val="35"/>
              <w:bidi w:val="0"/>
              <w:rPr>
                <w:color w:val="auto"/>
              </w:rPr>
            </w:pPr>
            <w:r>
              <w:rPr>
                <w:color w:val="auto"/>
              </w:rPr>
              <w:t>95</w:t>
            </w:r>
          </w:p>
        </w:tc>
        <w:tc>
          <w:tcPr>
            <w:tcW w:w="318" w:type="pct"/>
            <w:tcBorders>
              <w:tl2br w:val="nil"/>
              <w:tr2bl w:val="nil"/>
            </w:tcBorders>
            <w:noWrap w:val="0"/>
            <w:tcMar>
              <w:left w:w="28" w:type="dxa"/>
              <w:right w:w="28" w:type="dxa"/>
            </w:tcMar>
            <w:vAlign w:val="center"/>
          </w:tcPr>
          <w:p>
            <w:pPr>
              <w:pStyle w:val="35"/>
              <w:bidi w:val="0"/>
              <w:rPr>
                <w:color w:val="auto"/>
              </w:rPr>
            </w:pPr>
            <w:r>
              <w:rPr>
                <w:color w:val="auto"/>
              </w:rPr>
              <w:t>—</w:t>
            </w:r>
          </w:p>
        </w:tc>
        <w:tc>
          <w:tcPr>
            <w:tcW w:w="345" w:type="pct"/>
            <w:tcBorders>
              <w:tl2br w:val="nil"/>
              <w:tr2bl w:val="nil"/>
            </w:tcBorders>
            <w:noWrap w:val="0"/>
            <w:tcMar>
              <w:left w:w="28" w:type="dxa"/>
              <w:right w:w="28" w:type="dxa"/>
            </w:tcMar>
            <w:vAlign w:val="center"/>
          </w:tcPr>
          <w:p>
            <w:pPr>
              <w:pStyle w:val="35"/>
              <w:bidi w:val="0"/>
              <w:rPr>
                <w:color w:val="auto"/>
              </w:rPr>
            </w:pPr>
            <w:r>
              <w:rPr>
                <w:color w:val="auto"/>
              </w:rPr>
              <w:t>180</w:t>
            </w:r>
          </w:p>
        </w:tc>
        <w:tc>
          <w:tcPr>
            <w:tcW w:w="437" w:type="pct"/>
            <w:tcBorders>
              <w:tl2br w:val="nil"/>
              <w:tr2bl w:val="nil"/>
            </w:tcBorders>
            <w:noWrap w:val="0"/>
            <w:tcMar>
              <w:left w:w="28" w:type="dxa"/>
              <w:right w:w="28" w:type="dxa"/>
            </w:tcMar>
            <w:vAlign w:val="center"/>
          </w:tcPr>
          <w:p>
            <w:pPr>
              <w:pStyle w:val="35"/>
              <w:bidi w:val="0"/>
              <w:rPr>
                <w:color w:val="auto"/>
              </w:rPr>
            </w:pPr>
            <w:r>
              <w:rPr>
                <w:rFonts w:hint="eastAsia"/>
                <w:color w:val="auto"/>
              </w:rPr>
              <w:t>25</w:t>
            </w:r>
          </w:p>
        </w:tc>
        <w:tc>
          <w:tcPr>
            <w:tcW w:w="328" w:type="pct"/>
            <w:tcBorders>
              <w:tl2br w:val="nil"/>
              <w:tr2bl w:val="nil"/>
            </w:tcBorders>
            <w:noWrap w:val="0"/>
            <w:vAlign w:val="center"/>
          </w:tcPr>
          <w:p>
            <w:pPr>
              <w:pStyle w:val="35"/>
              <w:bidi w:val="0"/>
              <w:rPr>
                <w:color w:val="auto"/>
              </w:rPr>
            </w:pPr>
            <w:r>
              <w:rPr>
                <w:color w:val="auto"/>
              </w:rPr>
              <w:t>—</w:t>
            </w:r>
          </w:p>
        </w:tc>
        <w:tc>
          <w:tcPr>
            <w:tcW w:w="971" w:type="pct"/>
            <w:vMerge w:val="continue"/>
            <w:tcBorders>
              <w:tl2br w:val="nil"/>
              <w:tr2bl w:val="nil"/>
            </w:tcBorders>
            <w:noWrap w:val="0"/>
            <w:vAlign w:val="center"/>
          </w:tcPr>
          <w:p>
            <w:pPr>
              <w:pStyle w:val="35"/>
              <w:bidi w:val="0"/>
              <w:rPr>
                <w:color w:val="auto"/>
              </w:rPr>
            </w:pPr>
          </w:p>
        </w:tc>
      </w:tr>
      <w:tr>
        <w:trPr>
          <w:trHeight w:val="219" w:hRule="atLeast"/>
          <w:jc w:val="center"/>
        </w:trPr>
        <w:tc>
          <w:tcPr>
            <w:tcW w:w="307" w:type="pct"/>
            <w:vMerge w:val="continue"/>
            <w:tcBorders>
              <w:tl2br w:val="nil"/>
              <w:tr2bl w:val="nil"/>
            </w:tcBorders>
            <w:noWrap w:val="0"/>
            <w:tcMar>
              <w:left w:w="28" w:type="dxa"/>
              <w:right w:w="28" w:type="dxa"/>
            </w:tcMar>
            <w:vAlign w:val="center"/>
          </w:tcPr>
          <w:p>
            <w:pPr>
              <w:pStyle w:val="35"/>
              <w:bidi w:val="0"/>
              <w:rPr>
                <w:color w:val="auto"/>
              </w:rPr>
            </w:pPr>
          </w:p>
        </w:tc>
        <w:tc>
          <w:tcPr>
            <w:tcW w:w="950" w:type="pct"/>
            <w:tcBorders>
              <w:tl2br w:val="nil"/>
              <w:tr2bl w:val="nil"/>
            </w:tcBorders>
            <w:noWrap w:val="0"/>
            <w:vAlign w:val="center"/>
          </w:tcPr>
          <w:p>
            <w:pPr>
              <w:pStyle w:val="35"/>
              <w:bidi w:val="0"/>
              <w:rPr>
                <w:color w:val="auto"/>
              </w:rPr>
            </w:pPr>
            <w:r>
              <w:rPr>
                <w:rFonts w:hint="eastAsia"/>
                <w:color w:val="auto"/>
              </w:rPr>
              <w:t>水喷射泵排水</w:t>
            </w:r>
          </w:p>
        </w:tc>
        <w:tc>
          <w:tcPr>
            <w:tcW w:w="376" w:type="pct"/>
            <w:tcBorders>
              <w:tl2br w:val="nil"/>
              <w:tr2bl w:val="nil"/>
            </w:tcBorders>
            <w:noWrap w:val="0"/>
            <w:tcMar>
              <w:left w:w="28" w:type="dxa"/>
              <w:right w:w="28" w:type="dxa"/>
            </w:tcMar>
            <w:vAlign w:val="center"/>
          </w:tcPr>
          <w:p>
            <w:pPr>
              <w:pStyle w:val="35"/>
              <w:bidi w:val="0"/>
              <w:rPr>
                <w:rFonts w:hint="default"/>
                <w:color w:val="auto"/>
                <w:lang w:val="en-US" w:eastAsia="zh-CN"/>
              </w:rPr>
            </w:pPr>
            <w:r>
              <w:rPr>
                <w:rFonts w:hint="eastAsia"/>
                <w:color w:val="auto"/>
                <w:lang w:val="en-US" w:eastAsia="zh-CN"/>
              </w:rPr>
              <w:t>1.5</w:t>
            </w:r>
          </w:p>
        </w:tc>
        <w:tc>
          <w:tcPr>
            <w:tcW w:w="247" w:type="pct"/>
            <w:tcBorders>
              <w:tl2br w:val="nil"/>
              <w:tr2bl w:val="nil"/>
            </w:tcBorders>
            <w:noWrap w:val="0"/>
            <w:tcMar>
              <w:left w:w="28" w:type="dxa"/>
              <w:right w:w="28" w:type="dxa"/>
            </w:tcMar>
            <w:vAlign w:val="center"/>
          </w:tcPr>
          <w:p>
            <w:pPr>
              <w:pStyle w:val="35"/>
              <w:bidi w:val="0"/>
              <w:rPr>
                <w:color w:val="auto"/>
              </w:rPr>
            </w:pPr>
            <w:r>
              <w:rPr>
                <w:rFonts w:hint="eastAsia"/>
                <w:color w:val="auto"/>
              </w:rPr>
              <w:t>8</w:t>
            </w:r>
          </w:p>
        </w:tc>
        <w:tc>
          <w:tcPr>
            <w:tcW w:w="379" w:type="pct"/>
            <w:tcBorders>
              <w:tl2br w:val="nil"/>
              <w:tr2bl w:val="nil"/>
            </w:tcBorders>
            <w:noWrap w:val="0"/>
            <w:tcMar>
              <w:left w:w="28" w:type="dxa"/>
              <w:right w:w="28" w:type="dxa"/>
            </w:tcMar>
            <w:vAlign w:val="bottom"/>
          </w:tcPr>
          <w:p>
            <w:pPr>
              <w:pStyle w:val="35"/>
              <w:bidi w:val="0"/>
              <w:rPr>
                <w:color w:val="auto"/>
              </w:rPr>
            </w:pPr>
            <w:r>
              <w:rPr>
                <w:rFonts w:hint="eastAsia"/>
                <w:color w:val="auto"/>
              </w:rPr>
              <w:t>500</w:t>
            </w:r>
          </w:p>
        </w:tc>
        <w:tc>
          <w:tcPr>
            <w:tcW w:w="338" w:type="pct"/>
            <w:tcBorders>
              <w:tl2br w:val="nil"/>
              <w:tr2bl w:val="nil"/>
            </w:tcBorders>
            <w:noWrap w:val="0"/>
            <w:tcMar>
              <w:left w:w="28" w:type="dxa"/>
              <w:right w:w="28" w:type="dxa"/>
            </w:tcMar>
            <w:vAlign w:val="center"/>
          </w:tcPr>
          <w:p>
            <w:pPr>
              <w:pStyle w:val="35"/>
              <w:bidi w:val="0"/>
              <w:rPr>
                <w:color w:val="auto"/>
              </w:rPr>
            </w:pPr>
            <w:r>
              <w:rPr>
                <w:rFonts w:hint="eastAsia"/>
                <w:color w:val="auto"/>
              </w:rPr>
              <w:t>160</w:t>
            </w:r>
          </w:p>
        </w:tc>
        <w:tc>
          <w:tcPr>
            <w:tcW w:w="318" w:type="pct"/>
            <w:tcBorders>
              <w:tl2br w:val="nil"/>
              <w:tr2bl w:val="nil"/>
            </w:tcBorders>
            <w:noWrap w:val="0"/>
            <w:tcMar>
              <w:left w:w="28" w:type="dxa"/>
              <w:right w:w="28" w:type="dxa"/>
            </w:tcMar>
            <w:vAlign w:val="center"/>
          </w:tcPr>
          <w:p>
            <w:pPr>
              <w:pStyle w:val="35"/>
              <w:bidi w:val="0"/>
              <w:rPr>
                <w:color w:val="auto"/>
              </w:rPr>
            </w:pPr>
            <w:r>
              <w:rPr>
                <w:color w:val="auto"/>
              </w:rPr>
              <w:t>—</w:t>
            </w:r>
          </w:p>
        </w:tc>
        <w:tc>
          <w:tcPr>
            <w:tcW w:w="345" w:type="pct"/>
            <w:tcBorders>
              <w:tl2br w:val="nil"/>
              <w:tr2bl w:val="nil"/>
            </w:tcBorders>
            <w:noWrap w:val="0"/>
            <w:tcMar>
              <w:left w:w="28" w:type="dxa"/>
              <w:right w:w="28" w:type="dxa"/>
            </w:tcMar>
            <w:vAlign w:val="center"/>
          </w:tcPr>
          <w:p>
            <w:pPr>
              <w:pStyle w:val="35"/>
              <w:bidi w:val="0"/>
              <w:rPr>
                <w:color w:val="auto"/>
              </w:rPr>
            </w:pPr>
            <w:r>
              <w:rPr>
                <w:color w:val="auto"/>
              </w:rPr>
              <w:t>—</w:t>
            </w:r>
          </w:p>
        </w:tc>
        <w:tc>
          <w:tcPr>
            <w:tcW w:w="437" w:type="pct"/>
            <w:tcBorders>
              <w:tl2br w:val="nil"/>
              <w:tr2bl w:val="nil"/>
            </w:tcBorders>
            <w:noWrap w:val="0"/>
            <w:tcMar>
              <w:left w:w="28" w:type="dxa"/>
              <w:right w:w="28" w:type="dxa"/>
            </w:tcMar>
            <w:vAlign w:val="center"/>
          </w:tcPr>
          <w:p>
            <w:pPr>
              <w:pStyle w:val="35"/>
              <w:bidi w:val="0"/>
              <w:rPr>
                <w:color w:val="auto"/>
              </w:rPr>
            </w:pPr>
            <w:r>
              <w:rPr>
                <w:color w:val="auto"/>
              </w:rPr>
              <w:t>—</w:t>
            </w:r>
          </w:p>
        </w:tc>
        <w:tc>
          <w:tcPr>
            <w:tcW w:w="328" w:type="pct"/>
            <w:tcBorders>
              <w:tl2br w:val="nil"/>
              <w:tr2bl w:val="nil"/>
            </w:tcBorders>
            <w:noWrap w:val="0"/>
            <w:vAlign w:val="center"/>
          </w:tcPr>
          <w:p>
            <w:pPr>
              <w:pStyle w:val="35"/>
              <w:bidi w:val="0"/>
              <w:rPr>
                <w:color w:val="auto"/>
              </w:rPr>
            </w:pPr>
            <w:r>
              <w:rPr>
                <w:rFonts w:hint="eastAsia"/>
                <w:color w:val="auto"/>
              </w:rPr>
              <w:t>2</w:t>
            </w:r>
          </w:p>
        </w:tc>
        <w:tc>
          <w:tcPr>
            <w:tcW w:w="971" w:type="pct"/>
            <w:vMerge w:val="continue"/>
            <w:tcBorders>
              <w:tl2br w:val="nil"/>
              <w:tr2bl w:val="nil"/>
            </w:tcBorders>
            <w:noWrap w:val="0"/>
            <w:vAlign w:val="center"/>
          </w:tcPr>
          <w:p>
            <w:pPr>
              <w:pStyle w:val="35"/>
              <w:bidi w:val="0"/>
              <w:rPr>
                <w:color w:val="auto"/>
              </w:rPr>
            </w:pPr>
          </w:p>
        </w:tc>
      </w:tr>
      <w:tr>
        <w:trPr>
          <w:trHeight w:val="125" w:hRule="atLeast"/>
          <w:jc w:val="center"/>
        </w:trPr>
        <w:tc>
          <w:tcPr>
            <w:tcW w:w="307" w:type="pct"/>
            <w:vMerge w:val="continue"/>
            <w:tcBorders>
              <w:tl2br w:val="nil"/>
              <w:tr2bl w:val="nil"/>
            </w:tcBorders>
            <w:noWrap w:val="0"/>
            <w:tcMar>
              <w:left w:w="28" w:type="dxa"/>
              <w:right w:w="28" w:type="dxa"/>
            </w:tcMar>
            <w:vAlign w:val="center"/>
          </w:tcPr>
          <w:p>
            <w:pPr>
              <w:pStyle w:val="35"/>
              <w:bidi w:val="0"/>
              <w:rPr>
                <w:color w:val="auto"/>
              </w:rPr>
            </w:pPr>
          </w:p>
        </w:tc>
        <w:tc>
          <w:tcPr>
            <w:tcW w:w="950" w:type="pct"/>
            <w:tcBorders>
              <w:tl2br w:val="nil"/>
              <w:tr2bl w:val="nil"/>
            </w:tcBorders>
            <w:noWrap w:val="0"/>
            <w:vAlign w:val="center"/>
          </w:tcPr>
          <w:p>
            <w:pPr>
              <w:pStyle w:val="35"/>
              <w:bidi w:val="0"/>
              <w:rPr>
                <w:color w:val="auto"/>
              </w:rPr>
            </w:pPr>
            <w:r>
              <w:rPr>
                <w:rFonts w:hint="eastAsia"/>
                <w:color w:val="auto"/>
              </w:rPr>
              <w:t>碱液喷淋设施</w:t>
            </w:r>
          </w:p>
        </w:tc>
        <w:tc>
          <w:tcPr>
            <w:tcW w:w="376" w:type="pct"/>
            <w:tcBorders>
              <w:tl2br w:val="nil"/>
              <w:tr2bl w:val="nil"/>
            </w:tcBorders>
            <w:noWrap w:val="0"/>
            <w:tcMar>
              <w:left w:w="28" w:type="dxa"/>
              <w:right w:w="28" w:type="dxa"/>
            </w:tcMar>
            <w:vAlign w:val="center"/>
          </w:tcPr>
          <w:p>
            <w:pPr>
              <w:pStyle w:val="35"/>
              <w:bidi w:val="0"/>
              <w:rPr>
                <w:rFonts w:hint="default"/>
                <w:color w:val="auto"/>
                <w:lang w:val="en-US" w:eastAsia="zh-CN"/>
              </w:rPr>
            </w:pPr>
            <w:r>
              <w:rPr>
                <w:rFonts w:hint="eastAsia"/>
                <w:color w:val="auto"/>
                <w:lang w:val="en-US" w:eastAsia="zh-CN"/>
              </w:rPr>
              <w:t>0.8</w:t>
            </w:r>
          </w:p>
        </w:tc>
        <w:tc>
          <w:tcPr>
            <w:tcW w:w="247" w:type="pct"/>
            <w:tcBorders>
              <w:tl2br w:val="nil"/>
              <w:tr2bl w:val="nil"/>
            </w:tcBorders>
            <w:noWrap w:val="0"/>
            <w:tcMar>
              <w:left w:w="28" w:type="dxa"/>
              <w:right w:w="28" w:type="dxa"/>
            </w:tcMar>
            <w:vAlign w:val="center"/>
          </w:tcPr>
          <w:p>
            <w:pPr>
              <w:pStyle w:val="35"/>
              <w:bidi w:val="0"/>
              <w:rPr>
                <w:color w:val="auto"/>
              </w:rPr>
            </w:pPr>
            <w:r>
              <w:rPr>
                <w:rFonts w:hint="eastAsia"/>
                <w:color w:val="auto"/>
              </w:rPr>
              <w:t>9</w:t>
            </w:r>
          </w:p>
        </w:tc>
        <w:tc>
          <w:tcPr>
            <w:tcW w:w="379" w:type="pct"/>
            <w:tcBorders>
              <w:tl2br w:val="nil"/>
              <w:tr2bl w:val="nil"/>
            </w:tcBorders>
            <w:noWrap w:val="0"/>
            <w:tcMar>
              <w:left w:w="28" w:type="dxa"/>
              <w:right w:w="28" w:type="dxa"/>
            </w:tcMar>
            <w:vAlign w:val="bottom"/>
          </w:tcPr>
          <w:p>
            <w:pPr>
              <w:pStyle w:val="35"/>
              <w:bidi w:val="0"/>
              <w:rPr>
                <w:color w:val="auto"/>
              </w:rPr>
            </w:pPr>
            <w:r>
              <w:rPr>
                <w:rFonts w:hint="eastAsia"/>
                <w:color w:val="auto"/>
              </w:rPr>
              <w:t>300</w:t>
            </w:r>
          </w:p>
        </w:tc>
        <w:tc>
          <w:tcPr>
            <w:tcW w:w="338" w:type="pct"/>
            <w:tcBorders>
              <w:tl2br w:val="nil"/>
              <w:tr2bl w:val="nil"/>
            </w:tcBorders>
            <w:noWrap w:val="0"/>
            <w:tcMar>
              <w:left w:w="28" w:type="dxa"/>
              <w:right w:w="28" w:type="dxa"/>
            </w:tcMar>
            <w:vAlign w:val="center"/>
          </w:tcPr>
          <w:p>
            <w:pPr>
              <w:pStyle w:val="35"/>
              <w:bidi w:val="0"/>
              <w:rPr>
                <w:color w:val="auto"/>
              </w:rPr>
            </w:pPr>
            <w:r>
              <w:rPr>
                <w:rFonts w:hint="eastAsia"/>
                <w:color w:val="auto"/>
              </w:rPr>
              <w:t>210</w:t>
            </w:r>
          </w:p>
        </w:tc>
        <w:tc>
          <w:tcPr>
            <w:tcW w:w="318" w:type="pct"/>
            <w:tcBorders>
              <w:tl2br w:val="nil"/>
              <w:tr2bl w:val="nil"/>
            </w:tcBorders>
            <w:noWrap w:val="0"/>
            <w:tcMar>
              <w:left w:w="28" w:type="dxa"/>
              <w:right w:w="28" w:type="dxa"/>
            </w:tcMar>
            <w:vAlign w:val="center"/>
          </w:tcPr>
          <w:p>
            <w:pPr>
              <w:pStyle w:val="35"/>
              <w:bidi w:val="0"/>
              <w:rPr>
                <w:color w:val="auto"/>
              </w:rPr>
            </w:pPr>
            <w:r>
              <w:rPr>
                <w:color w:val="auto"/>
              </w:rPr>
              <w:t>—</w:t>
            </w:r>
          </w:p>
        </w:tc>
        <w:tc>
          <w:tcPr>
            <w:tcW w:w="345" w:type="pct"/>
            <w:tcBorders>
              <w:tl2br w:val="nil"/>
              <w:tr2bl w:val="nil"/>
            </w:tcBorders>
            <w:noWrap w:val="0"/>
            <w:tcMar>
              <w:left w:w="28" w:type="dxa"/>
              <w:right w:w="28" w:type="dxa"/>
            </w:tcMar>
            <w:vAlign w:val="center"/>
          </w:tcPr>
          <w:p>
            <w:pPr>
              <w:pStyle w:val="35"/>
              <w:bidi w:val="0"/>
              <w:rPr>
                <w:color w:val="auto"/>
              </w:rPr>
            </w:pPr>
            <w:r>
              <w:rPr>
                <w:color w:val="auto"/>
              </w:rPr>
              <w:t>—</w:t>
            </w:r>
          </w:p>
        </w:tc>
        <w:tc>
          <w:tcPr>
            <w:tcW w:w="437" w:type="pct"/>
            <w:tcBorders>
              <w:tl2br w:val="nil"/>
              <w:tr2bl w:val="nil"/>
            </w:tcBorders>
            <w:noWrap w:val="0"/>
            <w:tcMar>
              <w:left w:w="28" w:type="dxa"/>
              <w:right w:w="28" w:type="dxa"/>
            </w:tcMar>
            <w:vAlign w:val="center"/>
          </w:tcPr>
          <w:p>
            <w:pPr>
              <w:pStyle w:val="35"/>
              <w:bidi w:val="0"/>
              <w:rPr>
                <w:color w:val="auto"/>
              </w:rPr>
            </w:pPr>
            <w:r>
              <w:rPr>
                <w:color w:val="auto"/>
              </w:rPr>
              <w:t>—</w:t>
            </w:r>
          </w:p>
        </w:tc>
        <w:tc>
          <w:tcPr>
            <w:tcW w:w="328" w:type="pct"/>
            <w:tcBorders>
              <w:tl2br w:val="nil"/>
              <w:tr2bl w:val="nil"/>
            </w:tcBorders>
            <w:noWrap w:val="0"/>
            <w:vAlign w:val="center"/>
          </w:tcPr>
          <w:p>
            <w:pPr>
              <w:pStyle w:val="35"/>
              <w:bidi w:val="0"/>
              <w:rPr>
                <w:color w:val="auto"/>
              </w:rPr>
            </w:pPr>
            <w:r>
              <w:rPr>
                <w:rFonts w:hint="eastAsia"/>
                <w:color w:val="auto"/>
              </w:rPr>
              <w:t>1</w:t>
            </w:r>
          </w:p>
        </w:tc>
        <w:tc>
          <w:tcPr>
            <w:tcW w:w="971" w:type="pct"/>
            <w:vMerge w:val="continue"/>
            <w:tcBorders>
              <w:tl2br w:val="nil"/>
              <w:tr2bl w:val="nil"/>
            </w:tcBorders>
            <w:noWrap w:val="0"/>
            <w:vAlign w:val="center"/>
          </w:tcPr>
          <w:p>
            <w:pPr>
              <w:pStyle w:val="35"/>
              <w:bidi w:val="0"/>
              <w:rPr>
                <w:color w:val="auto"/>
              </w:rPr>
            </w:pPr>
          </w:p>
        </w:tc>
      </w:tr>
      <w:tr>
        <w:trPr>
          <w:trHeight w:val="222" w:hRule="atLeast"/>
          <w:jc w:val="center"/>
        </w:trPr>
        <w:tc>
          <w:tcPr>
            <w:tcW w:w="307" w:type="pct"/>
            <w:vMerge w:val="continue"/>
            <w:tcBorders>
              <w:tl2br w:val="nil"/>
              <w:tr2bl w:val="nil"/>
            </w:tcBorders>
            <w:noWrap w:val="0"/>
            <w:tcMar>
              <w:left w:w="28" w:type="dxa"/>
              <w:right w:w="28" w:type="dxa"/>
            </w:tcMar>
            <w:vAlign w:val="center"/>
          </w:tcPr>
          <w:p>
            <w:pPr>
              <w:pStyle w:val="35"/>
              <w:bidi w:val="0"/>
              <w:rPr>
                <w:color w:val="auto"/>
              </w:rPr>
            </w:pPr>
          </w:p>
        </w:tc>
        <w:tc>
          <w:tcPr>
            <w:tcW w:w="950" w:type="pct"/>
            <w:tcBorders>
              <w:tl2br w:val="nil"/>
              <w:tr2bl w:val="nil"/>
            </w:tcBorders>
            <w:noWrap w:val="0"/>
            <w:vAlign w:val="center"/>
          </w:tcPr>
          <w:p>
            <w:pPr>
              <w:pStyle w:val="35"/>
              <w:bidi w:val="0"/>
              <w:rPr>
                <w:color w:val="auto"/>
              </w:rPr>
            </w:pPr>
            <w:r>
              <w:rPr>
                <w:rFonts w:hint="eastAsia"/>
                <w:color w:val="auto"/>
              </w:rPr>
              <w:t>初期雨水15min</w:t>
            </w:r>
          </w:p>
        </w:tc>
        <w:tc>
          <w:tcPr>
            <w:tcW w:w="376" w:type="pct"/>
            <w:tcBorders>
              <w:tl2br w:val="nil"/>
              <w:tr2bl w:val="nil"/>
            </w:tcBorders>
            <w:noWrap w:val="0"/>
            <w:tcMar>
              <w:left w:w="28" w:type="dxa"/>
              <w:right w:w="28" w:type="dxa"/>
            </w:tcMar>
            <w:vAlign w:val="center"/>
          </w:tcPr>
          <w:p>
            <w:pPr>
              <w:pStyle w:val="35"/>
              <w:bidi w:val="0"/>
              <w:rPr>
                <w:color w:val="auto"/>
              </w:rPr>
            </w:pPr>
            <w:r>
              <w:rPr>
                <w:rFonts w:hint="eastAsia"/>
                <w:color w:val="auto"/>
              </w:rPr>
              <w:t>93.87</w:t>
            </w:r>
          </w:p>
        </w:tc>
        <w:tc>
          <w:tcPr>
            <w:tcW w:w="247" w:type="pct"/>
            <w:tcBorders>
              <w:tl2br w:val="nil"/>
              <w:tr2bl w:val="nil"/>
            </w:tcBorders>
            <w:noWrap w:val="0"/>
            <w:tcMar>
              <w:left w:w="28" w:type="dxa"/>
              <w:right w:w="28" w:type="dxa"/>
            </w:tcMar>
            <w:vAlign w:val="center"/>
          </w:tcPr>
          <w:p>
            <w:pPr>
              <w:pStyle w:val="35"/>
              <w:bidi w:val="0"/>
              <w:rPr>
                <w:color w:val="auto"/>
              </w:rPr>
            </w:pPr>
            <w:r>
              <w:rPr>
                <w:rFonts w:hint="eastAsia"/>
                <w:color w:val="auto"/>
              </w:rPr>
              <w:t>7.8</w:t>
            </w:r>
          </w:p>
        </w:tc>
        <w:tc>
          <w:tcPr>
            <w:tcW w:w="379" w:type="pct"/>
            <w:tcBorders>
              <w:tl2br w:val="nil"/>
              <w:tr2bl w:val="nil"/>
            </w:tcBorders>
            <w:noWrap w:val="0"/>
            <w:tcMar>
              <w:left w:w="28" w:type="dxa"/>
              <w:right w:w="28" w:type="dxa"/>
            </w:tcMar>
            <w:vAlign w:val="bottom"/>
          </w:tcPr>
          <w:p>
            <w:pPr>
              <w:pStyle w:val="35"/>
              <w:bidi w:val="0"/>
              <w:rPr>
                <w:color w:val="auto"/>
              </w:rPr>
            </w:pPr>
            <w:r>
              <w:rPr>
                <w:rFonts w:hint="eastAsia"/>
                <w:color w:val="auto"/>
              </w:rPr>
              <w:t>300</w:t>
            </w:r>
            <w:r>
              <w:rPr>
                <w:color w:val="auto"/>
              </w:rPr>
              <w:t xml:space="preserve"> </w:t>
            </w:r>
          </w:p>
        </w:tc>
        <w:tc>
          <w:tcPr>
            <w:tcW w:w="338" w:type="pct"/>
            <w:tcBorders>
              <w:tl2br w:val="nil"/>
              <w:tr2bl w:val="nil"/>
            </w:tcBorders>
            <w:noWrap w:val="0"/>
            <w:tcMar>
              <w:left w:w="28" w:type="dxa"/>
              <w:right w:w="28" w:type="dxa"/>
            </w:tcMar>
            <w:vAlign w:val="center"/>
          </w:tcPr>
          <w:p>
            <w:pPr>
              <w:pStyle w:val="35"/>
              <w:bidi w:val="0"/>
              <w:rPr>
                <w:color w:val="auto"/>
              </w:rPr>
            </w:pPr>
            <w:r>
              <w:rPr>
                <w:rFonts w:hint="eastAsia"/>
                <w:color w:val="auto"/>
              </w:rPr>
              <w:t>450</w:t>
            </w:r>
          </w:p>
        </w:tc>
        <w:tc>
          <w:tcPr>
            <w:tcW w:w="318" w:type="pct"/>
            <w:tcBorders>
              <w:tl2br w:val="nil"/>
              <w:tr2bl w:val="nil"/>
            </w:tcBorders>
            <w:noWrap w:val="0"/>
            <w:tcMar>
              <w:left w:w="28" w:type="dxa"/>
              <w:right w:w="28" w:type="dxa"/>
            </w:tcMar>
            <w:vAlign w:val="center"/>
          </w:tcPr>
          <w:p>
            <w:pPr>
              <w:pStyle w:val="35"/>
              <w:bidi w:val="0"/>
              <w:rPr>
                <w:color w:val="auto"/>
              </w:rPr>
            </w:pPr>
            <w:r>
              <w:rPr>
                <w:rFonts w:hint="eastAsia"/>
                <w:color w:val="auto"/>
              </w:rPr>
              <w:t>65</w:t>
            </w:r>
          </w:p>
        </w:tc>
        <w:tc>
          <w:tcPr>
            <w:tcW w:w="345" w:type="pct"/>
            <w:tcBorders>
              <w:tl2br w:val="nil"/>
              <w:tr2bl w:val="nil"/>
            </w:tcBorders>
            <w:noWrap w:val="0"/>
            <w:tcMar>
              <w:left w:w="28" w:type="dxa"/>
              <w:right w:w="28" w:type="dxa"/>
            </w:tcMar>
            <w:vAlign w:val="center"/>
          </w:tcPr>
          <w:p>
            <w:pPr>
              <w:pStyle w:val="35"/>
              <w:bidi w:val="0"/>
              <w:rPr>
                <w:color w:val="auto"/>
              </w:rPr>
            </w:pPr>
            <w:r>
              <w:rPr>
                <w:rFonts w:hint="eastAsia"/>
                <w:color w:val="auto"/>
              </w:rPr>
              <w:t>100</w:t>
            </w:r>
          </w:p>
        </w:tc>
        <w:tc>
          <w:tcPr>
            <w:tcW w:w="437" w:type="pct"/>
            <w:tcBorders>
              <w:tl2br w:val="nil"/>
              <w:tr2bl w:val="nil"/>
            </w:tcBorders>
            <w:noWrap w:val="0"/>
            <w:tcMar>
              <w:left w:w="28" w:type="dxa"/>
              <w:right w:w="28" w:type="dxa"/>
            </w:tcMar>
            <w:vAlign w:val="center"/>
          </w:tcPr>
          <w:p>
            <w:pPr>
              <w:pStyle w:val="35"/>
              <w:bidi w:val="0"/>
              <w:rPr>
                <w:color w:val="auto"/>
              </w:rPr>
            </w:pPr>
            <w:r>
              <w:rPr>
                <w:rFonts w:hint="eastAsia"/>
                <w:color w:val="auto"/>
              </w:rPr>
              <w:t>35</w:t>
            </w:r>
          </w:p>
        </w:tc>
        <w:tc>
          <w:tcPr>
            <w:tcW w:w="328" w:type="pct"/>
            <w:tcBorders>
              <w:tl2br w:val="nil"/>
              <w:tr2bl w:val="nil"/>
            </w:tcBorders>
            <w:noWrap w:val="0"/>
            <w:vAlign w:val="center"/>
          </w:tcPr>
          <w:p>
            <w:pPr>
              <w:pStyle w:val="35"/>
              <w:bidi w:val="0"/>
              <w:rPr>
                <w:color w:val="auto"/>
              </w:rPr>
            </w:pPr>
          </w:p>
        </w:tc>
        <w:tc>
          <w:tcPr>
            <w:tcW w:w="971" w:type="pct"/>
            <w:vMerge w:val="continue"/>
            <w:tcBorders>
              <w:tl2br w:val="nil"/>
              <w:tr2bl w:val="nil"/>
            </w:tcBorders>
            <w:noWrap w:val="0"/>
            <w:vAlign w:val="center"/>
          </w:tcPr>
          <w:p>
            <w:pPr>
              <w:pStyle w:val="35"/>
              <w:bidi w:val="0"/>
              <w:rPr>
                <w:color w:val="auto"/>
              </w:rPr>
            </w:pPr>
          </w:p>
        </w:tc>
      </w:tr>
      <w:tr>
        <w:trPr>
          <w:trHeight w:val="148" w:hRule="atLeast"/>
          <w:jc w:val="center"/>
        </w:trPr>
        <w:tc>
          <w:tcPr>
            <w:tcW w:w="307" w:type="pct"/>
            <w:vMerge w:val="continue"/>
            <w:tcBorders>
              <w:tl2br w:val="nil"/>
              <w:tr2bl w:val="nil"/>
            </w:tcBorders>
            <w:noWrap w:val="0"/>
            <w:tcMar>
              <w:left w:w="28" w:type="dxa"/>
              <w:right w:w="28" w:type="dxa"/>
            </w:tcMar>
            <w:vAlign w:val="center"/>
          </w:tcPr>
          <w:p>
            <w:pPr>
              <w:pStyle w:val="35"/>
              <w:bidi w:val="0"/>
              <w:rPr>
                <w:color w:val="auto"/>
              </w:rPr>
            </w:pPr>
          </w:p>
        </w:tc>
        <w:tc>
          <w:tcPr>
            <w:tcW w:w="950"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循环冷却水</w:t>
            </w:r>
          </w:p>
        </w:tc>
        <w:tc>
          <w:tcPr>
            <w:tcW w:w="376" w:type="pct"/>
            <w:tcBorders>
              <w:tl2br w:val="nil"/>
              <w:tr2bl w:val="nil"/>
            </w:tcBorders>
            <w:noWrap w:val="0"/>
            <w:tcMar>
              <w:left w:w="28" w:type="dxa"/>
              <w:right w:w="28" w:type="dxa"/>
            </w:tcMar>
            <w:vAlign w:val="center"/>
          </w:tcPr>
          <w:p>
            <w:pPr>
              <w:pStyle w:val="35"/>
              <w:bidi w:val="0"/>
              <w:rPr>
                <w:rFonts w:hint="default"/>
                <w:color w:val="auto"/>
                <w:lang w:val="en-US" w:eastAsia="zh-CN"/>
              </w:rPr>
            </w:pPr>
            <w:r>
              <w:rPr>
                <w:rFonts w:hint="eastAsia"/>
                <w:color w:val="auto"/>
                <w:lang w:val="en-US" w:eastAsia="zh-CN"/>
              </w:rPr>
              <w:t>4.32</w:t>
            </w:r>
          </w:p>
        </w:tc>
        <w:tc>
          <w:tcPr>
            <w:tcW w:w="247" w:type="pct"/>
            <w:tcBorders>
              <w:tl2br w:val="nil"/>
              <w:tr2bl w:val="nil"/>
            </w:tcBorders>
            <w:noWrap w:val="0"/>
            <w:tcMar>
              <w:left w:w="28" w:type="dxa"/>
              <w:right w:w="28" w:type="dxa"/>
            </w:tcMar>
            <w:vAlign w:val="center"/>
          </w:tcPr>
          <w:p>
            <w:pPr>
              <w:pStyle w:val="35"/>
              <w:bidi w:val="0"/>
              <w:rPr>
                <w:rFonts w:hint="eastAsia"/>
                <w:color w:val="auto"/>
                <w:lang w:val="en-US" w:eastAsia="zh-CN"/>
              </w:rPr>
            </w:pPr>
            <w:r>
              <w:rPr>
                <w:rFonts w:hint="eastAsia"/>
                <w:color w:val="auto"/>
                <w:lang w:val="en-US" w:eastAsia="zh-CN"/>
              </w:rPr>
              <w:t>8</w:t>
            </w:r>
          </w:p>
        </w:tc>
        <w:tc>
          <w:tcPr>
            <w:tcW w:w="379" w:type="pct"/>
            <w:tcBorders>
              <w:tl2br w:val="nil"/>
              <w:tr2bl w:val="nil"/>
            </w:tcBorders>
            <w:noWrap w:val="0"/>
            <w:tcMar>
              <w:left w:w="28" w:type="dxa"/>
              <w:right w:w="28" w:type="dxa"/>
            </w:tcMar>
            <w:vAlign w:val="bottom"/>
          </w:tcPr>
          <w:p>
            <w:pPr>
              <w:pStyle w:val="35"/>
              <w:bidi w:val="0"/>
              <w:rPr>
                <w:rFonts w:hint="eastAsia"/>
                <w:color w:val="auto"/>
                <w:lang w:val="en-US" w:eastAsia="zh-CN"/>
              </w:rPr>
            </w:pPr>
            <w:r>
              <w:rPr>
                <w:rFonts w:hint="eastAsia"/>
                <w:color w:val="auto"/>
                <w:lang w:val="en-US" w:eastAsia="zh-CN"/>
              </w:rPr>
              <w:t>80</w:t>
            </w:r>
          </w:p>
        </w:tc>
        <w:tc>
          <w:tcPr>
            <w:tcW w:w="338" w:type="pct"/>
            <w:tcBorders>
              <w:tl2br w:val="nil"/>
              <w:tr2bl w:val="nil"/>
            </w:tcBorders>
            <w:noWrap w:val="0"/>
            <w:tcMar>
              <w:left w:w="28" w:type="dxa"/>
              <w:right w:w="28" w:type="dxa"/>
            </w:tcMar>
            <w:vAlign w:val="center"/>
          </w:tcPr>
          <w:p>
            <w:pPr>
              <w:pStyle w:val="35"/>
              <w:bidi w:val="0"/>
              <w:rPr>
                <w:rFonts w:hint="eastAsia"/>
                <w:color w:val="auto"/>
                <w:lang w:val="en-US" w:eastAsia="zh-CN"/>
              </w:rPr>
            </w:pPr>
            <w:r>
              <w:rPr>
                <w:rFonts w:hint="eastAsia"/>
                <w:color w:val="auto"/>
                <w:lang w:val="en-US" w:eastAsia="zh-CN"/>
              </w:rPr>
              <w:t>20</w:t>
            </w:r>
          </w:p>
        </w:tc>
        <w:tc>
          <w:tcPr>
            <w:tcW w:w="318" w:type="pct"/>
            <w:tcBorders>
              <w:tl2br w:val="nil"/>
              <w:tr2bl w:val="nil"/>
            </w:tcBorders>
            <w:noWrap w:val="0"/>
            <w:tcMar>
              <w:left w:w="28" w:type="dxa"/>
              <w:right w:w="28" w:type="dxa"/>
            </w:tcMar>
            <w:vAlign w:val="center"/>
          </w:tcPr>
          <w:p>
            <w:pPr>
              <w:pStyle w:val="35"/>
              <w:bidi w:val="0"/>
              <w:rPr>
                <w:rFonts w:hint="eastAsia"/>
                <w:color w:val="auto"/>
              </w:rPr>
            </w:pPr>
            <w:r>
              <w:rPr>
                <w:color w:val="auto"/>
              </w:rPr>
              <w:t>—</w:t>
            </w:r>
          </w:p>
        </w:tc>
        <w:tc>
          <w:tcPr>
            <w:tcW w:w="345" w:type="pct"/>
            <w:tcBorders>
              <w:tl2br w:val="nil"/>
              <w:tr2bl w:val="nil"/>
            </w:tcBorders>
            <w:noWrap w:val="0"/>
            <w:tcMar>
              <w:left w:w="28" w:type="dxa"/>
              <w:right w:w="28" w:type="dxa"/>
            </w:tcMar>
            <w:vAlign w:val="center"/>
          </w:tcPr>
          <w:p>
            <w:pPr>
              <w:pStyle w:val="35"/>
              <w:bidi w:val="0"/>
              <w:rPr>
                <w:rFonts w:hint="eastAsia"/>
                <w:color w:val="auto"/>
              </w:rPr>
            </w:pPr>
            <w:r>
              <w:rPr>
                <w:color w:val="auto"/>
              </w:rPr>
              <w:t>—</w:t>
            </w:r>
          </w:p>
        </w:tc>
        <w:tc>
          <w:tcPr>
            <w:tcW w:w="437" w:type="pct"/>
            <w:tcBorders>
              <w:tl2br w:val="nil"/>
              <w:tr2bl w:val="nil"/>
            </w:tcBorders>
            <w:noWrap w:val="0"/>
            <w:tcMar>
              <w:left w:w="28" w:type="dxa"/>
              <w:right w:w="28" w:type="dxa"/>
            </w:tcMar>
            <w:vAlign w:val="center"/>
          </w:tcPr>
          <w:p>
            <w:pPr>
              <w:pStyle w:val="35"/>
              <w:bidi w:val="0"/>
              <w:rPr>
                <w:rFonts w:hint="eastAsia"/>
                <w:color w:val="auto"/>
              </w:rPr>
            </w:pPr>
            <w:r>
              <w:rPr>
                <w:color w:val="auto"/>
              </w:rPr>
              <w:t>—</w:t>
            </w:r>
          </w:p>
        </w:tc>
        <w:tc>
          <w:tcPr>
            <w:tcW w:w="328" w:type="pct"/>
            <w:tcBorders>
              <w:tl2br w:val="nil"/>
              <w:tr2bl w:val="nil"/>
            </w:tcBorders>
            <w:noWrap w:val="0"/>
            <w:vAlign w:val="center"/>
          </w:tcPr>
          <w:p>
            <w:pPr>
              <w:pStyle w:val="35"/>
              <w:bidi w:val="0"/>
              <w:rPr>
                <w:color w:val="auto"/>
              </w:rPr>
            </w:pPr>
            <w:r>
              <w:rPr>
                <w:color w:val="auto"/>
              </w:rPr>
              <w:t>—</w:t>
            </w:r>
          </w:p>
        </w:tc>
        <w:tc>
          <w:tcPr>
            <w:tcW w:w="971" w:type="pct"/>
            <w:vMerge w:val="continue"/>
            <w:tcBorders>
              <w:tl2br w:val="nil"/>
              <w:tr2bl w:val="nil"/>
            </w:tcBorders>
            <w:noWrap w:val="0"/>
            <w:vAlign w:val="center"/>
          </w:tcPr>
          <w:p>
            <w:pPr>
              <w:pStyle w:val="35"/>
              <w:bidi w:val="0"/>
              <w:rPr>
                <w:color w:val="auto"/>
              </w:rPr>
            </w:pPr>
          </w:p>
        </w:tc>
      </w:tr>
      <w:tr>
        <w:trPr>
          <w:trHeight w:val="110" w:hRule="atLeast"/>
          <w:jc w:val="center"/>
        </w:trPr>
        <w:tc>
          <w:tcPr>
            <w:tcW w:w="1258" w:type="pct"/>
            <w:gridSpan w:val="2"/>
            <w:tcBorders>
              <w:tl2br w:val="nil"/>
              <w:tr2bl w:val="nil"/>
            </w:tcBorders>
            <w:noWrap w:val="0"/>
            <w:tcMar>
              <w:left w:w="28" w:type="dxa"/>
              <w:right w:w="28" w:type="dxa"/>
            </w:tcMar>
            <w:vAlign w:val="center"/>
          </w:tcPr>
          <w:p>
            <w:pPr>
              <w:pStyle w:val="35"/>
              <w:bidi w:val="0"/>
              <w:rPr>
                <w:color w:val="auto"/>
              </w:rPr>
            </w:pPr>
            <w:r>
              <w:rPr>
                <w:rFonts w:hint="eastAsia"/>
                <w:color w:val="auto"/>
              </w:rPr>
              <w:t>混合废水合计</w:t>
            </w:r>
          </w:p>
        </w:tc>
        <w:tc>
          <w:tcPr>
            <w:tcW w:w="376" w:type="pct"/>
            <w:tcBorders>
              <w:tl2br w:val="nil"/>
              <w:tr2bl w:val="nil"/>
            </w:tcBorders>
            <w:noWrap w:val="0"/>
            <w:tcMar>
              <w:left w:w="28" w:type="dxa"/>
              <w:right w:w="28" w:type="dxa"/>
            </w:tcMar>
            <w:vAlign w:val="center"/>
          </w:tcPr>
          <w:p>
            <w:pPr>
              <w:pStyle w:val="35"/>
              <w:bidi w:val="0"/>
              <w:rPr>
                <w:rFonts w:hint="default"/>
                <w:color w:val="auto"/>
                <w:lang w:val="en-US" w:eastAsia="zh-CN"/>
              </w:rPr>
            </w:pPr>
            <w:r>
              <w:rPr>
                <w:rFonts w:hint="eastAsia"/>
                <w:color w:val="auto"/>
                <w:lang w:val="en-US" w:eastAsia="zh-CN"/>
              </w:rPr>
              <w:t>14.77</w:t>
            </w:r>
          </w:p>
        </w:tc>
        <w:tc>
          <w:tcPr>
            <w:tcW w:w="247" w:type="pct"/>
            <w:tcBorders>
              <w:tl2br w:val="nil"/>
              <w:tr2bl w:val="nil"/>
            </w:tcBorders>
            <w:noWrap w:val="0"/>
            <w:tcMar>
              <w:left w:w="28" w:type="dxa"/>
              <w:right w:w="28" w:type="dxa"/>
            </w:tcMar>
            <w:vAlign w:val="center"/>
          </w:tcPr>
          <w:p>
            <w:pPr>
              <w:pStyle w:val="35"/>
              <w:bidi w:val="0"/>
              <w:rPr>
                <w:color w:val="auto"/>
              </w:rPr>
            </w:pPr>
            <w:r>
              <w:rPr>
                <w:rFonts w:hint="eastAsia"/>
                <w:color w:val="auto"/>
              </w:rPr>
              <w:t>7.8</w:t>
            </w:r>
          </w:p>
        </w:tc>
        <w:tc>
          <w:tcPr>
            <w:tcW w:w="379" w:type="pct"/>
            <w:tcBorders>
              <w:tl2br w:val="nil"/>
              <w:tr2bl w:val="nil"/>
            </w:tcBorders>
            <w:noWrap w:val="0"/>
            <w:tcMar>
              <w:left w:w="28" w:type="dxa"/>
              <w:right w:w="28" w:type="dxa"/>
            </w:tcMar>
            <w:vAlign w:val="bottom"/>
          </w:tcPr>
          <w:p>
            <w:pPr>
              <w:pStyle w:val="35"/>
              <w:bidi w:val="0"/>
              <w:rPr>
                <w:rFonts w:hint="default"/>
                <w:color w:val="auto"/>
                <w:lang w:val="en-US" w:eastAsia="zh-CN"/>
              </w:rPr>
            </w:pPr>
            <w:r>
              <w:rPr>
                <w:rFonts w:hint="eastAsia"/>
                <w:color w:val="auto"/>
                <w:lang w:val="en-US" w:eastAsia="zh-CN"/>
              </w:rPr>
              <w:t>413</w:t>
            </w:r>
          </w:p>
        </w:tc>
        <w:tc>
          <w:tcPr>
            <w:tcW w:w="338" w:type="pct"/>
            <w:tcBorders>
              <w:tl2br w:val="nil"/>
              <w:tr2bl w:val="nil"/>
            </w:tcBorders>
            <w:noWrap w:val="0"/>
            <w:tcMar>
              <w:left w:w="28" w:type="dxa"/>
              <w:right w:w="28" w:type="dxa"/>
            </w:tcMar>
            <w:vAlign w:val="center"/>
          </w:tcPr>
          <w:p>
            <w:pPr>
              <w:pStyle w:val="35"/>
              <w:bidi w:val="0"/>
              <w:rPr>
                <w:color w:val="auto"/>
              </w:rPr>
            </w:pPr>
            <w:r>
              <w:rPr>
                <w:rFonts w:hint="eastAsia"/>
                <w:color w:val="auto"/>
              </w:rPr>
              <w:t>231</w:t>
            </w:r>
          </w:p>
        </w:tc>
        <w:tc>
          <w:tcPr>
            <w:tcW w:w="318" w:type="pct"/>
            <w:tcBorders>
              <w:tl2br w:val="nil"/>
              <w:tr2bl w:val="nil"/>
            </w:tcBorders>
            <w:noWrap w:val="0"/>
            <w:tcMar>
              <w:left w:w="28" w:type="dxa"/>
              <w:right w:w="28" w:type="dxa"/>
            </w:tcMar>
            <w:vAlign w:val="center"/>
          </w:tcPr>
          <w:p>
            <w:pPr>
              <w:pStyle w:val="35"/>
              <w:bidi w:val="0"/>
              <w:rPr>
                <w:color w:val="auto"/>
              </w:rPr>
            </w:pPr>
            <w:r>
              <w:rPr>
                <w:rFonts w:hint="eastAsia"/>
                <w:color w:val="auto"/>
              </w:rPr>
              <w:t>15</w:t>
            </w:r>
          </w:p>
        </w:tc>
        <w:tc>
          <w:tcPr>
            <w:tcW w:w="345" w:type="pct"/>
            <w:tcBorders>
              <w:tl2br w:val="nil"/>
              <w:tr2bl w:val="nil"/>
            </w:tcBorders>
            <w:noWrap w:val="0"/>
            <w:tcMar>
              <w:left w:w="28" w:type="dxa"/>
              <w:right w:w="28" w:type="dxa"/>
            </w:tcMar>
            <w:vAlign w:val="center"/>
          </w:tcPr>
          <w:p>
            <w:pPr>
              <w:pStyle w:val="35"/>
              <w:bidi w:val="0"/>
              <w:rPr>
                <w:color w:val="auto"/>
              </w:rPr>
            </w:pPr>
            <w:r>
              <w:rPr>
                <w:rFonts w:hint="eastAsia"/>
                <w:color w:val="auto"/>
              </w:rPr>
              <w:t>88</w:t>
            </w:r>
          </w:p>
        </w:tc>
        <w:tc>
          <w:tcPr>
            <w:tcW w:w="437" w:type="pct"/>
            <w:tcBorders>
              <w:tl2br w:val="nil"/>
              <w:tr2bl w:val="nil"/>
            </w:tcBorders>
            <w:noWrap w:val="0"/>
            <w:tcMar>
              <w:left w:w="28" w:type="dxa"/>
              <w:right w:w="28" w:type="dxa"/>
            </w:tcMar>
            <w:vAlign w:val="center"/>
          </w:tcPr>
          <w:p>
            <w:pPr>
              <w:pStyle w:val="35"/>
              <w:bidi w:val="0"/>
              <w:rPr>
                <w:rFonts w:hint="default"/>
                <w:color w:val="auto"/>
                <w:lang w:val="en-US" w:eastAsia="zh-CN"/>
              </w:rPr>
            </w:pPr>
            <w:r>
              <w:rPr>
                <w:rFonts w:hint="eastAsia"/>
                <w:color w:val="auto"/>
                <w:lang w:val="en-US" w:eastAsia="zh-CN"/>
              </w:rPr>
              <w:t>4.1</w:t>
            </w:r>
          </w:p>
        </w:tc>
        <w:tc>
          <w:tcPr>
            <w:tcW w:w="328" w:type="pct"/>
            <w:tcBorders>
              <w:tl2br w:val="nil"/>
              <w:tr2bl w:val="nil"/>
            </w:tcBorders>
            <w:noWrap w:val="0"/>
            <w:vAlign w:val="center"/>
          </w:tcPr>
          <w:p>
            <w:pPr>
              <w:pStyle w:val="35"/>
              <w:bidi w:val="0"/>
              <w:rPr>
                <w:color w:val="auto"/>
              </w:rPr>
            </w:pPr>
            <w:r>
              <w:rPr>
                <w:color w:val="auto"/>
              </w:rPr>
              <w:t>—</w:t>
            </w:r>
          </w:p>
        </w:tc>
        <w:tc>
          <w:tcPr>
            <w:tcW w:w="971" w:type="pct"/>
            <w:vMerge w:val="continue"/>
            <w:tcBorders>
              <w:tl2br w:val="nil"/>
              <w:tr2bl w:val="nil"/>
            </w:tcBorders>
            <w:noWrap w:val="0"/>
            <w:vAlign w:val="center"/>
          </w:tcPr>
          <w:p>
            <w:pPr>
              <w:pStyle w:val="35"/>
              <w:bidi w:val="0"/>
              <w:rPr>
                <w:color w:val="auto"/>
              </w:rPr>
            </w:pPr>
          </w:p>
        </w:tc>
      </w:tr>
      <w:tr>
        <w:trPr>
          <w:trHeight w:val="293" w:hRule="atLeast"/>
          <w:jc w:val="center"/>
        </w:trPr>
        <w:tc>
          <w:tcPr>
            <w:tcW w:w="307" w:type="pct"/>
            <w:tcBorders>
              <w:tl2br w:val="nil"/>
              <w:tr2bl w:val="nil"/>
            </w:tcBorders>
            <w:noWrap w:val="0"/>
            <w:tcMar>
              <w:left w:w="28" w:type="dxa"/>
              <w:right w:w="28" w:type="dxa"/>
            </w:tcMar>
            <w:vAlign w:val="center"/>
          </w:tcPr>
          <w:p>
            <w:pPr>
              <w:pStyle w:val="35"/>
              <w:bidi w:val="0"/>
              <w:rPr>
                <w:color w:val="auto"/>
              </w:rPr>
            </w:pPr>
          </w:p>
        </w:tc>
        <w:tc>
          <w:tcPr>
            <w:tcW w:w="950" w:type="pct"/>
            <w:tcBorders>
              <w:tl2br w:val="nil"/>
              <w:tr2bl w:val="nil"/>
            </w:tcBorders>
            <w:noWrap w:val="0"/>
            <w:vAlign w:val="center"/>
          </w:tcPr>
          <w:p>
            <w:pPr>
              <w:pStyle w:val="35"/>
              <w:bidi w:val="0"/>
              <w:rPr>
                <w:color w:val="auto"/>
              </w:rPr>
            </w:pPr>
            <w:r>
              <w:rPr>
                <w:rFonts w:hint="eastAsia"/>
                <w:color w:val="auto"/>
              </w:rPr>
              <w:t>生活废水</w:t>
            </w:r>
          </w:p>
        </w:tc>
        <w:tc>
          <w:tcPr>
            <w:tcW w:w="376" w:type="pct"/>
            <w:tcBorders>
              <w:tl2br w:val="nil"/>
              <w:tr2bl w:val="nil"/>
            </w:tcBorders>
            <w:noWrap w:val="0"/>
            <w:tcMar>
              <w:left w:w="28" w:type="dxa"/>
              <w:right w:w="28" w:type="dxa"/>
            </w:tcMar>
            <w:vAlign w:val="center"/>
          </w:tcPr>
          <w:p>
            <w:pPr>
              <w:pStyle w:val="35"/>
              <w:bidi w:val="0"/>
              <w:rPr>
                <w:rFonts w:hint="default"/>
                <w:color w:val="auto"/>
                <w:lang w:val="en-US" w:eastAsia="zh-CN"/>
              </w:rPr>
            </w:pPr>
            <w:r>
              <w:rPr>
                <w:rFonts w:hint="eastAsia"/>
                <w:color w:val="auto"/>
                <w:lang w:val="en-US" w:eastAsia="zh-CN"/>
              </w:rPr>
              <w:t>5.83</w:t>
            </w:r>
          </w:p>
        </w:tc>
        <w:tc>
          <w:tcPr>
            <w:tcW w:w="247" w:type="pct"/>
            <w:tcBorders>
              <w:tl2br w:val="nil"/>
              <w:tr2bl w:val="nil"/>
            </w:tcBorders>
            <w:noWrap w:val="0"/>
            <w:tcMar>
              <w:left w:w="28" w:type="dxa"/>
              <w:right w:w="28" w:type="dxa"/>
            </w:tcMar>
            <w:vAlign w:val="center"/>
          </w:tcPr>
          <w:p>
            <w:pPr>
              <w:pStyle w:val="35"/>
              <w:bidi w:val="0"/>
              <w:jc w:val="center"/>
              <w:rPr>
                <w:color w:val="auto"/>
              </w:rPr>
            </w:pPr>
            <w:r>
              <w:rPr>
                <w:rFonts w:hint="eastAsia"/>
                <w:color w:val="auto"/>
              </w:rPr>
              <w:t>7.26</w:t>
            </w:r>
          </w:p>
        </w:tc>
        <w:tc>
          <w:tcPr>
            <w:tcW w:w="379" w:type="pct"/>
            <w:tcBorders>
              <w:tl2br w:val="nil"/>
              <w:tr2bl w:val="nil"/>
            </w:tcBorders>
            <w:noWrap w:val="0"/>
            <w:tcMar>
              <w:left w:w="28" w:type="dxa"/>
              <w:right w:w="28" w:type="dxa"/>
            </w:tcMar>
            <w:vAlign w:val="center"/>
          </w:tcPr>
          <w:p>
            <w:pPr>
              <w:pStyle w:val="35"/>
              <w:bidi w:val="0"/>
              <w:jc w:val="center"/>
              <w:rPr>
                <w:rFonts w:hint="default"/>
                <w:color w:val="auto"/>
                <w:lang w:val="en-US" w:eastAsia="zh-CN"/>
              </w:rPr>
            </w:pPr>
            <w:r>
              <w:rPr>
                <w:rFonts w:hint="eastAsia"/>
                <w:color w:val="auto"/>
                <w:lang w:val="en-US" w:eastAsia="zh-CN"/>
              </w:rPr>
              <w:t>200</w:t>
            </w:r>
          </w:p>
        </w:tc>
        <w:tc>
          <w:tcPr>
            <w:tcW w:w="338" w:type="pct"/>
            <w:tcBorders>
              <w:tl2br w:val="nil"/>
              <w:tr2bl w:val="nil"/>
            </w:tcBorders>
            <w:noWrap w:val="0"/>
            <w:tcMar>
              <w:left w:w="28" w:type="dxa"/>
              <w:right w:w="28" w:type="dxa"/>
            </w:tcMar>
            <w:vAlign w:val="center"/>
          </w:tcPr>
          <w:p>
            <w:pPr>
              <w:pStyle w:val="35"/>
              <w:bidi w:val="0"/>
              <w:rPr>
                <w:color w:val="auto"/>
              </w:rPr>
            </w:pPr>
            <w:r>
              <w:rPr>
                <w:rFonts w:hint="eastAsia"/>
                <w:color w:val="auto"/>
              </w:rPr>
              <w:t>20.4</w:t>
            </w:r>
          </w:p>
        </w:tc>
        <w:tc>
          <w:tcPr>
            <w:tcW w:w="318" w:type="pct"/>
            <w:tcBorders>
              <w:tl2br w:val="nil"/>
              <w:tr2bl w:val="nil"/>
            </w:tcBorders>
            <w:noWrap w:val="0"/>
            <w:tcMar>
              <w:left w:w="28" w:type="dxa"/>
              <w:right w:w="28" w:type="dxa"/>
            </w:tcMar>
            <w:vAlign w:val="center"/>
          </w:tcPr>
          <w:p>
            <w:pPr>
              <w:pStyle w:val="35"/>
              <w:bidi w:val="0"/>
              <w:rPr>
                <w:color w:val="auto"/>
              </w:rPr>
            </w:pPr>
            <w:r>
              <w:rPr>
                <w:rFonts w:hint="eastAsia"/>
                <w:color w:val="auto"/>
              </w:rPr>
              <w:t>0.6</w:t>
            </w:r>
          </w:p>
        </w:tc>
        <w:tc>
          <w:tcPr>
            <w:tcW w:w="345" w:type="pct"/>
            <w:tcBorders>
              <w:tl2br w:val="nil"/>
              <w:tr2bl w:val="nil"/>
            </w:tcBorders>
            <w:noWrap w:val="0"/>
            <w:tcMar>
              <w:left w:w="28" w:type="dxa"/>
              <w:right w:w="28" w:type="dxa"/>
            </w:tcMar>
            <w:vAlign w:val="center"/>
          </w:tcPr>
          <w:p>
            <w:pPr>
              <w:pStyle w:val="35"/>
              <w:bidi w:val="0"/>
              <w:rPr>
                <w:color w:val="auto"/>
              </w:rPr>
            </w:pPr>
            <w:r>
              <w:rPr>
                <w:rFonts w:hint="eastAsia"/>
                <w:color w:val="auto"/>
              </w:rPr>
              <w:t>20.4</w:t>
            </w:r>
          </w:p>
        </w:tc>
        <w:tc>
          <w:tcPr>
            <w:tcW w:w="437" w:type="pct"/>
            <w:tcBorders>
              <w:tl2br w:val="nil"/>
              <w:tr2bl w:val="nil"/>
            </w:tcBorders>
            <w:noWrap w:val="0"/>
            <w:tcMar>
              <w:left w:w="28" w:type="dxa"/>
              <w:right w:w="28" w:type="dxa"/>
            </w:tcMar>
            <w:vAlign w:val="center"/>
          </w:tcPr>
          <w:p>
            <w:pPr>
              <w:pStyle w:val="35"/>
              <w:bidi w:val="0"/>
              <w:rPr>
                <w:color w:val="auto"/>
              </w:rPr>
            </w:pPr>
            <w:r>
              <w:rPr>
                <w:rFonts w:hint="eastAsia"/>
                <w:color w:val="auto"/>
              </w:rPr>
              <w:t>9.42</w:t>
            </w:r>
          </w:p>
        </w:tc>
        <w:tc>
          <w:tcPr>
            <w:tcW w:w="328" w:type="pct"/>
            <w:tcBorders>
              <w:tl2br w:val="nil"/>
              <w:tr2bl w:val="nil"/>
            </w:tcBorders>
            <w:noWrap w:val="0"/>
            <w:vAlign w:val="center"/>
          </w:tcPr>
          <w:p>
            <w:pPr>
              <w:pStyle w:val="35"/>
              <w:bidi w:val="0"/>
              <w:rPr>
                <w:color w:val="auto"/>
              </w:rPr>
            </w:pPr>
            <w:r>
              <w:rPr>
                <w:color w:val="auto"/>
              </w:rPr>
              <w:t>—</w:t>
            </w:r>
          </w:p>
        </w:tc>
        <w:tc>
          <w:tcPr>
            <w:tcW w:w="971" w:type="pct"/>
            <w:tcBorders>
              <w:tl2br w:val="nil"/>
              <w:tr2bl w:val="nil"/>
            </w:tcBorders>
            <w:noWrap w:val="0"/>
            <w:vAlign w:val="center"/>
          </w:tcPr>
          <w:p>
            <w:pPr>
              <w:pStyle w:val="35"/>
              <w:bidi w:val="0"/>
              <w:rPr>
                <w:color w:val="auto"/>
              </w:rPr>
            </w:pPr>
            <w:r>
              <w:rPr>
                <w:rFonts w:hint="eastAsia"/>
                <w:color w:val="auto"/>
                <w:lang w:val="en-US" w:eastAsia="zh-CN"/>
              </w:rPr>
              <w:t>云溪工业园</w:t>
            </w:r>
            <w:r>
              <w:rPr>
                <w:rFonts w:hint="eastAsia"/>
                <w:color w:val="auto"/>
              </w:rPr>
              <w:t>污水处理厂</w:t>
            </w:r>
          </w:p>
        </w:tc>
      </w:tr>
    </w:tbl>
    <w:p>
      <w:pPr>
        <w:pStyle w:val="33"/>
        <w:bidi w:val="0"/>
        <w:rPr>
          <w:b/>
          <w:bCs/>
          <w:color w:val="auto"/>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rPr>
        <w:t>水污染物排放量核算</w:t>
      </w:r>
    </w:p>
    <w:p>
      <w:pPr>
        <w:pStyle w:val="33"/>
        <w:bidi w:val="0"/>
        <w:rPr>
          <w:color w:val="auto"/>
        </w:rPr>
      </w:pPr>
      <w:r>
        <w:rPr>
          <w:rFonts w:hint="eastAsia"/>
          <w:color w:val="auto"/>
          <w:lang w:val="en-US" w:eastAsia="zh-CN"/>
        </w:rPr>
        <w:t>项目废水最终排入云溪区污水处理厂进行处理后排入长江，出水达到《城镇污水处理厂污染物排放标准》(GB18918-2002)一级A标准，现有工程</w:t>
      </w:r>
      <w:r>
        <w:rPr>
          <w:rFonts w:hint="eastAsia"/>
          <w:color w:val="auto"/>
        </w:rPr>
        <w:t>水污染物排放量核算表见表</w:t>
      </w:r>
      <w:r>
        <w:rPr>
          <w:rFonts w:hint="eastAsia"/>
          <w:color w:val="auto"/>
          <w:lang w:val="en-US" w:eastAsia="zh-CN"/>
        </w:rPr>
        <w:t>3.3-6</w:t>
      </w:r>
      <w:r>
        <w:rPr>
          <w:rFonts w:hint="eastAsia"/>
          <w:color w:val="auto"/>
        </w:rPr>
        <w:t>。</w:t>
      </w:r>
    </w:p>
    <w:p>
      <w:pPr>
        <w:pStyle w:val="36"/>
        <w:bidi w:val="0"/>
        <w:rPr>
          <w:color w:val="auto"/>
        </w:rPr>
      </w:pPr>
      <w:r>
        <w:rPr>
          <w:rFonts w:hint="eastAsia"/>
          <w:color w:val="auto"/>
        </w:rPr>
        <w:t>表</w:t>
      </w:r>
      <w:r>
        <w:rPr>
          <w:rFonts w:hint="eastAsia"/>
          <w:color w:val="auto"/>
          <w:lang w:val="en-US" w:eastAsia="zh-CN"/>
        </w:rPr>
        <w:t>3.3-6</w:t>
      </w:r>
      <w:r>
        <w:rPr>
          <w:rFonts w:hint="eastAsia"/>
          <w:color w:val="auto"/>
        </w:rPr>
        <w:t xml:space="preserve">  废水污染物排放量一览表</w:t>
      </w:r>
    </w:p>
    <w:tbl>
      <w:tblPr>
        <w:tblStyle w:val="27"/>
        <w:tblW w:w="501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988"/>
        <w:gridCol w:w="1319"/>
        <w:gridCol w:w="1319"/>
        <w:gridCol w:w="1287"/>
        <w:gridCol w:w="1239"/>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trPr>
        <w:tc>
          <w:tcPr>
            <w:tcW w:w="1597" w:type="pct"/>
            <w:vMerge w:val="restart"/>
            <w:tcBorders>
              <w:tl2br w:val="nil"/>
              <w:tr2bl w:val="nil"/>
            </w:tcBorders>
            <w:noWrap w:val="0"/>
            <w:tcMar>
              <w:left w:w="0" w:type="dxa"/>
              <w:right w:w="0" w:type="dxa"/>
            </w:tcMar>
            <w:vAlign w:val="center"/>
          </w:tcPr>
          <w:p>
            <w:pPr>
              <w:pStyle w:val="35"/>
              <w:bidi w:val="0"/>
              <w:rPr>
                <w:b/>
                <w:bCs/>
                <w:color w:val="auto"/>
              </w:rPr>
            </w:pPr>
            <w:r>
              <w:rPr>
                <w:rFonts w:hint="eastAsia"/>
                <w:b/>
                <w:bCs/>
                <w:color w:val="auto"/>
              </w:rPr>
              <w:t>项目</w:t>
            </w:r>
          </w:p>
        </w:tc>
        <w:tc>
          <w:tcPr>
            <w:tcW w:w="705" w:type="pct"/>
            <w:vMerge w:val="restart"/>
            <w:tcBorders>
              <w:tl2br w:val="nil"/>
              <w:tr2bl w:val="nil"/>
            </w:tcBorders>
            <w:noWrap w:val="0"/>
            <w:tcMar>
              <w:left w:w="0" w:type="dxa"/>
              <w:right w:w="0" w:type="dxa"/>
            </w:tcMar>
            <w:vAlign w:val="center"/>
          </w:tcPr>
          <w:p>
            <w:pPr>
              <w:pStyle w:val="35"/>
              <w:bidi w:val="0"/>
              <w:rPr>
                <w:b/>
                <w:bCs/>
                <w:color w:val="auto"/>
              </w:rPr>
            </w:pPr>
            <w:r>
              <w:rPr>
                <w:b/>
                <w:bCs/>
                <w:color w:val="auto"/>
              </w:rPr>
              <w:t>废水量</w:t>
            </w:r>
          </w:p>
          <w:p>
            <w:pPr>
              <w:pStyle w:val="35"/>
              <w:bidi w:val="0"/>
              <w:rPr>
                <w:b/>
                <w:bCs/>
                <w:color w:val="auto"/>
              </w:rPr>
            </w:pPr>
            <w:r>
              <w:rPr>
                <w:b/>
                <w:bCs/>
                <w:color w:val="auto"/>
              </w:rPr>
              <w:t>(m</w:t>
            </w:r>
            <w:r>
              <w:rPr>
                <w:b/>
                <w:bCs/>
                <w:color w:val="auto"/>
                <w:vertAlign w:val="superscript"/>
              </w:rPr>
              <w:t>3</w:t>
            </w:r>
            <w:r>
              <w:rPr>
                <w:b/>
                <w:bCs/>
                <w:color w:val="auto"/>
              </w:rPr>
              <w:t>/</w:t>
            </w:r>
            <w:r>
              <w:rPr>
                <w:rFonts w:hint="eastAsia"/>
                <w:b/>
                <w:bCs/>
                <w:color w:val="auto"/>
              </w:rPr>
              <w:t>a</w:t>
            </w:r>
            <w:r>
              <w:rPr>
                <w:b/>
                <w:bCs/>
                <w:color w:val="auto"/>
              </w:rPr>
              <w:t>)</w:t>
            </w:r>
          </w:p>
        </w:tc>
        <w:tc>
          <w:tcPr>
            <w:tcW w:w="1393" w:type="pct"/>
            <w:gridSpan w:val="2"/>
            <w:tcBorders>
              <w:tl2br w:val="nil"/>
              <w:tr2bl w:val="nil"/>
            </w:tcBorders>
            <w:noWrap w:val="0"/>
            <w:tcMar>
              <w:left w:w="0" w:type="dxa"/>
              <w:right w:w="0" w:type="dxa"/>
            </w:tcMar>
            <w:vAlign w:val="center"/>
          </w:tcPr>
          <w:p>
            <w:pPr>
              <w:pStyle w:val="35"/>
              <w:bidi w:val="0"/>
              <w:rPr>
                <w:b/>
                <w:bCs/>
                <w:color w:val="auto"/>
              </w:rPr>
            </w:pPr>
            <w:r>
              <w:rPr>
                <w:rFonts w:hint="eastAsia"/>
                <w:b/>
                <w:bCs/>
                <w:color w:val="auto"/>
              </w:rPr>
              <w:t>COD</w:t>
            </w:r>
          </w:p>
        </w:tc>
        <w:tc>
          <w:tcPr>
            <w:tcW w:w="1303" w:type="pct"/>
            <w:gridSpan w:val="2"/>
            <w:tcBorders>
              <w:tl2br w:val="nil"/>
              <w:tr2bl w:val="nil"/>
            </w:tcBorders>
            <w:noWrap w:val="0"/>
            <w:tcMar>
              <w:left w:w="0" w:type="dxa"/>
              <w:right w:w="0" w:type="dxa"/>
            </w:tcMar>
            <w:vAlign w:val="center"/>
          </w:tcPr>
          <w:p>
            <w:pPr>
              <w:pStyle w:val="35"/>
              <w:bidi w:val="0"/>
              <w:rPr>
                <w:b/>
                <w:bCs/>
                <w:color w:val="auto"/>
              </w:rPr>
            </w:pPr>
            <w:r>
              <w:rPr>
                <w:rFonts w:hint="eastAsia"/>
                <w:b/>
                <w:bCs/>
                <w:color w:val="auto"/>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trPr>
        <w:tc>
          <w:tcPr>
            <w:tcW w:w="1597" w:type="pct"/>
            <w:vMerge w:val="continue"/>
            <w:tcBorders>
              <w:tl2br w:val="nil"/>
              <w:tr2bl w:val="nil"/>
            </w:tcBorders>
            <w:noWrap w:val="0"/>
            <w:tcMar>
              <w:left w:w="0" w:type="dxa"/>
              <w:right w:w="0" w:type="dxa"/>
            </w:tcMar>
            <w:vAlign w:val="center"/>
          </w:tcPr>
          <w:p>
            <w:pPr>
              <w:pStyle w:val="35"/>
              <w:bidi w:val="0"/>
              <w:rPr>
                <w:b/>
                <w:bCs/>
                <w:color w:val="auto"/>
              </w:rPr>
            </w:pPr>
          </w:p>
        </w:tc>
        <w:tc>
          <w:tcPr>
            <w:tcW w:w="705" w:type="pct"/>
            <w:vMerge w:val="continue"/>
            <w:tcBorders>
              <w:tl2br w:val="nil"/>
              <w:tr2bl w:val="nil"/>
            </w:tcBorders>
            <w:noWrap w:val="0"/>
            <w:tcMar>
              <w:left w:w="0" w:type="dxa"/>
              <w:right w:w="0" w:type="dxa"/>
            </w:tcMar>
            <w:vAlign w:val="center"/>
          </w:tcPr>
          <w:p>
            <w:pPr>
              <w:pStyle w:val="35"/>
              <w:bidi w:val="0"/>
              <w:rPr>
                <w:b/>
                <w:bCs/>
                <w:color w:val="auto"/>
              </w:rPr>
            </w:pPr>
          </w:p>
        </w:tc>
        <w:tc>
          <w:tcPr>
            <w:tcW w:w="705" w:type="pct"/>
            <w:tcBorders>
              <w:tl2br w:val="nil"/>
              <w:tr2bl w:val="nil"/>
            </w:tcBorders>
            <w:noWrap w:val="0"/>
            <w:tcMar>
              <w:left w:w="0" w:type="dxa"/>
              <w:right w:w="0" w:type="dxa"/>
            </w:tcMar>
            <w:vAlign w:val="center"/>
          </w:tcPr>
          <w:p>
            <w:pPr>
              <w:pStyle w:val="35"/>
              <w:bidi w:val="0"/>
              <w:rPr>
                <w:b/>
                <w:bCs/>
                <w:color w:val="auto"/>
              </w:rPr>
            </w:pPr>
            <w:r>
              <w:rPr>
                <w:rFonts w:hint="eastAsia"/>
                <w:b/>
                <w:bCs/>
                <w:color w:val="auto"/>
              </w:rPr>
              <w:t>排放浓度</w:t>
            </w:r>
          </w:p>
        </w:tc>
        <w:tc>
          <w:tcPr>
            <w:tcW w:w="688" w:type="pct"/>
            <w:tcBorders>
              <w:tl2br w:val="nil"/>
              <w:tr2bl w:val="nil"/>
            </w:tcBorders>
            <w:noWrap w:val="0"/>
            <w:tcMar>
              <w:left w:w="0" w:type="dxa"/>
              <w:right w:w="0" w:type="dxa"/>
            </w:tcMar>
            <w:vAlign w:val="center"/>
          </w:tcPr>
          <w:p>
            <w:pPr>
              <w:pStyle w:val="35"/>
              <w:bidi w:val="0"/>
              <w:rPr>
                <w:b/>
                <w:bCs/>
                <w:color w:val="auto"/>
              </w:rPr>
            </w:pPr>
            <w:r>
              <w:rPr>
                <w:rFonts w:hint="eastAsia"/>
                <w:b/>
                <w:bCs/>
                <w:color w:val="auto"/>
              </w:rPr>
              <w:t>排放量</w:t>
            </w:r>
          </w:p>
        </w:tc>
        <w:tc>
          <w:tcPr>
            <w:tcW w:w="662" w:type="pct"/>
            <w:tcBorders>
              <w:tl2br w:val="nil"/>
              <w:tr2bl w:val="nil"/>
            </w:tcBorders>
            <w:noWrap w:val="0"/>
            <w:tcMar>
              <w:left w:w="0" w:type="dxa"/>
              <w:right w:w="0" w:type="dxa"/>
            </w:tcMar>
            <w:vAlign w:val="center"/>
          </w:tcPr>
          <w:p>
            <w:pPr>
              <w:pStyle w:val="35"/>
              <w:bidi w:val="0"/>
              <w:rPr>
                <w:b/>
                <w:bCs/>
                <w:color w:val="auto"/>
              </w:rPr>
            </w:pPr>
            <w:r>
              <w:rPr>
                <w:rFonts w:hint="eastAsia"/>
                <w:b/>
                <w:bCs/>
                <w:color w:val="auto"/>
              </w:rPr>
              <w:t>排放浓度</w:t>
            </w:r>
          </w:p>
        </w:tc>
        <w:tc>
          <w:tcPr>
            <w:tcW w:w="641" w:type="pct"/>
            <w:tcBorders>
              <w:tl2br w:val="nil"/>
              <w:tr2bl w:val="nil"/>
            </w:tcBorders>
            <w:noWrap w:val="0"/>
            <w:tcMar>
              <w:left w:w="0" w:type="dxa"/>
              <w:right w:w="0" w:type="dxa"/>
            </w:tcMar>
            <w:vAlign w:val="center"/>
          </w:tcPr>
          <w:p>
            <w:pPr>
              <w:pStyle w:val="35"/>
              <w:bidi w:val="0"/>
              <w:rPr>
                <w:b/>
                <w:bCs/>
                <w:color w:val="auto"/>
              </w:rPr>
            </w:pPr>
            <w:r>
              <w:rPr>
                <w:rFonts w:hint="eastAsia"/>
                <w:b/>
                <w:bCs/>
                <w:color w:val="auto"/>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trPr>
        <w:tc>
          <w:tcPr>
            <w:tcW w:w="1597" w:type="pct"/>
            <w:tcBorders>
              <w:tl2br w:val="nil"/>
              <w:tr2bl w:val="nil"/>
            </w:tcBorders>
            <w:noWrap w:val="0"/>
            <w:tcMar>
              <w:left w:w="0" w:type="dxa"/>
              <w:right w:w="0" w:type="dxa"/>
            </w:tcMar>
            <w:vAlign w:val="center"/>
          </w:tcPr>
          <w:p>
            <w:pPr>
              <w:pStyle w:val="35"/>
              <w:bidi w:val="0"/>
              <w:rPr>
                <w:rFonts w:hint="default"/>
                <w:color w:val="auto"/>
                <w:lang w:val="en-US" w:eastAsia="zh-CN"/>
              </w:rPr>
            </w:pPr>
            <w:r>
              <w:rPr>
                <w:rFonts w:hint="eastAsia"/>
                <w:color w:val="auto"/>
                <w:lang w:val="en-US" w:eastAsia="zh-CN"/>
              </w:rPr>
              <w:t>废水</w:t>
            </w:r>
          </w:p>
        </w:tc>
        <w:tc>
          <w:tcPr>
            <w:tcW w:w="705" w:type="pct"/>
            <w:tcBorders>
              <w:tl2br w:val="nil"/>
              <w:tr2bl w:val="nil"/>
            </w:tcBorders>
            <w:noWrap w:val="0"/>
            <w:tcMar>
              <w:left w:w="0" w:type="dxa"/>
              <w:right w:w="0" w:type="dxa"/>
            </w:tcMar>
            <w:vAlign w:val="center"/>
          </w:tcPr>
          <w:p>
            <w:pPr>
              <w:pStyle w:val="35"/>
              <w:bidi w:val="0"/>
              <w:rPr>
                <w:rFonts w:hint="default"/>
                <w:color w:val="auto"/>
                <w:lang w:val="en-US" w:eastAsia="zh-CN"/>
              </w:rPr>
            </w:pPr>
            <w:r>
              <w:rPr>
                <w:rFonts w:hint="eastAsia"/>
                <w:color w:val="auto"/>
                <w:lang w:val="en-US" w:eastAsia="zh-CN"/>
              </w:rPr>
              <w:t>4875</w:t>
            </w:r>
          </w:p>
        </w:tc>
        <w:tc>
          <w:tcPr>
            <w:tcW w:w="705" w:type="pct"/>
            <w:tcBorders>
              <w:tl2br w:val="nil"/>
              <w:tr2bl w:val="nil"/>
            </w:tcBorders>
            <w:noWrap w:val="0"/>
            <w:tcMar>
              <w:left w:w="0" w:type="dxa"/>
              <w:right w:w="0" w:type="dxa"/>
            </w:tcMar>
            <w:vAlign w:val="center"/>
          </w:tcPr>
          <w:p>
            <w:pPr>
              <w:pStyle w:val="35"/>
              <w:bidi w:val="0"/>
              <w:rPr>
                <w:rFonts w:hint="eastAsia"/>
                <w:color w:val="auto"/>
                <w:lang w:eastAsia="zh-CN"/>
              </w:rPr>
            </w:pPr>
            <w:r>
              <w:rPr>
                <w:rFonts w:hint="eastAsia"/>
                <w:color w:val="auto"/>
                <w:lang w:val="en-US" w:eastAsia="zh-CN"/>
              </w:rPr>
              <w:t>50</w:t>
            </w:r>
            <w:r>
              <w:rPr>
                <w:rFonts w:hint="eastAsia"/>
                <w:color w:val="auto"/>
              </w:rPr>
              <w:t>mg/L</w:t>
            </w:r>
          </w:p>
        </w:tc>
        <w:tc>
          <w:tcPr>
            <w:tcW w:w="688" w:type="pct"/>
            <w:tcBorders>
              <w:tl2br w:val="nil"/>
              <w:tr2bl w:val="nil"/>
            </w:tcBorders>
            <w:noWrap w:val="0"/>
            <w:tcMar>
              <w:left w:w="0" w:type="dxa"/>
              <w:right w:w="0" w:type="dxa"/>
            </w:tcMar>
            <w:vAlign w:val="center"/>
          </w:tcPr>
          <w:p>
            <w:pPr>
              <w:pStyle w:val="35"/>
              <w:bidi w:val="0"/>
              <w:rPr>
                <w:color w:val="auto"/>
              </w:rPr>
            </w:pPr>
            <w:r>
              <w:rPr>
                <w:rFonts w:hint="eastAsia"/>
                <w:color w:val="auto"/>
                <w:lang w:val="en-US" w:eastAsia="zh-CN"/>
              </w:rPr>
              <w:t>0.244</w:t>
            </w:r>
            <w:r>
              <w:rPr>
                <w:rFonts w:hint="eastAsia"/>
                <w:color w:val="auto"/>
              </w:rPr>
              <w:t>t/a</w:t>
            </w:r>
          </w:p>
        </w:tc>
        <w:tc>
          <w:tcPr>
            <w:tcW w:w="662" w:type="pct"/>
            <w:tcBorders>
              <w:tl2br w:val="nil"/>
              <w:tr2bl w:val="nil"/>
            </w:tcBorders>
            <w:noWrap w:val="0"/>
            <w:tcMar>
              <w:left w:w="0" w:type="dxa"/>
              <w:right w:w="0" w:type="dxa"/>
            </w:tcMar>
            <w:vAlign w:val="center"/>
          </w:tcPr>
          <w:p>
            <w:pPr>
              <w:pStyle w:val="35"/>
              <w:bidi w:val="0"/>
              <w:rPr>
                <w:rFonts w:hint="eastAsia"/>
                <w:color w:val="auto"/>
                <w:lang w:eastAsia="zh-CN"/>
              </w:rPr>
            </w:pPr>
            <w:r>
              <w:rPr>
                <w:rFonts w:hint="eastAsia"/>
                <w:color w:val="auto"/>
                <w:lang w:val="en-US" w:eastAsia="zh-CN"/>
              </w:rPr>
              <w:t>5</w:t>
            </w:r>
            <w:r>
              <w:rPr>
                <w:rFonts w:hint="eastAsia"/>
                <w:color w:val="auto"/>
              </w:rPr>
              <w:t>mg/L</w:t>
            </w:r>
          </w:p>
        </w:tc>
        <w:tc>
          <w:tcPr>
            <w:tcW w:w="641" w:type="pct"/>
            <w:tcBorders>
              <w:tl2br w:val="nil"/>
              <w:tr2bl w:val="nil"/>
            </w:tcBorders>
            <w:noWrap w:val="0"/>
            <w:tcMar>
              <w:left w:w="0" w:type="dxa"/>
              <w:right w:w="0" w:type="dxa"/>
            </w:tcMar>
            <w:vAlign w:val="center"/>
          </w:tcPr>
          <w:p>
            <w:pPr>
              <w:pStyle w:val="35"/>
              <w:bidi w:val="0"/>
              <w:rPr>
                <w:color w:val="auto"/>
              </w:rPr>
            </w:pPr>
            <w:r>
              <w:rPr>
                <w:rFonts w:hint="eastAsia"/>
                <w:color w:val="auto"/>
                <w:lang w:val="en-US" w:eastAsia="zh-CN"/>
              </w:rPr>
              <w:t>0.024</w:t>
            </w:r>
            <w:r>
              <w:rPr>
                <w:rFonts w:hint="eastAsia"/>
                <w:color w:val="auto"/>
              </w:rPr>
              <w:t>t/a</w:t>
            </w:r>
          </w:p>
        </w:tc>
      </w:tr>
    </w:tbl>
    <w:p>
      <w:pPr>
        <w:pStyle w:val="33"/>
        <w:bidi w:val="0"/>
        <w:rPr>
          <w:rFonts w:hint="default" w:ascii="Times New Roman" w:hAnsi="Times New Roman" w:cs="Times New Roman"/>
          <w:b/>
          <w:bCs/>
          <w:color w:val="auto"/>
          <w:lang w:val="en-US" w:eastAsia="zh-CN"/>
        </w:rPr>
      </w:pPr>
      <w:bookmarkStart w:id="54" w:name="_Toc219"/>
      <w:r>
        <w:rPr>
          <w:rFonts w:hint="eastAsia" w:ascii="Times New Roman" w:hAnsi="Times New Roman" w:cs="Times New Roman"/>
          <w:b/>
          <w:bCs/>
          <w:color w:val="auto"/>
          <w:lang w:val="en-US" w:eastAsia="zh-CN"/>
        </w:rPr>
        <w:t>（3）废水常规监测数据</w:t>
      </w:r>
    </w:p>
    <w:p>
      <w:pPr>
        <w:pStyle w:val="33"/>
        <w:bidi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目前项目二期自建污水处理站还在调试中，</w:t>
      </w:r>
      <w:r>
        <w:rPr>
          <w:rFonts w:hint="eastAsia" w:ascii="Times New Roman" w:hAnsi="Times New Roman" w:cs="Times New Roman"/>
          <w:color w:val="auto"/>
        </w:rPr>
        <w:t>根据</w:t>
      </w:r>
      <w:r>
        <w:rPr>
          <w:rFonts w:hint="eastAsia" w:ascii="Times New Roman" w:hAnsi="Times New Roman"/>
          <w:caps w:val="0"/>
          <w:smallCaps w:val="0"/>
          <w:color w:val="auto"/>
        </w:rPr>
        <w:t>湖南汨江检测有限公司对岳阳凌峰化工有限公司2020年第四季度</w:t>
      </w:r>
      <w:r>
        <w:rPr>
          <w:rFonts w:hint="eastAsia" w:ascii="Times New Roman" w:hAnsi="Times New Roman"/>
          <w:caps w:val="0"/>
          <w:smallCaps w:val="0"/>
          <w:color w:val="auto"/>
          <w:lang w:val="en-US" w:eastAsia="zh-CN"/>
        </w:rPr>
        <w:t>常规</w:t>
      </w:r>
      <w:r>
        <w:rPr>
          <w:rFonts w:hint="eastAsia" w:ascii="Times New Roman" w:hAnsi="Times New Roman"/>
          <w:caps w:val="0"/>
          <w:smallCaps w:val="0"/>
          <w:color w:val="auto"/>
        </w:rPr>
        <w:t>检测数据</w:t>
      </w:r>
      <w:r>
        <w:rPr>
          <w:rFonts w:hint="eastAsia" w:ascii="Times New Roman" w:hAnsi="Times New Roman" w:cs="Times New Roman"/>
          <w:color w:val="auto"/>
        </w:rPr>
        <w:t>（</w:t>
      </w:r>
      <w:r>
        <w:rPr>
          <w:rFonts w:hint="eastAsia" w:ascii="Times New Roman" w:hAnsi="Times New Roman" w:cs="Times New Roman"/>
          <w:color w:val="auto"/>
          <w:lang w:val="en-US" w:eastAsia="zh-CN"/>
        </w:rPr>
        <w:t>MJJC2011006A</w:t>
      </w:r>
      <w:r>
        <w:rPr>
          <w:rFonts w:hint="eastAsia" w:ascii="Times New Roman" w:hAnsi="Times New Roman" w:cs="Times New Roman"/>
          <w:color w:val="auto"/>
        </w:rPr>
        <w:t>监测报告）</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见下表</w:t>
      </w:r>
      <w:r>
        <w:rPr>
          <w:rFonts w:hint="eastAsia" w:ascii="Times New Roman" w:hAnsi="Times New Roman" w:cs="Times New Roman"/>
          <w:color w:val="auto"/>
          <w:lang w:eastAsia="zh-CN"/>
        </w:rPr>
        <w:t>。</w:t>
      </w:r>
    </w:p>
    <w:p>
      <w:pPr>
        <w:adjustRightInd w:val="0"/>
        <w:snapToGrid w:val="0"/>
        <w:spacing w:line="480" w:lineRule="exact"/>
        <w:ind w:firstLine="480" w:firstLineChars="200"/>
        <w:jc w:val="center"/>
        <w:rPr>
          <w:rFonts w:ascii="Times New Roman" w:hAnsi="Times New Roman"/>
          <w:b/>
          <w:caps w:val="0"/>
          <w:smallCaps w:val="0"/>
          <w:color w:val="auto"/>
          <w:sz w:val="24"/>
          <w:szCs w:val="24"/>
          <w:u w:val="single"/>
        </w:rPr>
      </w:pPr>
      <w:r>
        <w:rPr>
          <w:rFonts w:ascii="Times New Roman" w:hAnsi="Times New Roman"/>
          <w:b/>
          <w:caps w:val="0"/>
          <w:smallCaps w:val="0"/>
          <w:color w:val="auto"/>
          <w:sz w:val="24"/>
          <w:szCs w:val="24"/>
          <w:u w:val="single"/>
        </w:rPr>
        <w:t>表</w:t>
      </w:r>
      <w:r>
        <w:rPr>
          <w:rFonts w:hint="eastAsia" w:ascii="Times New Roman" w:hAnsi="Times New Roman"/>
          <w:b/>
          <w:caps w:val="0"/>
          <w:smallCaps w:val="0"/>
          <w:color w:val="auto"/>
          <w:sz w:val="24"/>
          <w:szCs w:val="24"/>
          <w:u w:val="single"/>
          <w:lang w:val="en-US" w:eastAsia="zh-CN"/>
        </w:rPr>
        <w:t>3</w:t>
      </w:r>
      <w:r>
        <w:rPr>
          <w:rFonts w:ascii="Times New Roman" w:hAnsi="Times New Roman"/>
          <w:b/>
          <w:caps w:val="0"/>
          <w:smallCaps w:val="0"/>
          <w:color w:val="auto"/>
          <w:sz w:val="24"/>
          <w:szCs w:val="24"/>
          <w:u w:val="single"/>
        </w:rPr>
        <w:t>.</w:t>
      </w:r>
      <w:r>
        <w:rPr>
          <w:rFonts w:hint="eastAsia" w:ascii="Times New Roman" w:hAnsi="Times New Roman"/>
          <w:b/>
          <w:caps w:val="0"/>
          <w:smallCaps w:val="0"/>
          <w:color w:val="auto"/>
          <w:sz w:val="24"/>
          <w:szCs w:val="24"/>
          <w:u w:val="single"/>
          <w:lang w:val="en-US" w:eastAsia="zh-CN"/>
        </w:rPr>
        <w:t>3</w:t>
      </w:r>
      <w:r>
        <w:rPr>
          <w:rFonts w:ascii="Times New Roman" w:hAnsi="Times New Roman"/>
          <w:b/>
          <w:caps w:val="0"/>
          <w:smallCaps w:val="0"/>
          <w:color w:val="auto"/>
          <w:sz w:val="24"/>
          <w:szCs w:val="24"/>
          <w:u w:val="single"/>
        </w:rPr>
        <w:t>-</w:t>
      </w:r>
      <w:r>
        <w:rPr>
          <w:rFonts w:hint="eastAsia" w:ascii="Times New Roman" w:hAnsi="Times New Roman"/>
          <w:b/>
          <w:caps w:val="0"/>
          <w:smallCaps w:val="0"/>
          <w:color w:val="auto"/>
          <w:sz w:val="24"/>
          <w:szCs w:val="24"/>
          <w:u w:val="single"/>
          <w:lang w:val="en-US" w:eastAsia="zh-CN"/>
        </w:rPr>
        <w:t>7</w:t>
      </w:r>
      <w:r>
        <w:rPr>
          <w:rFonts w:ascii="Times New Roman" w:hAnsi="Times New Roman"/>
          <w:b/>
          <w:caps w:val="0"/>
          <w:smallCaps w:val="0"/>
          <w:color w:val="auto"/>
          <w:sz w:val="24"/>
          <w:szCs w:val="24"/>
          <w:u w:val="single"/>
        </w:rPr>
        <w:t xml:space="preserve">  </w:t>
      </w:r>
      <w:r>
        <w:rPr>
          <w:rFonts w:hint="eastAsia" w:ascii="Times New Roman" w:hAnsi="Times New Roman"/>
          <w:b/>
          <w:caps w:val="0"/>
          <w:smallCaps w:val="0"/>
          <w:color w:val="auto"/>
          <w:sz w:val="24"/>
          <w:szCs w:val="24"/>
          <w:u w:val="single"/>
        </w:rPr>
        <w:t>现有</w:t>
      </w:r>
      <w:r>
        <w:rPr>
          <w:rFonts w:ascii="Times New Roman" w:hAnsi="Times New Roman"/>
          <w:b/>
          <w:caps w:val="0"/>
          <w:smallCaps w:val="0"/>
          <w:color w:val="auto"/>
          <w:sz w:val="24"/>
          <w:szCs w:val="24"/>
          <w:u w:val="single"/>
        </w:rPr>
        <w:t>项目</w:t>
      </w:r>
      <w:r>
        <w:rPr>
          <w:rFonts w:hint="eastAsia" w:ascii="Times New Roman" w:hAnsi="Times New Roman"/>
          <w:b/>
          <w:caps w:val="0"/>
          <w:smallCaps w:val="0"/>
          <w:color w:val="auto"/>
          <w:sz w:val="24"/>
          <w:szCs w:val="24"/>
          <w:u w:val="single"/>
        </w:rPr>
        <w:t>废水常规监测情况一览表    单位： mg/L，PH为无量纲</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50"/>
        <w:gridCol w:w="1449"/>
        <w:gridCol w:w="1239"/>
        <w:gridCol w:w="1342"/>
        <w:gridCol w:w="1321"/>
        <w:gridCol w:w="1426"/>
        <w:gridCol w:w="12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493" w:type="pct"/>
            <w:gridSpan w:val="2"/>
            <w:tcBorders>
              <w:tl2br w:val="nil"/>
              <w:tr2bl w:val="nil"/>
            </w:tcBorders>
            <w:noWrap w:val="0"/>
            <w:tcMar>
              <w:left w:w="57" w:type="dxa"/>
              <w:right w:w="57" w:type="dxa"/>
            </w:tcMar>
            <w:vAlign w:val="center"/>
          </w:tcPr>
          <w:p>
            <w:pPr>
              <w:spacing w:line="360" w:lineRule="exact"/>
              <w:jc w:val="center"/>
              <w:rPr>
                <w:rFonts w:ascii="Times New Roman" w:hAnsi="Times New Roman"/>
                <w:b/>
                <w:caps w:val="0"/>
                <w:smallCaps w:val="0"/>
                <w:color w:val="auto"/>
                <w:szCs w:val="21"/>
                <w:u w:val="single"/>
              </w:rPr>
            </w:pPr>
            <w:r>
              <w:rPr>
                <w:rFonts w:hint="eastAsia" w:ascii="Times New Roman" w:hAnsi="Times New Roman"/>
                <w:b/>
                <w:caps w:val="0"/>
                <w:smallCaps w:val="0"/>
                <w:color w:val="auto"/>
                <w:szCs w:val="21"/>
                <w:u w:val="single"/>
              </w:rPr>
              <w:t>污染物</w:t>
            </w:r>
          </w:p>
          <w:p>
            <w:pPr>
              <w:spacing w:line="360" w:lineRule="exact"/>
              <w:rPr>
                <w:rFonts w:ascii="Times New Roman" w:hAnsi="Times New Roman"/>
                <w:b/>
                <w:caps w:val="0"/>
                <w:smallCaps w:val="0"/>
                <w:color w:val="auto"/>
                <w:szCs w:val="21"/>
                <w:u w:val="single"/>
              </w:rPr>
            </w:pPr>
            <w:r>
              <w:rPr>
                <w:rFonts w:hint="eastAsia" w:ascii="Times New Roman" w:hAnsi="Times New Roman"/>
                <w:b/>
                <w:caps w:val="0"/>
                <w:smallCaps w:val="0"/>
                <w:color w:val="auto"/>
                <w:szCs w:val="21"/>
                <w:u w:val="single"/>
              </w:rPr>
              <w:t>排放口</w:t>
            </w:r>
          </w:p>
        </w:tc>
        <w:tc>
          <w:tcPr>
            <w:tcW w:w="661" w:type="pct"/>
            <w:tcBorders>
              <w:tl2br w:val="nil"/>
              <w:tr2bl w:val="nil"/>
            </w:tcBorders>
            <w:noWrap w:val="0"/>
            <w:vAlign w:val="center"/>
          </w:tcPr>
          <w:p>
            <w:pPr>
              <w:spacing w:line="360" w:lineRule="exact"/>
              <w:jc w:val="center"/>
              <w:rPr>
                <w:rFonts w:ascii="Times New Roman" w:hAnsi="Times New Roman"/>
                <w:b/>
                <w:caps w:val="0"/>
                <w:smallCaps w:val="0"/>
                <w:color w:val="auto"/>
                <w:szCs w:val="21"/>
                <w:u w:val="single"/>
              </w:rPr>
            </w:pPr>
            <w:r>
              <w:rPr>
                <w:rFonts w:hint="eastAsia" w:ascii="Times New Roman" w:hAnsi="Times New Roman"/>
                <w:b/>
                <w:caps w:val="0"/>
                <w:smallCaps w:val="0"/>
                <w:color w:val="auto"/>
                <w:szCs w:val="21"/>
                <w:u w:val="single"/>
                <w:lang w:val="en-US" w:eastAsia="zh-CN"/>
              </w:rPr>
              <w:t>p</w:t>
            </w:r>
            <w:r>
              <w:rPr>
                <w:rFonts w:hint="eastAsia" w:ascii="Times New Roman" w:hAnsi="Times New Roman"/>
                <w:b/>
                <w:caps w:val="0"/>
                <w:smallCaps w:val="0"/>
                <w:color w:val="auto"/>
                <w:szCs w:val="21"/>
                <w:u w:val="single"/>
              </w:rPr>
              <w:t>H</w:t>
            </w:r>
          </w:p>
        </w:tc>
        <w:tc>
          <w:tcPr>
            <w:tcW w:w="716" w:type="pct"/>
            <w:tcBorders>
              <w:tl2br w:val="nil"/>
              <w:tr2bl w:val="nil"/>
            </w:tcBorders>
            <w:noWrap w:val="0"/>
            <w:vAlign w:val="center"/>
          </w:tcPr>
          <w:p>
            <w:pPr>
              <w:spacing w:line="360" w:lineRule="exact"/>
              <w:jc w:val="center"/>
              <w:rPr>
                <w:rFonts w:ascii="Times New Roman" w:hAnsi="Times New Roman"/>
                <w:b/>
                <w:caps w:val="0"/>
                <w:smallCaps w:val="0"/>
                <w:color w:val="auto"/>
                <w:szCs w:val="21"/>
                <w:u w:val="single"/>
              </w:rPr>
            </w:pPr>
            <w:r>
              <w:rPr>
                <w:rFonts w:hint="eastAsia" w:ascii="Times New Roman" w:hAnsi="Times New Roman"/>
                <w:b/>
                <w:caps w:val="0"/>
                <w:smallCaps w:val="0"/>
                <w:color w:val="auto"/>
                <w:szCs w:val="21"/>
                <w:u w:val="single"/>
              </w:rPr>
              <w:t>COD</w:t>
            </w:r>
          </w:p>
        </w:tc>
        <w:tc>
          <w:tcPr>
            <w:tcW w:w="705" w:type="pct"/>
            <w:tcBorders>
              <w:tl2br w:val="nil"/>
              <w:tr2bl w:val="nil"/>
            </w:tcBorders>
            <w:noWrap w:val="0"/>
            <w:vAlign w:val="center"/>
          </w:tcPr>
          <w:p>
            <w:pPr>
              <w:spacing w:line="360" w:lineRule="exact"/>
              <w:jc w:val="center"/>
              <w:rPr>
                <w:rFonts w:ascii="Times New Roman" w:hAnsi="Times New Roman"/>
                <w:b/>
                <w:caps w:val="0"/>
                <w:smallCaps w:val="0"/>
                <w:color w:val="auto"/>
                <w:szCs w:val="21"/>
                <w:u w:val="single"/>
              </w:rPr>
            </w:pPr>
            <w:r>
              <w:rPr>
                <w:rFonts w:hint="eastAsia" w:ascii="Times New Roman" w:hAnsi="Times New Roman"/>
                <w:b/>
                <w:caps w:val="0"/>
                <w:smallCaps w:val="0"/>
                <w:color w:val="auto"/>
                <w:szCs w:val="21"/>
                <w:u w:val="single"/>
              </w:rPr>
              <w:t>BOD</w:t>
            </w:r>
            <w:r>
              <w:rPr>
                <w:rFonts w:hint="eastAsia" w:ascii="Times New Roman" w:hAnsi="Times New Roman"/>
                <w:b/>
                <w:caps w:val="0"/>
                <w:smallCaps w:val="0"/>
                <w:color w:val="auto"/>
                <w:szCs w:val="21"/>
                <w:u w:val="single"/>
                <w:vertAlign w:val="subscript"/>
              </w:rPr>
              <w:t>5</w:t>
            </w:r>
          </w:p>
        </w:tc>
        <w:tc>
          <w:tcPr>
            <w:tcW w:w="761" w:type="pct"/>
            <w:tcBorders>
              <w:tl2br w:val="nil"/>
              <w:tr2bl w:val="nil"/>
            </w:tcBorders>
            <w:noWrap w:val="0"/>
            <w:vAlign w:val="center"/>
          </w:tcPr>
          <w:p>
            <w:pPr>
              <w:spacing w:line="360" w:lineRule="exact"/>
              <w:jc w:val="center"/>
              <w:rPr>
                <w:rFonts w:ascii="Times New Roman" w:hAnsi="Times New Roman"/>
                <w:b/>
                <w:caps w:val="0"/>
                <w:smallCaps w:val="0"/>
                <w:color w:val="auto"/>
                <w:szCs w:val="21"/>
                <w:u w:val="single"/>
              </w:rPr>
            </w:pPr>
            <w:r>
              <w:rPr>
                <w:rFonts w:hint="eastAsia" w:ascii="Times New Roman" w:hAnsi="Times New Roman"/>
                <w:b/>
                <w:caps w:val="0"/>
                <w:smallCaps w:val="0"/>
                <w:color w:val="auto"/>
                <w:szCs w:val="21"/>
                <w:u w:val="single"/>
              </w:rPr>
              <w:t>NH</w:t>
            </w:r>
            <w:r>
              <w:rPr>
                <w:rFonts w:hint="eastAsia" w:ascii="Times New Roman" w:hAnsi="Times New Roman"/>
                <w:b/>
                <w:caps w:val="0"/>
                <w:smallCaps w:val="0"/>
                <w:color w:val="auto"/>
                <w:szCs w:val="21"/>
                <w:u w:val="single"/>
                <w:vertAlign w:val="subscript"/>
              </w:rPr>
              <w:t>3</w:t>
            </w:r>
            <w:r>
              <w:rPr>
                <w:rFonts w:hint="eastAsia" w:ascii="Times New Roman" w:hAnsi="Times New Roman"/>
                <w:b/>
                <w:caps w:val="0"/>
                <w:smallCaps w:val="0"/>
                <w:color w:val="auto"/>
                <w:szCs w:val="21"/>
                <w:u w:val="single"/>
              </w:rPr>
              <w:t>-N</w:t>
            </w:r>
          </w:p>
        </w:tc>
        <w:tc>
          <w:tcPr>
            <w:tcW w:w="661" w:type="pct"/>
            <w:tcBorders>
              <w:tl2br w:val="nil"/>
              <w:tr2bl w:val="nil"/>
            </w:tcBorders>
            <w:noWrap w:val="0"/>
            <w:vAlign w:val="center"/>
          </w:tcPr>
          <w:p>
            <w:pPr>
              <w:spacing w:line="360" w:lineRule="exact"/>
              <w:jc w:val="center"/>
              <w:rPr>
                <w:rFonts w:ascii="Times New Roman" w:hAnsi="Times New Roman"/>
                <w:b/>
                <w:caps w:val="0"/>
                <w:smallCaps w:val="0"/>
                <w:color w:val="auto"/>
                <w:szCs w:val="21"/>
                <w:u w:val="single"/>
              </w:rPr>
            </w:pPr>
            <w:r>
              <w:rPr>
                <w:rFonts w:hint="eastAsia" w:ascii="Times New Roman" w:hAnsi="Times New Roman"/>
                <w:b/>
                <w:caps w:val="0"/>
                <w:smallCaps w:val="0"/>
                <w:color w:val="auto"/>
                <w:szCs w:val="21"/>
                <w:u w:val="single"/>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0" w:type="pct"/>
            <w:vMerge w:val="restart"/>
            <w:tcBorders>
              <w:tl2br w:val="nil"/>
              <w:tr2bl w:val="nil"/>
            </w:tcBorders>
            <w:noWrap w:val="0"/>
            <w:tcMar>
              <w:left w:w="57" w:type="dxa"/>
              <w:right w:w="57" w:type="dxa"/>
            </w:tcMar>
            <w:vAlign w:val="center"/>
          </w:tcPr>
          <w:p>
            <w:pPr>
              <w:spacing w:line="360" w:lineRule="exact"/>
              <w:jc w:val="center"/>
              <w:rPr>
                <w:rFonts w:ascii="Times New Roman" w:hAnsi="Times New Roman"/>
                <w:caps w:val="0"/>
                <w:smallCaps w:val="0"/>
                <w:color w:val="auto"/>
                <w:szCs w:val="21"/>
                <w:u w:val="single"/>
              </w:rPr>
            </w:pPr>
            <w:r>
              <w:rPr>
                <w:rFonts w:hint="eastAsia" w:ascii="Times New Roman" w:hAnsi="Times New Roman"/>
                <w:caps w:val="0"/>
                <w:smallCaps w:val="0"/>
                <w:color w:val="auto"/>
                <w:szCs w:val="21"/>
                <w:u w:val="single"/>
              </w:rPr>
              <w:t>厂区</w:t>
            </w:r>
            <w:r>
              <w:rPr>
                <w:rFonts w:hint="eastAsia" w:ascii="Times New Roman" w:hAnsi="Times New Roman"/>
                <w:caps w:val="0"/>
                <w:smallCaps w:val="0"/>
                <w:color w:val="auto"/>
                <w:szCs w:val="21"/>
                <w:u w:val="single"/>
                <w:lang w:val="en-US" w:eastAsia="zh-CN"/>
              </w:rPr>
              <w:t>废水</w:t>
            </w:r>
            <w:r>
              <w:rPr>
                <w:rFonts w:hint="eastAsia" w:ascii="Times New Roman" w:hAnsi="Times New Roman"/>
                <w:caps w:val="0"/>
                <w:smallCaps w:val="0"/>
                <w:color w:val="auto"/>
                <w:szCs w:val="21"/>
                <w:u w:val="single"/>
              </w:rPr>
              <w:t>总排口</w:t>
            </w:r>
          </w:p>
        </w:tc>
        <w:tc>
          <w:tcPr>
            <w:tcW w:w="773" w:type="pct"/>
            <w:tcBorders>
              <w:tl2br w:val="nil"/>
              <w:tr2bl w:val="nil"/>
            </w:tcBorders>
            <w:noWrap w:val="0"/>
            <w:tcMar>
              <w:left w:w="57" w:type="dxa"/>
              <w:right w:w="57" w:type="dxa"/>
            </w:tcMar>
            <w:vAlign w:val="center"/>
          </w:tcPr>
          <w:p>
            <w:pPr>
              <w:spacing w:line="360" w:lineRule="exact"/>
              <w:jc w:val="center"/>
              <w:rPr>
                <w:rFonts w:hint="eastAsia" w:ascii="Times New Roman" w:hAnsi="Times New Roman" w:eastAsia="宋体"/>
                <w:caps w:val="0"/>
                <w:smallCaps w:val="0"/>
                <w:color w:val="auto"/>
                <w:szCs w:val="21"/>
                <w:u w:val="single"/>
                <w:lang w:eastAsia="zh-CN"/>
              </w:rPr>
            </w:pPr>
            <w:r>
              <w:rPr>
                <w:rFonts w:hint="eastAsia" w:ascii="Times New Roman" w:hAnsi="Times New Roman"/>
                <w:caps w:val="0"/>
                <w:smallCaps w:val="0"/>
                <w:color w:val="auto"/>
                <w:szCs w:val="21"/>
                <w:u w:val="single"/>
                <w:lang w:eastAsia="zh-CN"/>
              </w:rPr>
              <w:t>实测浓度</w:t>
            </w:r>
          </w:p>
        </w:tc>
        <w:tc>
          <w:tcPr>
            <w:tcW w:w="661"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single"/>
                <w:lang w:val="en-US" w:eastAsia="zh-CN"/>
              </w:rPr>
            </w:pPr>
            <w:r>
              <w:rPr>
                <w:rFonts w:hint="eastAsia" w:ascii="Times New Roman" w:hAnsi="Times New Roman"/>
                <w:caps w:val="0"/>
                <w:smallCaps w:val="0"/>
                <w:color w:val="auto"/>
                <w:szCs w:val="21"/>
                <w:u w:val="single"/>
                <w:lang w:val="en-US" w:eastAsia="zh-CN"/>
              </w:rPr>
              <w:t>6.86</w:t>
            </w:r>
          </w:p>
        </w:tc>
        <w:tc>
          <w:tcPr>
            <w:tcW w:w="716"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single"/>
                <w:lang w:val="en-US" w:eastAsia="zh-CN"/>
              </w:rPr>
            </w:pPr>
            <w:r>
              <w:rPr>
                <w:rFonts w:hint="eastAsia" w:ascii="Times New Roman" w:hAnsi="Times New Roman"/>
                <w:caps w:val="0"/>
                <w:smallCaps w:val="0"/>
                <w:color w:val="auto"/>
                <w:szCs w:val="21"/>
                <w:u w:val="single"/>
                <w:lang w:val="en-US" w:eastAsia="zh-CN"/>
              </w:rPr>
              <w:t>176</w:t>
            </w:r>
          </w:p>
        </w:tc>
        <w:tc>
          <w:tcPr>
            <w:tcW w:w="705"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single"/>
                <w:lang w:val="en-US" w:eastAsia="zh-CN"/>
              </w:rPr>
            </w:pPr>
            <w:r>
              <w:rPr>
                <w:rFonts w:hint="eastAsia" w:ascii="Times New Roman" w:hAnsi="Times New Roman"/>
                <w:caps w:val="0"/>
                <w:smallCaps w:val="0"/>
                <w:color w:val="auto"/>
                <w:szCs w:val="21"/>
                <w:u w:val="single"/>
                <w:lang w:val="en-US" w:eastAsia="zh-CN"/>
              </w:rPr>
              <w:t>35.7</w:t>
            </w:r>
          </w:p>
        </w:tc>
        <w:tc>
          <w:tcPr>
            <w:tcW w:w="761"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single"/>
                <w:lang w:val="en-US" w:eastAsia="zh-CN"/>
              </w:rPr>
            </w:pPr>
            <w:r>
              <w:rPr>
                <w:rFonts w:hint="eastAsia" w:ascii="Times New Roman" w:hAnsi="Times New Roman"/>
                <w:caps w:val="0"/>
                <w:smallCaps w:val="0"/>
                <w:color w:val="auto"/>
                <w:szCs w:val="21"/>
                <w:u w:val="single"/>
                <w:lang w:val="en-US" w:eastAsia="zh-CN"/>
              </w:rPr>
              <w:t>4.03</w:t>
            </w:r>
          </w:p>
        </w:tc>
        <w:tc>
          <w:tcPr>
            <w:tcW w:w="661"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single"/>
                <w:lang w:val="en-US" w:eastAsia="zh-CN"/>
              </w:rPr>
            </w:pPr>
            <w:r>
              <w:rPr>
                <w:rFonts w:hint="eastAsia" w:ascii="Times New Roman" w:hAnsi="Times New Roman"/>
                <w:caps w:val="0"/>
                <w:smallCaps w:val="0"/>
                <w:color w:val="auto"/>
                <w:szCs w:val="21"/>
                <w:u w:val="single"/>
                <w:lang w:val="en-US" w:eastAsia="zh-CN"/>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6" w:hRule="atLeast"/>
        </w:trPr>
        <w:tc>
          <w:tcPr>
            <w:tcW w:w="720" w:type="pct"/>
            <w:vMerge w:val="continue"/>
            <w:tcBorders>
              <w:tl2br w:val="nil"/>
              <w:tr2bl w:val="nil"/>
            </w:tcBorders>
            <w:noWrap w:val="0"/>
            <w:tcMar>
              <w:left w:w="57" w:type="dxa"/>
              <w:right w:w="57" w:type="dxa"/>
            </w:tcMar>
            <w:vAlign w:val="center"/>
          </w:tcPr>
          <w:p>
            <w:pPr>
              <w:spacing w:line="360" w:lineRule="exact"/>
              <w:jc w:val="center"/>
              <w:rPr>
                <w:rFonts w:ascii="Times New Roman" w:hAnsi="Times New Roman"/>
                <w:b/>
                <w:caps w:val="0"/>
                <w:smallCaps w:val="0"/>
                <w:color w:val="auto"/>
                <w:szCs w:val="21"/>
                <w:u w:val="single"/>
              </w:rPr>
            </w:pPr>
          </w:p>
        </w:tc>
        <w:tc>
          <w:tcPr>
            <w:tcW w:w="773" w:type="pct"/>
            <w:tcBorders>
              <w:tl2br w:val="nil"/>
              <w:tr2bl w:val="nil"/>
            </w:tcBorders>
            <w:noWrap w:val="0"/>
            <w:tcMar>
              <w:left w:w="57" w:type="dxa"/>
              <w:right w:w="57" w:type="dxa"/>
            </w:tcMar>
            <w:vAlign w:val="center"/>
          </w:tcPr>
          <w:p>
            <w:pPr>
              <w:spacing w:line="360" w:lineRule="exact"/>
              <w:jc w:val="center"/>
              <w:rPr>
                <w:rFonts w:hint="eastAsia" w:ascii="Times New Roman" w:hAnsi="Times New Roman"/>
                <w:b w:val="0"/>
                <w:bCs/>
                <w:caps w:val="0"/>
                <w:smallCaps w:val="0"/>
                <w:color w:val="auto"/>
                <w:szCs w:val="21"/>
                <w:u w:val="single"/>
              </w:rPr>
            </w:pPr>
            <w:r>
              <w:rPr>
                <w:rFonts w:hint="eastAsia" w:ascii="Times New Roman" w:hAnsi="Times New Roman"/>
                <w:b w:val="0"/>
                <w:bCs/>
                <w:caps w:val="0"/>
                <w:smallCaps w:val="0"/>
                <w:color w:val="auto"/>
                <w:szCs w:val="21"/>
                <w:u w:val="single"/>
              </w:rPr>
              <w:t>执行标准</w:t>
            </w:r>
          </w:p>
        </w:tc>
        <w:tc>
          <w:tcPr>
            <w:tcW w:w="661" w:type="pct"/>
            <w:tcBorders>
              <w:tl2br w:val="nil"/>
              <w:tr2bl w:val="nil"/>
            </w:tcBorders>
            <w:noWrap w:val="0"/>
            <w:vAlign w:val="center"/>
          </w:tcPr>
          <w:p>
            <w:pPr>
              <w:spacing w:line="360" w:lineRule="exact"/>
              <w:jc w:val="center"/>
              <w:rPr>
                <w:rFonts w:ascii="Times New Roman" w:hAnsi="Times New Roman"/>
                <w:b w:val="0"/>
                <w:bCs/>
                <w:caps w:val="0"/>
                <w:smallCaps w:val="0"/>
                <w:color w:val="auto"/>
                <w:szCs w:val="21"/>
                <w:u w:val="single"/>
              </w:rPr>
            </w:pPr>
            <w:r>
              <w:rPr>
                <w:rFonts w:hint="eastAsia" w:ascii="Times New Roman" w:hAnsi="Times New Roman"/>
                <w:b w:val="0"/>
                <w:bCs/>
                <w:caps w:val="0"/>
                <w:smallCaps w:val="0"/>
                <w:color w:val="auto"/>
                <w:szCs w:val="21"/>
                <w:u w:val="single"/>
              </w:rPr>
              <w:t>6-9</w:t>
            </w:r>
          </w:p>
        </w:tc>
        <w:tc>
          <w:tcPr>
            <w:tcW w:w="716" w:type="pct"/>
            <w:tcBorders>
              <w:tl2br w:val="nil"/>
              <w:tr2bl w:val="nil"/>
            </w:tcBorders>
            <w:noWrap w:val="0"/>
            <w:vAlign w:val="center"/>
          </w:tcPr>
          <w:p>
            <w:pPr>
              <w:spacing w:line="360" w:lineRule="exact"/>
              <w:jc w:val="center"/>
              <w:rPr>
                <w:rFonts w:hint="default" w:ascii="Times New Roman" w:hAnsi="Times New Roman" w:eastAsia="宋体"/>
                <w:b w:val="0"/>
                <w:bCs/>
                <w:caps w:val="0"/>
                <w:smallCaps w:val="0"/>
                <w:color w:val="auto"/>
                <w:szCs w:val="21"/>
                <w:u w:val="single"/>
                <w:lang w:val="en-US" w:eastAsia="zh-CN"/>
              </w:rPr>
            </w:pPr>
            <w:r>
              <w:rPr>
                <w:rFonts w:hint="eastAsia" w:ascii="Times New Roman" w:hAnsi="Times New Roman"/>
                <w:b w:val="0"/>
                <w:bCs/>
                <w:caps w:val="0"/>
                <w:smallCaps w:val="0"/>
                <w:color w:val="auto"/>
                <w:szCs w:val="21"/>
                <w:u w:val="single"/>
                <w:lang w:val="en-US" w:eastAsia="zh-CN"/>
              </w:rPr>
              <w:t>1000</w:t>
            </w:r>
          </w:p>
        </w:tc>
        <w:tc>
          <w:tcPr>
            <w:tcW w:w="705" w:type="pct"/>
            <w:tcBorders>
              <w:tl2br w:val="nil"/>
              <w:tr2bl w:val="nil"/>
            </w:tcBorders>
            <w:noWrap w:val="0"/>
            <w:vAlign w:val="center"/>
          </w:tcPr>
          <w:p>
            <w:pPr>
              <w:spacing w:line="360" w:lineRule="exact"/>
              <w:jc w:val="center"/>
              <w:rPr>
                <w:rFonts w:hint="default" w:ascii="Times New Roman" w:hAnsi="Times New Roman" w:eastAsia="宋体"/>
                <w:b w:val="0"/>
                <w:bCs/>
                <w:caps w:val="0"/>
                <w:smallCaps w:val="0"/>
                <w:color w:val="auto"/>
                <w:szCs w:val="21"/>
                <w:u w:val="single"/>
                <w:lang w:val="en-US" w:eastAsia="zh-CN"/>
              </w:rPr>
            </w:pPr>
            <w:r>
              <w:rPr>
                <w:rFonts w:hint="eastAsia" w:ascii="Times New Roman" w:hAnsi="Times New Roman"/>
                <w:b w:val="0"/>
                <w:bCs/>
                <w:caps w:val="0"/>
                <w:smallCaps w:val="0"/>
                <w:color w:val="auto"/>
                <w:szCs w:val="21"/>
                <w:u w:val="single"/>
                <w:lang w:val="en-US" w:eastAsia="zh-CN"/>
              </w:rPr>
              <w:t>300</w:t>
            </w:r>
          </w:p>
        </w:tc>
        <w:tc>
          <w:tcPr>
            <w:tcW w:w="761" w:type="pct"/>
            <w:tcBorders>
              <w:tl2br w:val="nil"/>
              <w:tr2bl w:val="nil"/>
            </w:tcBorders>
            <w:noWrap w:val="0"/>
            <w:vAlign w:val="center"/>
          </w:tcPr>
          <w:p>
            <w:pPr>
              <w:spacing w:line="360" w:lineRule="exact"/>
              <w:jc w:val="center"/>
              <w:rPr>
                <w:rFonts w:hint="default" w:ascii="Times New Roman" w:hAnsi="Times New Roman" w:eastAsia="宋体"/>
                <w:b w:val="0"/>
                <w:bCs/>
                <w:caps w:val="0"/>
                <w:smallCaps w:val="0"/>
                <w:color w:val="auto"/>
                <w:szCs w:val="21"/>
                <w:u w:val="single"/>
                <w:lang w:val="en-US" w:eastAsia="zh-CN"/>
              </w:rPr>
            </w:pPr>
            <w:r>
              <w:rPr>
                <w:rFonts w:hint="eastAsia" w:ascii="Times New Roman" w:hAnsi="Times New Roman"/>
                <w:b w:val="0"/>
                <w:bCs/>
                <w:caps w:val="0"/>
                <w:smallCaps w:val="0"/>
                <w:color w:val="auto"/>
                <w:szCs w:val="21"/>
                <w:u w:val="single"/>
                <w:lang w:val="en-US" w:eastAsia="zh-CN"/>
              </w:rPr>
              <w:t>30</w:t>
            </w:r>
          </w:p>
        </w:tc>
        <w:tc>
          <w:tcPr>
            <w:tcW w:w="661" w:type="pct"/>
            <w:tcBorders>
              <w:tl2br w:val="nil"/>
              <w:tr2bl w:val="nil"/>
            </w:tcBorders>
            <w:noWrap w:val="0"/>
            <w:vAlign w:val="center"/>
          </w:tcPr>
          <w:p>
            <w:pPr>
              <w:spacing w:line="360" w:lineRule="exact"/>
              <w:jc w:val="center"/>
              <w:rPr>
                <w:rFonts w:hint="default" w:ascii="Times New Roman" w:hAnsi="Times New Roman" w:eastAsia="宋体"/>
                <w:b w:val="0"/>
                <w:bCs/>
                <w:caps w:val="0"/>
                <w:smallCaps w:val="0"/>
                <w:color w:val="auto"/>
                <w:szCs w:val="21"/>
                <w:u w:val="single"/>
                <w:lang w:val="en-US" w:eastAsia="zh-CN"/>
              </w:rPr>
            </w:pPr>
            <w:r>
              <w:rPr>
                <w:rFonts w:hint="eastAsia" w:ascii="Times New Roman" w:hAnsi="Times New Roman"/>
                <w:b w:val="0"/>
                <w:bCs/>
                <w:caps w:val="0"/>
                <w:smallCaps w:val="0"/>
                <w:color w:val="auto"/>
                <w:szCs w:val="21"/>
                <w:u w:val="single"/>
                <w:lang w:val="en-US" w:eastAsia="zh-CN"/>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20" w:type="pct"/>
            <w:vMerge w:val="continue"/>
            <w:tcBorders>
              <w:tl2br w:val="nil"/>
              <w:tr2bl w:val="nil"/>
            </w:tcBorders>
            <w:noWrap w:val="0"/>
            <w:tcMar>
              <w:left w:w="57" w:type="dxa"/>
              <w:right w:w="57" w:type="dxa"/>
            </w:tcMar>
            <w:vAlign w:val="center"/>
          </w:tcPr>
          <w:p>
            <w:pPr>
              <w:spacing w:line="360" w:lineRule="exact"/>
              <w:jc w:val="center"/>
              <w:rPr>
                <w:rFonts w:ascii="Times New Roman" w:hAnsi="Times New Roman"/>
                <w:caps w:val="0"/>
                <w:smallCaps w:val="0"/>
                <w:color w:val="auto"/>
                <w:szCs w:val="21"/>
                <w:u w:val="single"/>
              </w:rPr>
            </w:pPr>
          </w:p>
        </w:tc>
        <w:tc>
          <w:tcPr>
            <w:tcW w:w="773" w:type="pct"/>
            <w:tcBorders>
              <w:tl2br w:val="nil"/>
              <w:tr2bl w:val="nil"/>
            </w:tcBorders>
            <w:noWrap w:val="0"/>
            <w:tcMar>
              <w:left w:w="57" w:type="dxa"/>
              <w:right w:w="57" w:type="dxa"/>
            </w:tcMar>
            <w:vAlign w:val="center"/>
          </w:tcPr>
          <w:p>
            <w:pPr>
              <w:spacing w:line="360" w:lineRule="exact"/>
              <w:jc w:val="center"/>
              <w:rPr>
                <w:rFonts w:hint="eastAsia" w:ascii="Times New Roman" w:hAnsi="Times New Roman"/>
                <w:b w:val="0"/>
                <w:bCs/>
                <w:caps w:val="0"/>
                <w:smallCaps w:val="0"/>
                <w:color w:val="auto"/>
                <w:szCs w:val="21"/>
                <w:u w:val="single"/>
              </w:rPr>
            </w:pPr>
            <w:r>
              <w:rPr>
                <w:rFonts w:hint="eastAsia" w:ascii="Times New Roman" w:hAnsi="Times New Roman"/>
                <w:b w:val="0"/>
                <w:bCs/>
                <w:caps w:val="0"/>
                <w:smallCaps w:val="0"/>
                <w:color w:val="auto"/>
                <w:szCs w:val="21"/>
                <w:u w:val="single"/>
              </w:rPr>
              <w:t>达标情况</w:t>
            </w:r>
          </w:p>
        </w:tc>
        <w:tc>
          <w:tcPr>
            <w:tcW w:w="661" w:type="pct"/>
            <w:tcBorders>
              <w:tl2br w:val="nil"/>
              <w:tr2bl w:val="nil"/>
            </w:tcBorders>
            <w:noWrap w:val="0"/>
            <w:vAlign w:val="center"/>
          </w:tcPr>
          <w:p>
            <w:pPr>
              <w:spacing w:line="360" w:lineRule="exact"/>
              <w:jc w:val="center"/>
              <w:rPr>
                <w:rFonts w:ascii="Times New Roman" w:hAnsi="Times New Roman"/>
                <w:b w:val="0"/>
                <w:bCs/>
                <w:caps w:val="0"/>
                <w:smallCaps w:val="0"/>
                <w:color w:val="auto"/>
                <w:szCs w:val="21"/>
                <w:u w:val="single"/>
              </w:rPr>
            </w:pPr>
            <w:r>
              <w:rPr>
                <w:rFonts w:hint="eastAsia" w:ascii="Times New Roman" w:hAnsi="Times New Roman"/>
                <w:b w:val="0"/>
                <w:bCs/>
                <w:caps w:val="0"/>
                <w:smallCaps w:val="0"/>
                <w:color w:val="auto"/>
                <w:szCs w:val="21"/>
                <w:u w:val="single"/>
              </w:rPr>
              <w:t>达标</w:t>
            </w:r>
          </w:p>
        </w:tc>
        <w:tc>
          <w:tcPr>
            <w:tcW w:w="716" w:type="pct"/>
            <w:tcBorders>
              <w:tl2br w:val="nil"/>
              <w:tr2bl w:val="nil"/>
            </w:tcBorders>
            <w:noWrap w:val="0"/>
            <w:vAlign w:val="center"/>
          </w:tcPr>
          <w:p>
            <w:pPr>
              <w:spacing w:line="360" w:lineRule="exact"/>
              <w:jc w:val="center"/>
              <w:rPr>
                <w:rFonts w:ascii="Times New Roman" w:hAnsi="Times New Roman"/>
                <w:b w:val="0"/>
                <w:bCs/>
                <w:caps w:val="0"/>
                <w:smallCaps w:val="0"/>
                <w:color w:val="auto"/>
                <w:szCs w:val="21"/>
                <w:u w:val="single"/>
              </w:rPr>
            </w:pPr>
            <w:r>
              <w:rPr>
                <w:rFonts w:hint="eastAsia" w:ascii="Times New Roman" w:hAnsi="Times New Roman"/>
                <w:b w:val="0"/>
                <w:bCs/>
                <w:caps w:val="0"/>
                <w:smallCaps w:val="0"/>
                <w:color w:val="auto"/>
                <w:szCs w:val="21"/>
                <w:u w:val="single"/>
              </w:rPr>
              <w:t>达标</w:t>
            </w:r>
          </w:p>
        </w:tc>
        <w:tc>
          <w:tcPr>
            <w:tcW w:w="705" w:type="pct"/>
            <w:tcBorders>
              <w:tl2br w:val="nil"/>
              <w:tr2bl w:val="nil"/>
            </w:tcBorders>
            <w:noWrap w:val="0"/>
            <w:vAlign w:val="center"/>
          </w:tcPr>
          <w:p>
            <w:pPr>
              <w:spacing w:line="360" w:lineRule="exact"/>
              <w:jc w:val="center"/>
              <w:rPr>
                <w:rFonts w:ascii="Times New Roman" w:hAnsi="Times New Roman"/>
                <w:b w:val="0"/>
                <w:bCs/>
                <w:caps w:val="0"/>
                <w:smallCaps w:val="0"/>
                <w:color w:val="auto"/>
                <w:szCs w:val="21"/>
                <w:u w:val="single"/>
              </w:rPr>
            </w:pPr>
            <w:r>
              <w:rPr>
                <w:rFonts w:hint="eastAsia" w:ascii="Times New Roman" w:hAnsi="Times New Roman"/>
                <w:b w:val="0"/>
                <w:bCs/>
                <w:caps w:val="0"/>
                <w:smallCaps w:val="0"/>
                <w:color w:val="auto"/>
                <w:szCs w:val="21"/>
                <w:u w:val="single"/>
              </w:rPr>
              <w:t>达标</w:t>
            </w:r>
          </w:p>
        </w:tc>
        <w:tc>
          <w:tcPr>
            <w:tcW w:w="761" w:type="pct"/>
            <w:tcBorders>
              <w:tl2br w:val="nil"/>
              <w:tr2bl w:val="nil"/>
            </w:tcBorders>
            <w:noWrap w:val="0"/>
            <w:vAlign w:val="center"/>
          </w:tcPr>
          <w:p>
            <w:pPr>
              <w:spacing w:line="360" w:lineRule="exact"/>
              <w:jc w:val="center"/>
              <w:rPr>
                <w:rFonts w:ascii="Times New Roman" w:hAnsi="Times New Roman"/>
                <w:b w:val="0"/>
                <w:bCs/>
                <w:caps w:val="0"/>
                <w:smallCaps w:val="0"/>
                <w:color w:val="auto"/>
                <w:szCs w:val="21"/>
                <w:u w:val="single"/>
              </w:rPr>
            </w:pPr>
            <w:r>
              <w:rPr>
                <w:rFonts w:hint="eastAsia" w:ascii="Times New Roman" w:hAnsi="Times New Roman"/>
                <w:b w:val="0"/>
                <w:bCs/>
                <w:caps w:val="0"/>
                <w:smallCaps w:val="0"/>
                <w:color w:val="auto"/>
                <w:szCs w:val="21"/>
                <w:u w:val="single"/>
              </w:rPr>
              <w:t>达标</w:t>
            </w:r>
          </w:p>
        </w:tc>
        <w:tc>
          <w:tcPr>
            <w:tcW w:w="661" w:type="pct"/>
            <w:tcBorders>
              <w:tl2br w:val="nil"/>
              <w:tr2bl w:val="nil"/>
            </w:tcBorders>
            <w:noWrap w:val="0"/>
            <w:vAlign w:val="center"/>
          </w:tcPr>
          <w:p>
            <w:pPr>
              <w:spacing w:line="360" w:lineRule="exact"/>
              <w:jc w:val="center"/>
              <w:rPr>
                <w:rFonts w:ascii="Times New Roman" w:hAnsi="Times New Roman"/>
                <w:b w:val="0"/>
                <w:bCs/>
                <w:caps w:val="0"/>
                <w:smallCaps w:val="0"/>
                <w:color w:val="auto"/>
                <w:szCs w:val="21"/>
                <w:u w:val="single"/>
              </w:rPr>
            </w:pPr>
            <w:r>
              <w:rPr>
                <w:rFonts w:hint="eastAsia" w:ascii="Times New Roman" w:hAnsi="Times New Roman"/>
                <w:b w:val="0"/>
                <w:bCs/>
                <w:caps w:val="0"/>
                <w:smallCaps w:val="0"/>
                <w:color w:val="auto"/>
                <w:szCs w:val="21"/>
                <w:u w:val="single"/>
              </w:rPr>
              <w:t>达标</w:t>
            </w:r>
          </w:p>
        </w:tc>
      </w:tr>
    </w:tbl>
    <w:p>
      <w:pPr>
        <w:pStyle w:val="33"/>
        <w:bidi w:val="0"/>
        <w:rPr>
          <w:rFonts w:hint="default" w:eastAsia="宋体"/>
          <w:color w:val="auto"/>
          <w:u w:val="single"/>
          <w:lang w:val="en-US" w:eastAsia="zh-CN"/>
        </w:rPr>
      </w:pPr>
      <w:r>
        <w:rPr>
          <w:rFonts w:hint="eastAsia"/>
          <w:color w:val="auto"/>
          <w:u w:val="single"/>
          <w:lang w:val="en-US" w:eastAsia="zh-CN"/>
        </w:rPr>
        <w:t>现有项目废水满足</w:t>
      </w:r>
      <w:r>
        <w:rPr>
          <w:color w:val="auto"/>
          <w:u w:val="single"/>
        </w:rPr>
        <w:t>《</w:t>
      </w:r>
      <w:r>
        <w:rPr>
          <w:rFonts w:hint="eastAsia"/>
          <w:color w:val="auto"/>
          <w:u w:val="single"/>
        </w:rPr>
        <w:t>石油化学工业污染物排放标准</w:t>
      </w:r>
      <w:r>
        <w:rPr>
          <w:color w:val="auto"/>
          <w:u w:val="single"/>
        </w:rPr>
        <w:t>》</w:t>
      </w:r>
      <w:r>
        <w:rPr>
          <w:rFonts w:hint="eastAsia"/>
          <w:color w:val="auto"/>
          <w:u w:val="single"/>
        </w:rPr>
        <w:t>（GB31571-2015）</w:t>
      </w:r>
      <w:r>
        <w:rPr>
          <w:rFonts w:hint="eastAsia"/>
          <w:color w:val="auto"/>
          <w:u w:val="single"/>
          <w:lang w:eastAsia="zh-CN"/>
        </w:rPr>
        <w:t>、《合成树脂工业污染物排放标准》（</w:t>
      </w:r>
      <w:r>
        <w:rPr>
          <w:rFonts w:hint="eastAsia"/>
          <w:color w:val="auto"/>
          <w:u w:val="single"/>
          <w:lang w:val="en-US" w:eastAsia="zh-CN"/>
        </w:rPr>
        <w:t>GB31572-2015</w:t>
      </w:r>
      <w:r>
        <w:rPr>
          <w:rFonts w:hint="eastAsia"/>
          <w:color w:val="auto"/>
          <w:u w:val="single"/>
          <w:lang w:eastAsia="zh-CN"/>
        </w:rPr>
        <w:t>）</w:t>
      </w:r>
      <w:r>
        <w:rPr>
          <w:rFonts w:hint="eastAsia"/>
          <w:color w:val="auto"/>
          <w:u w:val="single"/>
        </w:rPr>
        <w:t>及云溪区污水处理厂进水水质</w:t>
      </w:r>
      <w:r>
        <w:rPr>
          <w:rFonts w:hint="eastAsia"/>
          <w:color w:val="auto"/>
          <w:u w:val="single"/>
          <w:lang w:val="en-US" w:eastAsia="zh-CN"/>
        </w:rPr>
        <w:t>标准要求。</w:t>
      </w:r>
    </w:p>
    <w:p>
      <w:pPr>
        <w:pStyle w:val="32"/>
        <w:bidi w:val="0"/>
        <w:rPr>
          <w:color w:val="auto"/>
        </w:rPr>
      </w:pPr>
      <w:r>
        <w:rPr>
          <w:rFonts w:hint="eastAsia"/>
          <w:color w:val="auto"/>
          <w:lang w:val="en-US" w:eastAsia="zh-CN"/>
        </w:rPr>
        <w:t>3.3.4</w:t>
      </w:r>
      <w:r>
        <w:rPr>
          <w:rFonts w:hint="eastAsia"/>
          <w:color w:val="auto"/>
        </w:rPr>
        <w:t>噪声源</w:t>
      </w:r>
      <w:bookmarkEnd w:id="54"/>
    </w:p>
    <w:p>
      <w:pPr>
        <w:pStyle w:val="33"/>
        <w:bidi w:val="0"/>
        <w:rPr>
          <w:color w:val="auto"/>
        </w:rPr>
      </w:pPr>
      <w:r>
        <w:rPr>
          <w:rFonts w:hint="eastAsia"/>
          <w:color w:val="auto"/>
        </w:rPr>
        <w:t>本项目噪声源主要为生产设备噪声，产生噪声的主要设备有卧式沙磨机、三辊研磨机、高速分散剂、反应釜、各类泵、风机等机械设备，为减少噪声污染，尽量选用低噪声设备，同时采用以下措施：各种风机进出口加装消声器及用软管连接，并采用减振底座；泵进出口加装避振喉，基础增加橡胶减振垫。具体情况见表</w:t>
      </w:r>
      <w:r>
        <w:rPr>
          <w:rFonts w:hint="eastAsia"/>
          <w:color w:val="auto"/>
          <w:lang w:val="en-US" w:eastAsia="zh-CN"/>
        </w:rPr>
        <w:t>3.3-8</w:t>
      </w:r>
      <w:r>
        <w:rPr>
          <w:rFonts w:hint="eastAsia"/>
          <w:color w:val="auto"/>
        </w:rPr>
        <w:t>。</w:t>
      </w:r>
    </w:p>
    <w:p>
      <w:pPr>
        <w:pStyle w:val="36"/>
        <w:bidi w:val="0"/>
        <w:rPr>
          <w:color w:val="auto"/>
        </w:rPr>
      </w:pPr>
      <w:r>
        <w:rPr>
          <w:color w:val="auto"/>
        </w:rPr>
        <w:t>表</w:t>
      </w:r>
      <w:r>
        <w:rPr>
          <w:rFonts w:hint="eastAsia"/>
          <w:color w:val="auto"/>
          <w:lang w:val="en-US" w:eastAsia="zh-CN"/>
        </w:rPr>
        <w:t>3.3-8</w:t>
      </w:r>
      <w:r>
        <w:rPr>
          <w:color w:val="auto"/>
        </w:rPr>
        <w:t xml:space="preserve"> 项目主要噪声源强</w:t>
      </w:r>
      <w:r>
        <w:rPr>
          <w:rFonts w:hint="eastAsia"/>
          <w:color w:val="auto"/>
        </w:rPr>
        <w:t>一览表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1820"/>
        <w:gridCol w:w="1671"/>
        <w:gridCol w:w="807"/>
        <w:gridCol w:w="2876"/>
        <w:gridCol w:w="1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15" w:type="pct"/>
            <w:tcBorders>
              <w:tl2br w:val="nil"/>
              <w:tr2bl w:val="nil"/>
            </w:tcBorders>
            <w:noWrap w:val="0"/>
            <w:vAlign w:val="top"/>
          </w:tcPr>
          <w:p>
            <w:pPr>
              <w:pStyle w:val="35"/>
              <w:bidi w:val="0"/>
              <w:rPr>
                <w:b/>
                <w:bCs/>
                <w:color w:val="auto"/>
              </w:rPr>
            </w:pPr>
            <w:r>
              <w:rPr>
                <w:rFonts w:hint="eastAsia"/>
                <w:b/>
                <w:bCs/>
                <w:color w:val="auto"/>
              </w:rPr>
              <w:t>序号</w:t>
            </w:r>
          </w:p>
        </w:tc>
        <w:tc>
          <w:tcPr>
            <w:tcW w:w="956" w:type="pct"/>
            <w:tcBorders>
              <w:tl2br w:val="nil"/>
              <w:tr2bl w:val="nil"/>
            </w:tcBorders>
            <w:noWrap w:val="0"/>
            <w:vAlign w:val="center"/>
          </w:tcPr>
          <w:p>
            <w:pPr>
              <w:pStyle w:val="35"/>
              <w:bidi w:val="0"/>
              <w:rPr>
                <w:b/>
                <w:bCs/>
                <w:color w:val="auto"/>
              </w:rPr>
            </w:pPr>
            <w:r>
              <w:rPr>
                <w:b/>
                <w:bCs/>
                <w:color w:val="auto"/>
              </w:rPr>
              <w:t>噪声源</w:t>
            </w:r>
          </w:p>
        </w:tc>
        <w:tc>
          <w:tcPr>
            <w:tcW w:w="878" w:type="pct"/>
            <w:tcBorders>
              <w:tl2br w:val="nil"/>
              <w:tr2bl w:val="nil"/>
            </w:tcBorders>
            <w:noWrap w:val="0"/>
            <w:vAlign w:val="center"/>
          </w:tcPr>
          <w:p>
            <w:pPr>
              <w:pStyle w:val="35"/>
              <w:bidi w:val="0"/>
              <w:rPr>
                <w:b/>
                <w:bCs/>
                <w:color w:val="auto"/>
              </w:rPr>
            </w:pPr>
            <w:r>
              <w:rPr>
                <w:b/>
                <w:bCs/>
                <w:color w:val="auto"/>
              </w:rPr>
              <w:t>噪声产生声级</w:t>
            </w:r>
          </w:p>
          <w:p>
            <w:pPr>
              <w:pStyle w:val="35"/>
              <w:bidi w:val="0"/>
              <w:rPr>
                <w:b/>
                <w:bCs/>
                <w:color w:val="auto"/>
              </w:rPr>
            </w:pPr>
            <w:r>
              <w:rPr>
                <w:b/>
                <w:bCs/>
                <w:color w:val="auto"/>
              </w:rPr>
              <w:t>dB(A)</w:t>
            </w:r>
          </w:p>
        </w:tc>
        <w:tc>
          <w:tcPr>
            <w:tcW w:w="424" w:type="pct"/>
            <w:tcBorders>
              <w:tl2br w:val="nil"/>
              <w:tr2bl w:val="nil"/>
            </w:tcBorders>
            <w:noWrap w:val="0"/>
            <w:vAlign w:val="center"/>
          </w:tcPr>
          <w:p>
            <w:pPr>
              <w:pStyle w:val="35"/>
              <w:bidi w:val="0"/>
              <w:rPr>
                <w:b/>
                <w:bCs/>
                <w:color w:val="auto"/>
              </w:rPr>
            </w:pPr>
            <w:r>
              <w:rPr>
                <w:b/>
                <w:bCs/>
                <w:color w:val="auto"/>
              </w:rPr>
              <w:t>工况</w:t>
            </w:r>
          </w:p>
        </w:tc>
        <w:tc>
          <w:tcPr>
            <w:tcW w:w="1511" w:type="pct"/>
            <w:tcBorders>
              <w:tl2br w:val="nil"/>
              <w:tr2bl w:val="nil"/>
            </w:tcBorders>
            <w:noWrap w:val="0"/>
            <w:vAlign w:val="center"/>
          </w:tcPr>
          <w:p>
            <w:pPr>
              <w:pStyle w:val="35"/>
              <w:bidi w:val="0"/>
              <w:rPr>
                <w:b/>
                <w:bCs/>
                <w:color w:val="auto"/>
              </w:rPr>
            </w:pPr>
            <w:r>
              <w:rPr>
                <w:b/>
                <w:bCs/>
                <w:color w:val="auto"/>
              </w:rPr>
              <w:t>降噪措施</w:t>
            </w:r>
          </w:p>
        </w:tc>
        <w:tc>
          <w:tcPr>
            <w:tcW w:w="712" w:type="pct"/>
            <w:tcBorders>
              <w:tl2br w:val="nil"/>
              <w:tr2bl w:val="nil"/>
            </w:tcBorders>
            <w:noWrap w:val="0"/>
            <w:vAlign w:val="center"/>
          </w:tcPr>
          <w:p>
            <w:pPr>
              <w:pStyle w:val="35"/>
              <w:bidi w:val="0"/>
              <w:rPr>
                <w:b/>
                <w:bCs/>
                <w:color w:val="auto"/>
              </w:rPr>
            </w:pPr>
            <w:r>
              <w:rPr>
                <w:b/>
                <w:bCs/>
                <w:color w:val="auto"/>
              </w:rPr>
              <w:t>治理效果dB(A)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15" w:type="pct"/>
            <w:tcBorders>
              <w:tl2br w:val="nil"/>
              <w:tr2bl w:val="nil"/>
            </w:tcBorders>
            <w:noWrap w:val="0"/>
            <w:vAlign w:val="top"/>
          </w:tcPr>
          <w:p>
            <w:pPr>
              <w:pStyle w:val="35"/>
              <w:bidi w:val="0"/>
              <w:rPr>
                <w:color w:val="auto"/>
              </w:rPr>
            </w:pPr>
            <w:r>
              <w:rPr>
                <w:rFonts w:hint="eastAsia"/>
                <w:color w:val="auto"/>
              </w:rPr>
              <w:t>1</w:t>
            </w:r>
          </w:p>
        </w:tc>
        <w:tc>
          <w:tcPr>
            <w:tcW w:w="956" w:type="pct"/>
            <w:tcBorders>
              <w:tl2br w:val="nil"/>
              <w:tr2bl w:val="nil"/>
            </w:tcBorders>
            <w:noWrap w:val="0"/>
            <w:vAlign w:val="center"/>
          </w:tcPr>
          <w:p>
            <w:pPr>
              <w:pStyle w:val="35"/>
              <w:bidi w:val="0"/>
              <w:rPr>
                <w:color w:val="auto"/>
              </w:rPr>
            </w:pPr>
            <w:r>
              <w:rPr>
                <w:rFonts w:hint="eastAsia"/>
                <w:color w:val="auto"/>
              </w:rPr>
              <w:t>研磨机</w:t>
            </w:r>
          </w:p>
        </w:tc>
        <w:tc>
          <w:tcPr>
            <w:tcW w:w="878" w:type="pct"/>
            <w:tcBorders>
              <w:tl2br w:val="nil"/>
              <w:tr2bl w:val="nil"/>
            </w:tcBorders>
            <w:noWrap w:val="0"/>
            <w:vAlign w:val="center"/>
          </w:tcPr>
          <w:p>
            <w:pPr>
              <w:pStyle w:val="35"/>
              <w:bidi w:val="0"/>
              <w:rPr>
                <w:color w:val="auto"/>
              </w:rPr>
            </w:pPr>
            <w:r>
              <w:rPr>
                <w:rFonts w:hint="eastAsia"/>
                <w:color w:val="auto"/>
              </w:rPr>
              <w:t>85~</w:t>
            </w:r>
            <w:r>
              <w:rPr>
                <w:color w:val="auto"/>
              </w:rPr>
              <w:t>90</w:t>
            </w:r>
          </w:p>
        </w:tc>
        <w:tc>
          <w:tcPr>
            <w:tcW w:w="424" w:type="pct"/>
            <w:tcBorders>
              <w:tl2br w:val="nil"/>
              <w:tr2bl w:val="nil"/>
            </w:tcBorders>
            <w:noWrap w:val="0"/>
            <w:vAlign w:val="center"/>
          </w:tcPr>
          <w:p>
            <w:pPr>
              <w:pStyle w:val="35"/>
              <w:bidi w:val="0"/>
              <w:rPr>
                <w:color w:val="auto"/>
              </w:rPr>
            </w:pPr>
            <w:r>
              <w:rPr>
                <w:rFonts w:hint="eastAsia"/>
                <w:color w:val="auto"/>
              </w:rPr>
              <w:t>间歇</w:t>
            </w:r>
          </w:p>
        </w:tc>
        <w:tc>
          <w:tcPr>
            <w:tcW w:w="1511" w:type="pct"/>
            <w:tcBorders>
              <w:tl2br w:val="nil"/>
              <w:tr2bl w:val="nil"/>
            </w:tcBorders>
            <w:noWrap w:val="0"/>
            <w:vAlign w:val="center"/>
          </w:tcPr>
          <w:p>
            <w:pPr>
              <w:pStyle w:val="35"/>
              <w:bidi w:val="0"/>
              <w:rPr>
                <w:color w:val="auto"/>
              </w:rPr>
            </w:pPr>
            <w:r>
              <w:rPr>
                <w:color w:val="auto"/>
              </w:rPr>
              <w:t>基础减振、隔声</w:t>
            </w:r>
          </w:p>
        </w:tc>
        <w:tc>
          <w:tcPr>
            <w:tcW w:w="712" w:type="pct"/>
            <w:tcBorders>
              <w:tl2br w:val="nil"/>
              <w:tr2bl w:val="nil"/>
            </w:tcBorders>
            <w:noWrap w:val="0"/>
            <w:vAlign w:val="center"/>
          </w:tcPr>
          <w:p>
            <w:pPr>
              <w:pStyle w:val="35"/>
              <w:bidi w:val="0"/>
              <w:rPr>
                <w:color w:val="auto"/>
              </w:rPr>
            </w:pPr>
            <w:r>
              <w:rPr>
                <w:rFonts w:hint="eastAsia"/>
                <w:color w:val="auto"/>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15" w:type="pct"/>
            <w:tcBorders>
              <w:tl2br w:val="nil"/>
              <w:tr2bl w:val="nil"/>
            </w:tcBorders>
            <w:noWrap w:val="0"/>
            <w:vAlign w:val="top"/>
          </w:tcPr>
          <w:p>
            <w:pPr>
              <w:pStyle w:val="35"/>
              <w:bidi w:val="0"/>
              <w:rPr>
                <w:color w:val="auto"/>
              </w:rPr>
            </w:pPr>
            <w:r>
              <w:rPr>
                <w:rFonts w:hint="eastAsia"/>
                <w:color w:val="auto"/>
              </w:rPr>
              <w:t>2</w:t>
            </w:r>
          </w:p>
        </w:tc>
        <w:tc>
          <w:tcPr>
            <w:tcW w:w="956" w:type="pct"/>
            <w:tcBorders>
              <w:tl2br w:val="nil"/>
              <w:tr2bl w:val="nil"/>
            </w:tcBorders>
            <w:noWrap w:val="0"/>
            <w:vAlign w:val="center"/>
          </w:tcPr>
          <w:p>
            <w:pPr>
              <w:pStyle w:val="35"/>
              <w:bidi w:val="0"/>
              <w:rPr>
                <w:color w:val="auto"/>
              </w:rPr>
            </w:pPr>
            <w:r>
              <w:rPr>
                <w:rFonts w:hint="eastAsia"/>
                <w:color w:val="auto"/>
              </w:rPr>
              <w:t>高速分散机</w:t>
            </w:r>
          </w:p>
        </w:tc>
        <w:tc>
          <w:tcPr>
            <w:tcW w:w="878" w:type="pct"/>
            <w:tcBorders>
              <w:tl2br w:val="nil"/>
              <w:tr2bl w:val="nil"/>
            </w:tcBorders>
            <w:noWrap w:val="0"/>
            <w:vAlign w:val="center"/>
          </w:tcPr>
          <w:p>
            <w:pPr>
              <w:pStyle w:val="35"/>
              <w:bidi w:val="0"/>
              <w:rPr>
                <w:color w:val="auto"/>
              </w:rPr>
            </w:pPr>
            <w:r>
              <w:rPr>
                <w:rFonts w:hint="eastAsia"/>
                <w:color w:val="auto"/>
              </w:rPr>
              <w:t>75~85</w:t>
            </w:r>
          </w:p>
        </w:tc>
        <w:tc>
          <w:tcPr>
            <w:tcW w:w="424" w:type="pct"/>
            <w:tcBorders>
              <w:tl2br w:val="nil"/>
              <w:tr2bl w:val="nil"/>
            </w:tcBorders>
            <w:noWrap w:val="0"/>
            <w:vAlign w:val="center"/>
          </w:tcPr>
          <w:p>
            <w:pPr>
              <w:pStyle w:val="35"/>
              <w:bidi w:val="0"/>
              <w:rPr>
                <w:color w:val="auto"/>
              </w:rPr>
            </w:pPr>
            <w:r>
              <w:rPr>
                <w:rFonts w:hint="eastAsia"/>
                <w:color w:val="auto"/>
              </w:rPr>
              <w:t>间歇</w:t>
            </w:r>
          </w:p>
        </w:tc>
        <w:tc>
          <w:tcPr>
            <w:tcW w:w="1511" w:type="pct"/>
            <w:tcBorders>
              <w:tl2br w:val="nil"/>
              <w:tr2bl w:val="nil"/>
            </w:tcBorders>
            <w:noWrap w:val="0"/>
            <w:vAlign w:val="center"/>
          </w:tcPr>
          <w:p>
            <w:pPr>
              <w:pStyle w:val="35"/>
              <w:bidi w:val="0"/>
              <w:rPr>
                <w:color w:val="auto"/>
              </w:rPr>
            </w:pPr>
            <w:r>
              <w:rPr>
                <w:color w:val="auto"/>
              </w:rPr>
              <w:t>基础减振、隔声</w:t>
            </w:r>
          </w:p>
        </w:tc>
        <w:tc>
          <w:tcPr>
            <w:tcW w:w="712" w:type="pct"/>
            <w:tcBorders>
              <w:tl2br w:val="nil"/>
              <w:tr2bl w:val="nil"/>
            </w:tcBorders>
            <w:noWrap w:val="0"/>
            <w:vAlign w:val="center"/>
          </w:tcPr>
          <w:p>
            <w:pPr>
              <w:pStyle w:val="35"/>
              <w:bidi w:val="0"/>
              <w:rPr>
                <w:color w:val="auto"/>
              </w:rPr>
            </w:pPr>
            <w:r>
              <w:rPr>
                <w:rFonts w:hint="eastAsia"/>
                <w:color w:val="auto"/>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15" w:type="pct"/>
            <w:tcBorders>
              <w:tl2br w:val="nil"/>
              <w:tr2bl w:val="nil"/>
            </w:tcBorders>
            <w:noWrap w:val="0"/>
            <w:vAlign w:val="top"/>
          </w:tcPr>
          <w:p>
            <w:pPr>
              <w:pStyle w:val="35"/>
              <w:bidi w:val="0"/>
              <w:rPr>
                <w:color w:val="auto"/>
              </w:rPr>
            </w:pPr>
            <w:r>
              <w:rPr>
                <w:rFonts w:hint="eastAsia"/>
                <w:color w:val="auto"/>
              </w:rPr>
              <w:t>3</w:t>
            </w:r>
          </w:p>
        </w:tc>
        <w:tc>
          <w:tcPr>
            <w:tcW w:w="956" w:type="pct"/>
            <w:tcBorders>
              <w:tl2br w:val="nil"/>
              <w:tr2bl w:val="nil"/>
            </w:tcBorders>
            <w:noWrap w:val="0"/>
            <w:vAlign w:val="center"/>
          </w:tcPr>
          <w:p>
            <w:pPr>
              <w:pStyle w:val="35"/>
              <w:bidi w:val="0"/>
              <w:rPr>
                <w:color w:val="auto"/>
              </w:rPr>
            </w:pPr>
            <w:r>
              <w:rPr>
                <w:rFonts w:hint="eastAsia"/>
                <w:color w:val="auto"/>
              </w:rPr>
              <w:t>反应釜</w:t>
            </w:r>
          </w:p>
        </w:tc>
        <w:tc>
          <w:tcPr>
            <w:tcW w:w="878" w:type="pct"/>
            <w:tcBorders>
              <w:tl2br w:val="nil"/>
              <w:tr2bl w:val="nil"/>
            </w:tcBorders>
            <w:noWrap w:val="0"/>
            <w:vAlign w:val="center"/>
          </w:tcPr>
          <w:p>
            <w:pPr>
              <w:pStyle w:val="35"/>
              <w:bidi w:val="0"/>
              <w:rPr>
                <w:color w:val="auto"/>
              </w:rPr>
            </w:pPr>
            <w:r>
              <w:rPr>
                <w:rFonts w:hint="eastAsia"/>
                <w:color w:val="auto"/>
              </w:rPr>
              <w:t>70~</w:t>
            </w:r>
            <w:r>
              <w:rPr>
                <w:color w:val="auto"/>
              </w:rPr>
              <w:t>80</w:t>
            </w:r>
          </w:p>
        </w:tc>
        <w:tc>
          <w:tcPr>
            <w:tcW w:w="424" w:type="pct"/>
            <w:tcBorders>
              <w:tl2br w:val="nil"/>
              <w:tr2bl w:val="nil"/>
            </w:tcBorders>
            <w:noWrap w:val="0"/>
            <w:vAlign w:val="center"/>
          </w:tcPr>
          <w:p>
            <w:pPr>
              <w:pStyle w:val="35"/>
              <w:bidi w:val="0"/>
              <w:rPr>
                <w:color w:val="auto"/>
              </w:rPr>
            </w:pPr>
            <w:r>
              <w:rPr>
                <w:rFonts w:hint="eastAsia"/>
                <w:color w:val="auto"/>
              </w:rPr>
              <w:t>间歇</w:t>
            </w:r>
          </w:p>
        </w:tc>
        <w:tc>
          <w:tcPr>
            <w:tcW w:w="1511" w:type="pct"/>
            <w:tcBorders>
              <w:tl2br w:val="nil"/>
              <w:tr2bl w:val="nil"/>
            </w:tcBorders>
            <w:noWrap w:val="0"/>
            <w:vAlign w:val="center"/>
          </w:tcPr>
          <w:p>
            <w:pPr>
              <w:pStyle w:val="35"/>
              <w:bidi w:val="0"/>
              <w:rPr>
                <w:color w:val="auto"/>
              </w:rPr>
            </w:pPr>
            <w:r>
              <w:rPr>
                <w:color w:val="auto"/>
              </w:rPr>
              <w:t>基础减振、隔声</w:t>
            </w:r>
          </w:p>
        </w:tc>
        <w:tc>
          <w:tcPr>
            <w:tcW w:w="712" w:type="pct"/>
            <w:tcBorders>
              <w:tl2br w:val="nil"/>
              <w:tr2bl w:val="nil"/>
            </w:tcBorders>
            <w:noWrap w:val="0"/>
            <w:vAlign w:val="center"/>
          </w:tcPr>
          <w:p>
            <w:pPr>
              <w:pStyle w:val="35"/>
              <w:bidi w:val="0"/>
              <w:rPr>
                <w:color w:val="auto"/>
              </w:rPr>
            </w:pPr>
            <w:r>
              <w:rPr>
                <w:color w:val="auto"/>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15" w:type="pct"/>
            <w:tcBorders>
              <w:tl2br w:val="nil"/>
              <w:tr2bl w:val="nil"/>
            </w:tcBorders>
            <w:noWrap w:val="0"/>
            <w:vAlign w:val="top"/>
          </w:tcPr>
          <w:p>
            <w:pPr>
              <w:pStyle w:val="35"/>
              <w:bidi w:val="0"/>
              <w:rPr>
                <w:color w:val="auto"/>
              </w:rPr>
            </w:pPr>
            <w:r>
              <w:rPr>
                <w:rFonts w:hint="eastAsia"/>
                <w:color w:val="auto"/>
              </w:rPr>
              <w:t>4</w:t>
            </w:r>
          </w:p>
        </w:tc>
        <w:tc>
          <w:tcPr>
            <w:tcW w:w="956" w:type="pct"/>
            <w:tcBorders>
              <w:tl2br w:val="nil"/>
              <w:tr2bl w:val="nil"/>
            </w:tcBorders>
            <w:noWrap w:val="0"/>
            <w:vAlign w:val="center"/>
          </w:tcPr>
          <w:p>
            <w:pPr>
              <w:pStyle w:val="35"/>
              <w:bidi w:val="0"/>
              <w:rPr>
                <w:color w:val="auto"/>
              </w:rPr>
            </w:pPr>
            <w:r>
              <w:rPr>
                <w:rFonts w:hint="eastAsia"/>
                <w:color w:val="auto"/>
              </w:rPr>
              <w:t>各类泵</w:t>
            </w:r>
          </w:p>
        </w:tc>
        <w:tc>
          <w:tcPr>
            <w:tcW w:w="878" w:type="pct"/>
            <w:tcBorders>
              <w:tl2br w:val="nil"/>
              <w:tr2bl w:val="nil"/>
            </w:tcBorders>
            <w:noWrap w:val="0"/>
            <w:vAlign w:val="center"/>
          </w:tcPr>
          <w:p>
            <w:pPr>
              <w:pStyle w:val="35"/>
              <w:bidi w:val="0"/>
              <w:rPr>
                <w:color w:val="auto"/>
              </w:rPr>
            </w:pPr>
            <w:r>
              <w:rPr>
                <w:rFonts w:hint="eastAsia"/>
                <w:color w:val="auto"/>
              </w:rPr>
              <w:t>75~</w:t>
            </w:r>
            <w:r>
              <w:rPr>
                <w:color w:val="auto"/>
              </w:rPr>
              <w:t>80</w:t>
            </w:r>
          </w:p>
        </w:tc>
        <w:tc>
          <w:tcPr>
            <w:tcW w:w="424" w:type="pct"/>
            <w:tcBorders>
              <w:tl2br w:val="nil"/>
              <w:tr2bl w:val="nil"/>
            </w:tcBorders>
            <w:noWrap w:val="0"/>
            <w:vAlign w:val="center"/>
          </w:tcPr>
          <w:p>
            <w:pPr>
              <w:pStyle w:val="35"/>
              <w:bidi w:val="0"/>
              <w:rPr>
                <w:color w:val="auto"/>
              </w:rPr>
            </w:pPr>
            <w:r>
              <w:rPr>
                <w:rFonts w:hint="eastAsia"/>
                <w:color w:val="auto"/>
              </w:rPr>
              <w:t>间歇</w:t>
            </w:r>
          </w:p>
        </w:tc>
        <w:tc>
          <w:tcPr>
            <w:tcW w:w="1511" w:type="pct"/>
            <w:tcBorders>
              <w:tl2br w:val="nil"/>
              <w:tr2bl w:val="nil"/>
            </w:tcBorders>
            <w:noWrap w:val="0"/>
            <w:vAlign w:val="center"/>
          </w:tcPr>
          <w:p>
            <w:pPr>
              <w:pStyle w:val="35"/>
              <w:bidi w:val="0"/>
              <w:rPr>
                <w:color w:val="auto"/>
              </w:rPr>
            </w:pPr>
            <w:r>
              <w:rPr>
                <w:color w:val="auto"/>
              </w:rPr>
              <w:t>基础减震、隔声罩</w:t>
            </w:r>
          </w:p>
        </w:tc>
        <w:tc>
          <w:tcPr>
            <w:tcW w:w="712" w:type="pct"/>
            <w:tcBorders>
              <w:tl2br w:val="nil"/>
              <w:tr2bl w:val="nil"/>
            </w:tcBorders>
            <w:noWrap w:val="0"/>
            <w:vAlign w:val="center"/>
          </w:tcPr>
          <w:p>
            <w:pPr>
              <w:pStyle w:val="35"/>
              <w:bidi w:val="0"/>
              <w:rPr>
                <w:color w:val="auto"/>
              </w:rPr>
            </w:pPr>
            <w:r>
              <w:rPr>
                <w:color w:val="auto"/>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515" w:type="pct"/>
            <w:tcBorders>
              <w:tl2br w:val="nil"/>
              <w:tr2bl w:val="nil"/>
            </w:tcBorders>
            <w:noWrap w:val="0"/>
            <w:vAlign w:val="top"/>
          </w:tcPr>
          <w:p>
            <w:pPr>
              <w:pStyle w:val="35"/>
              <w:bidi w:val="0"/>
              <w:rPr>
                <w:color w:val="auto"/>
              </w:rPr>
            </w:pPr>
            <w:r>
              <w:rPr>
                <w:rFonts w:hint="eastAsia"/>
                <w:color w:val="auto"/>
              </w:rPr>
              <w:t>5</w:t>
            </w:r>
          </w:p>
        </w:tc>
        <w:tc>
          <w:tcPr>
            <w:tcW w:w="956" w:type="pct"/>
            <w:tcBorders>
              <w:tl2br w:val="nil"/>
              <w:tr2bl w:val="nil"/>
            </w:tcBorders>
            <w:noWrap w:val="0"/>
            <w:vAlign w:val="center"/>
          </w:tcPr>
          <w:p>
            <w:pPr>
              <w:pStyle w:val="35"/>
              <w:bidi w:val="0"/>
              <w:rPr>
                <w:color w:val="auto"/>
              </w:rPr>
            </w:pPr>
            <w:r>
              <w:rPr>
                <w:color w:val="auto"/>
              </w:rPr>
              <w:t>各种风机</w:t>
            </w:r>
          </w:p>
        </w:tc>
        <w:tc>
          <w:tcPr>
            <w:tcW w:w="878" w:type="pct"/>
            <w:tcBorders>
              <w:tl2br w:val="nil"/>
              <w:tr2bl w:val="nil"/>
            </w:tcBorders>
            <w:noWrap w:val="0"/>
            <w:vAlign w:val="center"/>
          </w:tcPr>
          <w:p>
            <w:pPr>
              <w:pStyle w:val="35"/>
              <w:bidi w:val="0"/>
              <w:rPr>
                <w:color w:val="auto"/>
              </w:rPr>
            </w:pPr>
            <w:r>
              <w:rPr>
                <w:rFonts w:hint="eastAsia"/>
                <w:color w:val="auto"/>
              </w:rPr>
              <w:t>75~</w:t>
            </w:r>
            <w:r>
              <w:rPr>
                <w:color w:val="auto"/>
              </w:rPr>
              <w:t>85</w:t>
            </w:r>
          </w:p>
        </w:tc>
        <w:tc>
          <w:tcPr>
            <w:tcW w:w="424" w:type="pct"/>
            <w:tcBorders>
              <w:tl2br w:val="nil"/>
              <w:tr2bl w:val="nil"/>
            </w:tcBorders>
            <w:noWrap w:val="0"/>
            <w:vAlign w:val="center"/>
          </w:tcPr>
          <w:p>
            <w:pPr>
              <w:pStyle w:val="35"/>
              <w:bidi w:val="0"/>
              <w:rPr>
                <w:color w:val="auto"/>
              </w:rPr>
            </w:pPr>
            <w:r>
              <w:rPr>
                <w:rFonts w:hint="eastAsia"/>
                <w:color w:val="auto"/>
              </w:rPr>
              <w:t>间歇</w:t>
            </w:r>
          </w:p>
        </w:tc>
        <w:tc>
          <w:tcPr>
            <w:tcW w:w="1511" w:type="pct"/>
            <w:tcBorders>
              <w:tl2br w:val="nil"/>
              <w:tr2bl w:val="nil"/>
            </w:tcBorders>
            <w:noWrap w:val="0"/>
            <w:vAlign w:val="center"/>
          </w:tcPr>
          <w:p>
            <w:pPr>
              <w:pStyle w:val="35"/>
              <w:bidi w:val="0"/>
              <w:rPr>
                <w:color w:val="auto"/>
              </w:rPr>
            </w:pPr>
            <w:r>
              <w:rPr>
                <w:color w:val="auto"/>
              </w:rPr>
              <w:t>基础减震、隔声罩</w:t>
            </w:r>
            <w:r>
              <w:rPr>
                <w:rFonts w:hint="eastAsia"/>
                <w:color w:val="auto"/>
              </w:rPr>
              <w:t>、消声器</w:t>
            </w:r>
          </w:p>
        </w:tc>
        <w:tc>
          <w:tcPr>
            <w:tcW w:w="712" w:type="pct"/>
            <w:tcBorders>
              <w:tl2br w:val="nil"/>
              <w:tr2bl w:val="nil"/>
            </w:tcBorders>
            <w:noWrap w:val="0"/>
            <w:vAlign w:val="center"/>
          </w:tcPr>
          <w:p>
            <w:pPr>
              <w:pStyle w:val="35"/>
              <w:bidi w:val="0"/>
              <w:rPr>
                <w:color w:val="auto"/>
              </w:rPr>
            </w:pPr>
            <w:r>
              <w:rPr>
                <w:rFonts w:hint="eastAsia"/>
                <w:color w:val="auto"/>
              </w:rPr>
              <w:t>70</w:t>
            </w:r>
          </w:p>
        </w:tc>
      </w:tr>
    </w:tbl>
    <w:p>
      <w:pPr>
        <w:pStyle w:val="33"/>
        <w:bidi w:val="0"/>
        <w:rPr>
          <w:rFonts w:hint="default"/>
          <w:color w:val="auto"/>
          <w:lang w:val="en-US" w:eastAsia="zh-CN"/>
        </w:rPr>
      </w:pPr>
      <w:bookmarkStart w:id="55" w:name="_Toc25488"/>
      <w:r>
        <w:rPr>
          <w:rFonts w:hint="eastAsia" w:ascii="Times New Roman" w:hAnsi="Times New Roman" w:cs="Times New Roman"/>
          <w:color w:val="auto"/>
        </w:rPr>
        <w:t>根据委托</w:t>
      </w:r>
      <w:r>
        <w:rPr>
          <w:rFonts w:hint="eastAsia" w:ascii="Times New Roman" w:hAnsi="Times New Roman"/>
          <w:caps w:val="0"/>
          <w:smallCaps w:val="0"/>
          <w:color w:val="auto"/>
        </w:rPr>
        <w:t>湖南汨江检测有限公司对岳阳凌峰化工有限公司2020年第四季度</w:t>
      </w:r>
      <w:r>
        <w:rPr>
          <w:rFonts w:hint="eastAsia" w:ascii="Times New Roman" w:hAnsi="Times New Roman"/>
          <w:caps w:val="0"/>
          <w:smallCaps w:val="0"/>
          <w:color w:val="auto"/>
          <w:lang w:val="en-US" w:eastAsia="zh-CN"/>
        </w:rPr>
        <w:t>常规</w:t>
      </w:r>
      <w:r>
        <w:rPr>
          <w:rFonts w:hint="eastAsia" w:ascii="Times New Roman" w:hAnsi="Times New Roman"/>
          <w:caps w:val="0"/>
          <w:smallCaps w:val="0"/>
          <w:color w:val="auto"/>
        </w:rPr>
        <w:t>检测数据</w:t>
      </w:r>
      <w:r>
        <w:rPr>
          <w:rFonts w:hint="eastAsia" w:ascii="Times New Roman" w:hAnsi="Times New Roman" w:cs="Times New Roman"/>
          <w:color w:val="auto"/>
        </w:rPr>
        <w:t>（</w:t>
      </w:r>
      <w:r>
        <w:rPr>
          <w:rFonts w:hint="eastAsia" w:ascii="Times New Roman" w:hAnsi="Times New Roman" w:cs="Times New Roman"/>
          <w:color w:val="auto"/>
          <w:lang w:val="en-US" w:eastAsia="zh-CN"/>
        </w:rPr>
        <w:t>MJJC2011006A</w:t>
      </w:r>
      <w:r>
        <w:rPr>
          <w:rFonts w:hint="eastAsia" w:ascii="Times New Roman" w:hAnsi="Times New Roman" w:cs="Times New Roman"/>
          <w:color w:val="auto"/>
        </w:rPr>
        <w:t>监测报告）</w:t>
      </w:r>
      <w:r>
        <w:rPr>
          <w:rFonts w:hint="default"/>
          <w:color w:val="auto"/>
          <w:lang w:val="en-US" w:eastAsia="zh-CN"/>
        </w:rPr>
        <w:t>，厂界各监测点昼间噪声监测值范围声级值在58.</w:t>
      </w:r>
      <w:r>
        <w:rPr>
          <w:rFonts w:hint="eastAsia"/>
          <w:color w:val="auto"/>
          <w:lang w:val="en-US" w:eastAsia="zh-CN"/>
        </w:rPr>
        <w:t>9</w:t>
      </w:r>
      <w:r>
        <w:rPr>
          <w:rFonts w:hint="default"/>
          <w:color w:val="auto"/>
          <w:lang w:val="en-US" w:eastAsia="zh-CN"/>
        </w:rPr>
        <w:t>~6</w:t>
      </w:r>
      <w:r>
        <w:rPr>
          <w:rFonts w:hint="eastAsia"/>
          <w:color w:val="auto"/>
          <w:lang w:val="en-US" w:eastAsia="zh-CN"/>
        </w:rPr>
        <w:t>2</w:t>
      </w:r>
      <w:r>
        <w:rPr>
          <w:rFonts w:hint="default"/>
          <w:color w:val="auto"/>
          <w:lang w:val="en-US" w:eastAsia="zh-CN"/>
        </w:rPr>
        <w:t>dB(A)之间，夜间在</w:t>
      </w:r>
      <w:r>
        <w:rPr>
          <w:rFonts w:hint="eastAsia"/>
          <w:color w:val="auto"/>
          <w:lang w:val="en-US" w:eastAsia="zh-CN"/>
        </w:rPr>
        <w:t>44.6</w:t>
      </w:r>
      <w:r>
        <w:rPr>
          <w:rFonts w:hint="default"/>
          <w:color w:val="auto"/>
          <w:lang w:val="en-US" w:eastAsia="zh-CN"/>
        </w:rPr>
        <w:t>~5</w:t>
      </w:r>
      <w:r>
        <w:rPr>
          <w:rFonts w:hint="eastAsia"/>
          <w:color w:val="auto"/>
          <w:lang w:val="en-US" w:eastAsia="zh-CN"/>
        </w:rPr>
        <w:t>2</w:t>
      </w:r>
      <w:r>
        <w:rPr>
          <w:rFonts w:hint="default"/>
          <w:color w:val="auto"/>
          <w:lang w:val="en-US" w:eastAsia="zh-CN"/>
        </w:rPr>
        <w:t>dB(A)，均满足《工业企业厂界环境噪声排放标准》（GB12348-2008）3类标准要求。</w:t>
      </w:r>
    </w:p>
    <w:p>
      <w:pPr>
        <w:pStyle w:val="32"/>
        <w:bidi w:val="0"/>
        <w:rPr>
          <w:color w:val="auto"/>
        </w:rPr>
      </w:pPr>
      <w:r>
        <w:rPr>
          <w:rFonts w:hint="eastAsia"/>
          <w:color w:val="auto"/>
          <w:lang w:val="en-US" w:eastAsia="zh-CN"/>
        </w:rPr>
        <w:t>3.3.</w:t>
      </w:r>
      <w:r>
        <w:rPr>
          <w:rFonts w:hint="eastAsia"/>
          <w:color w:val="auto"/>
        </w:rPr>
        <w:t>4固体废物</w:t>
      </w:r>
      <w:bookmarkEnd w:id="55"/>
    </w:p>
    <w:p>
      <w:pPr>
        <w:pStyle w:val="33"/>
        <w:bidi w:val="0"/>
        <w:rPr>
          <w:color w:val="auto"/>
        </w:rPr>
      </w:pPr>
      <w:r>
        <w:rPr>
          <w:rFonts w:hint="eastAsia"/>
          <w:color w:val="auto"/>
          <w:lang w:val="en-US" w:eastAsia="zh-CN"/>
        </w:rPr>
        <w:t>现有工程</w:t>
      </w:r>
      <w:r>
        <w:rPr>
          <w:rFonts w:hint="eastAsia"/>
          <w:color w:val="auto"/>
        </w:rPr>
        <w:t>运营期间产生的固体废物主要有精馏釜残、过滤滤渣、污水处理站污泥、除尘渣、生活垃圾等。</w:t>
      </w:r>
    </w:p>
    <w:p>
      <w:pPr>
        <w:pStyle w:val="33"/>
        <w:bidi w:val="0"/>
        <w:rPr>
          <w:color w:val="auto"/>
        </w:rPr>
      </w:pPr>
      <w:r>
        <w:rPr>
          <w:rFonts w:hint="eastAsia"/>
          <w:color w:val="auto"/>
        </w:rPr>
        <w:t>（1）精馏釜残</w:t>
      </w:r>
    </w:p>
    <w:p>
      <w:pPr>
        <w:pStyle w:val="33"/>
        <w:bidi w:val="0"/>
        <w:rPr>
          <w:rFonts w:hint="eastAsia" w:eastAsia="宋体"/>
          <w:color w:val="auto"/>
          <w:lang w:eastAsia="zh-CN"/>
        </w:rPr>
      </w:pPr>
      <w:r>
        <w:rPr>
          <w:rFonts w:hint="eastAsia"/>
          <w:color w:val="auto"/>
          <w:lang w:eastAsia="zh-CN"/>
        </w:rPr>
        <w:t>二氯丙烷生产线</w:t>
      </w:r>
      <w:r>
        <w:rPr>
          <w:rFonts w:hint="eastAsia"/>
          <w:color w:val="auto"/>
        </w:rPr>
        <w:t>装置精馏工序精馏釜残产生量约3.5t/a，危废类别HW06及代码900-408-06；用100L铁桶盛装，暂存于危险废物暂存间，定期送有资质单位处置</w:t>
      </w:r>
      <w:r>
        <w:rPr>
          <w:rFonts w:hint="eastAsia"/>
          <w:color w:val="auto"/>
          <w:lang w:eastAsia="zh-CN"/>
        </w:rPr>
        <w:t>。</w:t>
      </w:r>
    </w:p>
    <w:p>
      <w:pPr>
        <w:pStyle w:val="33"/>
        <w:bidi w:val="0"/>
        <w:rPr>
          <w:color w:val="auto"/>
        </w:rPr>
      </w:pPr>
      <w:r>
        <w:rPr>
          <w:rFonts w:hint="eastAsia"/>
          <w:color w:val="auto"/>
        </w:rPr>
        <w:t>（2）滤渣</w:t>
      </w:r>
      <w:r>
        <w:rPr>
          <w:rFonts w:hint="eastAsia"/>
          <w:color w:val="auto"/>
          <w:lang w:eastAsia="zh-CN"/>
        </w:rPr>
        <w:t>及不合格产品</w:t>
      </w:r>
    </w:p>
    <w:p>
      <w:pPr>
        <w:pStyle w:val="33"/>
        <w:bidi w:val="0"/>
        <w:rPr>
          <w:color w:val="auto"/>
        </w:rPr>
      </w:pPr>
      <w:r>
        <w:rPr>
          <w:rFonts w:hint="eastAsia"/>
          <w:color w:val="auto"/>
        </w:rPr>
        <w:t>环氧树脂固化剂</w:t>
      </w:r>
      <w:r>
        <w:rPr>
          <w:rFonts w:hint="eastAsia"/>
          <w:color w:val="auto"/>
          <w:lang w:eastAsia="zh-CN"/>
        </w:rPr>
        <w:t>及涂料助剂</w:t>
      </w:r>
      <w:r>
        <w:rPr>
          <w:rFonts w:hint="eastAsia"/>
          <w:color w:val="auto"/>
        </w:rPr>
        <w:t>生产过程会产生</w:t>
      </w:r>
      <w:r>
        <w:rPr>
          <w:rFonts w:hint="eastAsia"/>
          <w:color w:val="auto"/>
          <w:lang w:eastAsia="zh-CN"/>
        </w:rPr>
        <w:t>滤</w:t>
      </w:r>
      <w:r>
        <w:rPr>
          <w:rFonts w:hint="eastAsia"/>
          <w:color w:val="auto"/>
        </w:rPr>
        <w:t>渣</w:t>
      </w:r>
      <w:r>
        <w:rPr>
          <w:rFonts w:hint="eastAsia"/>
          <w:color w:val="auto"/>
          <w:lang w:eastAsia="zh-CN"/>
        </w:rPr>
        <w:t>，</w:t>
      </w:r>
      <w:r>
        <w:rPr>
          <w:rFonts w:hint="eastAsia"/>
          <w:color w:val="auto"/>
        </w:rPr>
        <w:t>主要成分为颜料、树脂等</w:t>
      </w:r>
      <w:r>
        <w:rPr>
          <w:rFonts w:hint="eastAsia"/>
          <w:color w:val="auto"/>
          <w:lang w:eastAsia="zh-CN"/>
        </w:rPr>
        <w:t>，</w:t>
      </w:r>
      <w:r>
        <w:rPr>
          <w:rFonts w:hint="eastAsia"/>
          <w:color w:val="auto"/>
        </w:rPr>
        <w:t>属于 《国家危险废物名录》HW1</w:t>
      </w:r>
      <w:r>
        <w:rPr>
          <w:rFonts w:hint="eastAsia"/>
          <w:color w:val="auto"/>
          <w:lang w:val="en-US" w:eastAsia="zh-CN"/>
        </w:rPr>
        <w:t>3</w:t>
      </w:r>
      <w:r>
        <w:rPr>
          <w:rFonts w:hint="eastAsia"/>
          <w:color w:val="auto"/>
          <w:lang w:eastAsia="zh-CN"/>
        </w:rPr>
        <w:t>有机树脂类废物</w:t>
      </w:r>
      <w:r>
        <w:rPr>
          <w:rFonts w:hint="eastAsia"/>
          <w:color w:val="auto"/>
        </w:rPr>
        <w:t>“26</w:t>
      </w:r>
      <w:r>
        <w:rPr>
          <w:rFonts w:hint="eastAsia"/>
          <w:color w:val="auto"/>
          <w:lang w:val="en-US" w:eastAsia="zh-CN"/>
        </w:rPr>
        <w:t>5</w:t>
      </w:r>
      <w:r>
        <w:rPr>
          <w:rFonts w:hint="eastAsia"/>
          <w:color w:val="auto"/>
        </w:rPr>
        <w:t>-</w:t>
      </w:r>
      <w:r>
        <w:rPr>
          <w:rFonts w:hint="eastAsia"/>
          <w:color w:val="auto"/>
          <w:lang w:val="en-US" w:eastAsia="zh-CN"/>
        </w:rPr>
        <w:t>103</w:t>
      </w:r>
      <w:r>
        <w:rPr>
          <w:rFonts w:hint="eastAsia"/>
          <w:color w:val="auto"/>
        </w:rPr>
        <w:t>-1</w:t>
      </w:r>
      <w:r>
        <w:rPr>
          <w:rFonts w:hint="eastAsia"/>
          <w:color w:val="auto"/>
          <w:lang w:val="en-US" w:eastAsia="zh-CN"/>
        </w:rPr>
        <w:t>3</w:t>
      </w:r>
      <w:r>
        <w:rPr>
          <w:rFonts w:hint="eastAsia"/>
          <w:color w:val="auto"/>
        </w:rPr>
        <w:t>”</w:t>
      </w:r>
      <w:r>
        <w:rPr>
          <w:rFonts w:hint="eastAsia"/>
          <w:color w:val="auto"/>
          <w:lang w:eastAsia="zh-CN"/>
        </w:rPr>
        <w:t>；环氧地坪涂料过滤滤渣属于HW12染料、涂料废物</w:t>
      </w:r>
      <w:r>
        <w:rPr>
          <w:rFonts w:hint="eastAsia"/>
          <w:color w:val="auto"/>
        </w:rPr>
        <w:t>“264-011-12其他油墨、染料、颜料、油漆（不包括水性漆）生产过程中产生的废母液、残渣、中间体废物”</w:t>
      </w:r>
      <w:r>
        <w:rPr>
          <w:rFonts w:hint="eastAsia"/>
          <w:color w:val="auto"/>
          <w:lang w:eastAsia="zh-CN"/>
        </w:rPr>
        <w:t>；不合格产品一般采取铁桶盛装后返回生产工序综合利用，不能利用的属于危险废物（</w:t>
      </w:r>
      <w:r>
        <w:rPr>
          <w:rFonts w:hint="eastAsia"/>
          <w:color w:val="auto"/>
        </w:rPr>
        <w:t>HW1</w:t>
      </w:r>
      <w:r>
        <w:rPr>
          <w:rFonts w:hint="eastAsia"/>
          <w:color w:val="auto"/>
          <w:lang w:val="en-US" w:eastAsia="zh-CN"/>
        </w:rPr>
        <w:t>3</w:t>
      </w:r>
      <w:r>
        <w:rPr>
          <w:rFonts w:hint="eastAsia"/>
          <w:color w:val="auto"/>
          <w:lang w:eastAsia="zh-CN"/>
        </w:rPr>
        <w:t>有机树脂类废物</w:t>
      </w:r>
      <w:r>
        <w:rPr>
          <w:rFonts w:hint="eastAsia"/>
          <w:color w:val="auto"/>
        </w:rPr>
        <w:t>“26</w:t>
      </w:r>
      <w:r>
        <w:rPr>
          <w:rFonts w:hint="eastAsia"/>
          <w:color w:val="auto"/>
          <w:lang w:val="en-US" w:eastAsia="zh-CN"/>
        </w:rPr>
        <w:t>5</w:t>
      </w:r>
      <w:r>
        <w:rPr>
          <w:rFonts w:hint="eastAsia"/>
          <w:color w:val="auto"/>
        </w:rPr>
        <w:t>-</w:t>
      </w:r>
      <w:r>
        <w:rPr>
          <w:rFonts w:hint="eastAsia"/>
          <w:color w:val="auto"/>
          <w:lang w:val="en-US" w:eastAsia="zh-CN"/>
        </w:rPr>
        <w:t>101</w:t>
      </w:r>
      <w:r>
        <w:rPr>
          <w:rFonts w:hint="eastAsia"/>
          <w:color w:val="auto"/>
        </w:rPr>
        <w:t>-1</w:t>
      </w:r>
      <w:r>
        <w:rPr>
          <w:rFonts w:hint="eastAsia"/>
          <w:color w:val="auto"/>
          <w:lang w:val="en-US" w:eastAsia="zh-CN"/>
        </w:rPr>
        <w:t>3</w:t>
      </w:r>
      <w:r>
        <w:rPr>
          <w:rFonts w:hint="eastAsia"/>
          <w:color w:val="auto"/>
        </w:rPr>
        <w:t>”</w:t>
      </w:r>
      <w:r>
        <w:rPr>
          <w:rFonts w:hint="eastAsia"/>
          <w:color w:val="auto"/>
          <w:lang w:eastAsia="zh-CN"/>
        </w:rPr>
        <w:t>），应</w:t>
      </w:r>
      <w:r>
        <w:rPr>
          <w:rFonts w:hint="eastAsia"/>
          <w:color w:val="auto"/>
        </w:rPr>
        <w:t>委托有</w:t>
      </w:r>
      <w:r>
        <w:rPr>
          <w:rFonts w:hint="eastAsia"/>
          <w:color w:val="auto"/>
          <w:lang w:eastAsia="zh-CN"/>
        </w:rPr>
        <w:t>相应危废处理</w:t>
      </w:r>
      <w:r>
        <w:rPr>
          <w:rFonts w:hint="eastAsia"/>
          <w:color w:val="auto"/>
        </w:rPr>
        <w:t>资质的单位处置。</w:t>
      </w:r>
    </w:p>
    <w:p>
      <w:pPr>
        <w:pStyle w:val="33"/>
        <w:bidi w:val="0"/>
        <w:rPr>
          <w:color w:val="auto"/>
        </w:rPr>
      </w:pPr>
      <w:r>
        <w:rPr>
          <w:rFonts w:hint="eastAsia"/>
          <w:color w:val="auto"/>
        </w:rPr>
        <w:t>（3）污水处理站污泥</w:t>
      </w:r>
    </w:p>
    <w:p>
      <w:pPr>
        <w:pStyle w:val="33"/>
        <w:bidi w:val="0"/>
        <w:rPr>
          <w:color w:val="auto"/>
        </w:rPr>
      </w:pPr>
      <w:r>
        <w:rPr>
          <w:rFonts w:hint="eastAsia"/>
          <w:color w:val="auto"/>
          <w:lang w:val="en-US" w:eastAsia="zh-CN"/>
        </w:rPr>
        <w:t>厂区设置一套</w:t>
      </w:r>
      <w:r>
        <w:rPr>
          <w:rFonts w:hint="eastAsia"/>
          <w:color w:val="auto"/>
          <w:lang w:eastAsia="zh-CN"/>
        </w:rPr>
        <w:t>高浓度</w:t>
      </w:r>
      <w:r>
        <w:rPr>
          <w:rFonts w:hint="eastAsia"/>
          <w:color w:val="auto"/>
        </w:rPr>
        <w:t>污水处理装置处理工艺废水，产生剩余污泥量约为2t/a，属于《国家危险废物名录》HW1</w:t>
      </w:r>
      <w:r>
        <w:rPr>
          <w:rFonts w:hint="eastAsia"/>
          <w:color w:val="auto"/>
          <w:lang w:val="en-US" w:eastAsia="zh-CN"/>
        </w:rPr>
        <w:t>3</w:t>
      </w:r>
      <w:r>
        <w:rPr>
          <w:rFonts w:hint="eastAsia"/>
          <w:color w:val="auto"/>
          <w:lang w:eastAsia="zh-CN"/>
        </w:rPr>
        <w:t>有机树脂类废物</w:t>
      </w:r>
      <w:r>
        <w:rPr>
          <w:rFonts w:hint="eastAsia"/>
          <w:color w:val="auto"/>
        </w:rPr>
        <w:t>“26</w:t>
      </w:r>
      <w:r>
        <w:rPr>
          <w:rFonts w:hint="eastAsia"/>
          <w:color w:val="auto"/>
          <w:lang w:val="en-US" w:eastAsia="zh-CN"/>
        </w:rPr>
        <w:t>5</w:t>
      </w:r>
      <w:r>
        <w:rPr>
          <w:rFonts w:hint="eastAsia"/>
          <w:color w:val="auto"/>
        </w:rPr>
        <w:t>-</w:t>
      </w:r>
      <w:r>
        <w:rPr>
          <w:rFonts w:hint="eastAsia"/>
          <w:color w:val="auto"/>
          <w:lang w:val="en-US" w:eastAsia="zh-CN"/>
        </w:rPr>
        <w:t>104</w:t>
      </w:r>
      <w:r>
        <w:rPr>
          <w:rFonts w:hint="eastAsia"/>
          <w:color w:val="auto"/>
        </w:rPr>
        <w:t>-1</w:t>
      </w:r>
      <w:r>
        <w:rPr>
          <w:rFonts w:hint="eastAsia"/>
          <w:color w:val="auto"/>
          <w:lang w:val="en-US" w:eastAsia="zh-CN"/>
        </w:rPr>
        <w:t>3</w:t>
      </w:r>
      <w:r>
        <w:rPr>
          <w:rFonts w:hint="eastAsia"/>
          <w:color w:val="auto"/>
          <w:lang w:eastAsia="zh-CN"/>
        </w:rPr>
        <w:t>树脂、乳胶、增塑剂、胶合剂</w:t>
      </w:r>
      <w:r>
        <w:rPr>
          <w:rFonts w:hint="eastAsia"/>
          <w:color w:val="auto"/>
        </w:rPr>
        <w:t>生产过程中产生的废水处理污泥</w:t>
      </w:r>
      <w:r>
        <w:rPr>
          <w:rFonts w:hint="eastAsia"/>
          <w:color w:val="auto"/>
          <w:lang w:eastAsia="zh-CN"/>
        </w:rPr>
        <w:t>（</w:t>
      </w:r>
      <w:r>
        <w:rPr>
          <w:rFonts w:hint="eastAsia"/>
          <w:color w:val="auto"/>
        </w:rPr>
        <w:t>不包括</w:t>
      </w:r>
      <w:r>
        <w:rPr>
          <w:rFonts w:hint="eastAsia"/>
          <w:color w:val="auto"/>
          <w:lang w:eastAsia="zh-CN"/>
        </w:rPr>
        <w:t>生化处理污泥）</w:t>
      </w:r>
      <w:r>
        <w:rPr>
          <w:rFonts w:hint="eastAsia"/>
          <w:color w:val="auto"/>
        </w:rPr>
        <w:t>”，经收集后交有资质的单位处置。</w:t>
      </w:r>
    </w:p>
    <w:p>
      <w:pPr>
        <w:pStyle w:val="33"/>
        <w:bidi w:val="0"/>
        <w:rPr>
          <w:color w:val="auto"/>
        </w:rPr>
      </w:pPr>
      <w:r>
        <w:rPr>
          <w:rFonts w:hint="eastAsia"/>
          <w:color w:val="auto"/>
        </w:rPr>
        <w:t>（4）废弃包装材料</w:t>
      </w:r>
    </w:p>
    <w:p>
      <w:pPr>
        <w:pStyle w:val="33"/>
        <w:bidi w:val="0"/>
        <w:rPr>
          <w:color w:val="auto"/>
        </w:rPr>
      </w:pPr>
      <w:r>
        <w:rPr>
          <w:rFonts w:hint="eastAsia"/>
          <w:color w:val="auto"/>
        </w:rPr>
        <w:t>本项目所用的原辅材料多为危险化学品，根据《</w:t>
      </w:r>
      <w:r>
        <w:rPr>
          <w:rFonts w:hint="eastAsia"/>
          <w:color w:val="auto"/>
          <w:lang w:val="en-US" w:eastAsia="zh-CN"/>
        </w:rPr>
        <w:t>国家</w:t>
      </w:r>
      <w:r>
        <w:rPr>
          <w:rFonts w:hint="eastAsia"/>
          <w:color w:val="auto"/>
        </w:rPr>
        <w:t>危险废物名录》</w:t>
      </w:r>
      <w:r>
        <w:rPr>
          <w:rFonts w:hint="eastAsia"/>
          <w:color w:val="auto"/>
          <w:lang w:eastAsia="zh-CN"/>
        </w:rPr>
        <w:t>（</w:t>
      </w:r>
      <w:r>
        <w:rPr>
          <w:rFonts w:hint="eastAsia"/>
          <w:color w:val="auto"/>
          <w:lang w:val="en-US" w:eastAsia="zh-CN"/>
        </w:rPr>
        <w:t>2021版</w:t>
      </w:r>
      <w:r>
        <w:rPr>
          <w:rFonts w:hint="eastAsia"/>
          <w:color w:val="auto"/>
          <w:lang w:eastAsia="zh-CN"/>
        </w:rPr>
        <w:t>）</w:t>
      </w:r>
      <w:r>
        <w:rPr>
          <w:rFonts w:hint="eastAsia"/>
          <w:color w:val="auto"/>
        </w:rPr>
        <w:t>，含有或直接沾染危险废物的废弃包装物、容器为危险废物，而包装物上不可避免有很少量的化学品，因此本项目原辅材料的废弃包装物均可认定为危险废物。本项目废弃包装袋余留1360个/年，此部分废弃包装袋委托有资质的单位处置。</w:t>
      </w:r>
    </w:p>
    <w:p>
      <w:pPr>
        <w:pStyle w:val="33"/>
        <w:bidi w:val="0"/>
        <w:rPr>
          <w:color w:val="auto"/>
        </w:rPr>
      </w:pPr>
      <w:r>
        <w:rPr>
          <w:rFonts w:hint="eastAsia"/>
          <w:color w:val="auto"/>
        </w:rPr>
        <w:t>项目生产使用有机溶剂等液态有机化工原料，使用后残余的废包装桶102个/年，属于《国家危险废物名录》中HW49其他废物“</w:t>
      </w:r>
      <w:r>
        <w:rPr>
          <w:color w:val="auto"/>
        </w:rPr>
        <w:t>900-041-49</w:t>
      </w:r>
      <w:r>
        <w:rPr>
          <w:rFonts w:hint="eastAsia"/>
          <w:color w:val="auto"/>
        </w:rPr>
        <w:t>含有或沾染毒性、感染性危险废物的废弃包装物、容器、过滤吸附介质”。委托有资质的单位处置。</w:t>
      </w:r>
    </w:p>
    <w:p>
      <w:pPr>
        <w:pStyle w:val="33"/>
        <w:bidi w:val="0"/>
        <w:rPr>
          <w:color w:val="auto"/>
        </w:rPr>
      </w:pPr>
      <w:r>
        <w:rPr>
          <w:rFonts w:hint="eastAsia"/>
          <w:color w:val="auto"/>
        </w:rPr>
        <w:t>（5）布袋除尘渣</w:t>
      </w:r>
    </w:p>
    <w:p>
      <w:pPr>
        <w:pStyle w:val="33"/>
        <w:bidi w:val="0"/>
        <w:rPr>
          <w:color w:val="auto"/>
        </w:rPr>
      </w:pPr>
      <w:r>
        <w:rPr>
          <w:rFonts w:hint="eastAsia"/>
          <w:color w:val="auto"/>
        </w:rPr>
        <w:t>本项目粉料投加过程中会产生粉尘，收集的粉料尘渣重量为0.877t/a。项目设置布袋除尘系统进行收集，收集粉尘尘渣根据生产需要掺入原料进行回用。</w:t>
      </w:r>
    </w:p>
    <w:p>
      <w:pPr>
        <w:pStyle w:val="33"/>
        <w:bidi w:val="0"/>
        <w:rPr>
          <w:color w:val="auto"/>
        </w:rPr>
      </w:pPr>
      <w:r>
        <w:rPr>
          <w:rFonts w:hint="eastAsia"/>
          <w:color w:val="auto"/>
        </w:rPr>
        <w:t>（6）生活垃圾</w:t>
      </w:r>
    </w:p>
    <w:p>
      <w:pPr>
        <w:pStyle w:val="33"/>
        <w:bidi w:val="0"/>
        <w:rPr>
          <w:color w:val="auto"/>
        </w:rPr>
      </w:pPr>
      <w:r>
        <w:rPr>
          <w:rFonts w:hint="eastAsia"/>
          <w:color w:val="auto"/>
          <w:lang w:val="en-US" w:eastAsia="zh-CN"/>
        </w:rPr>
        <w:t>现有</w:t>
      </w:r>
      <w:r>
        <w:rPr>
          <w:rFonts w:hint="eastAsia"/>
          <w:color w:val="auto"/>
        </w:rPr>
        <w:t>员工为30人，按每人每天产生1kg生活垃圾计算，生活垃圾产生量9t/a，送环卫部门处理。</w:t>
      </w:r>
    </w:p>
    <w:p>
      <w:pPr>
        <w:pStyle w:val="33"/>
        <w:bidi w:val="0"/>
        <w:rPr>
          <w:color w:val="auto"/>
        </w:rPr>
      </w:pPr>
      <w:r>
        <w:rPr>
          <w:color w:val="auto"/>
        </w:rPr>
        <w:t>各类固体废物暂存设施见下表</w:t>
      </w:r>
      <w:r>
        <w:rPr>
          <w:rFonts w:hint="eastAsia"/>
          <w:color w:val="auto"/>
          <w:lang w:val="en-US" w:eastAsia="zh-CN"/>
        </w:rPr>
        <w:t>3.3-9</w:t>
      </w:r>
      <w:r>
        <w:rPr>
          <w:color w:val="auto"/>
        </w:rPr>
        <w:t>。</w:t>
      </w:r>
    </w:p>
    <w:p>
      <w:pPr>
        <w:pStyle w:val="36"/>
        <w:bidi w:val="0"/>
        <w:rPr>
          <w:color w:val="auto"/>
        </w:rPr>
      </w:pPr>
      <w:r>
        <w:rPr>
          <w:rFonts w:hint="eastAsia"/>
          <w:color w:val="auto"/>
        </w:rPr>
        <w:t>表</w:t>
      </w:r>
      <w:r>
        <w:rPr>
          <w:rFonts w:hint="eastAsia"/>
          <w:color w:val="auto"/>
          <w:lang w:val="en-US" w:eastAsia="zh-CN"/>
        </w:rPr>
        <w:t>3.3-9</w:t>
      </w:r>
      <w:r>
        <w:rPr>
          <w:rFonts w:hint="eastAsia"/>
          <w:color w:val="auto"/>
        </w:rPr>
        <w:t xml:space="preserve">  </w:t>
      </w:r>
      <w:r>
        <w:rPr>
          <w:rFonts w:hint="eastAsia"/>
          <w:color w:val="auto"/>
          <w:lang w:val="en-US" w:eastAsia="zh-CN"/>
        </w:rPr>
        <w:t>现有工程</w:t>
      </w:r>
      <w:r>
        <w:rPr>
          <w:rFonts w:hint="eastAsia"/>
          <w:color w:val="auto"/>
        </w:rPr>
        <w:t>固体废物产生及处置情况一览表</w:t>
      </w:r>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022"/>
        <w:gridCol w:w="1196"/>
        <w:gridCol w:w="870"/>
        <w:gridCol w:w="1155"/>
        <w:gridCol w:w="748"/>
        <w:gridCol w:w="985"/>
        <w:gridCol w:w="611"/>
        <w:gridCol w:w="780"/>
        <w:gridCol w:w="11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16" w:type="pct"/>
            <w:tcBorders>
              <w:tl2br w:val="nil"/>
              <w:tr2bl w:val="nil"/>
            </w:tcBorders>
            <w:noWrap w:val="0"/>
            <w:vAlign w:val="center"/>
          </w:tcPr>
          <w:p>
            <w:pPr>
              <w:pStyle w:val="35"/>
              <w:bidi w:val="0"/>
              <w:rPr>
                <w:b/>
                <w:bCs/>
                <w:color w:val="auto"/>
              </w:rPr>
            </w:pPr>
            <w:r>
              <w:rPr>
                <w:b/>
                <w:bCs/>
                <w:color w:val="auto"/>
              </w:rPr>
              <w:t>危险废物名称</w:t>
            </w:r>
          </w:p>
        </w:tc>
        <w:tc>
          <w:tcPr>
            <w:tcW w:w="541" w:type="pct"/>
            <w:tcBorders>
              <w:tl2br w:val="nil"/>
              <w:tr2bl w:val="nil"/>
            </w:tcBorders>
            <w:noWrap w:val="0"/>
            <w:vAlign w:val="center"/>
          </w:tcPr>
          <w:p>
            <w:pPr>
              <w:pStyle w:val="35"/>
              <w:bidi w:val="0"/>
              <w:rPr>
                <w:b/>
                <w:bCs/>
                <w:color w:val="auto"/>
              </w:rPr>
            </w:pPr>
            <w:r>
              <w:rPr>
                <w:b/>
                <w:bCs/>
                <w:color w:val="auto"/>
              </w:rPr>
              <w:t>危险废物类别</w:t>
            </w:r>
          </w:p>
        </w:tc>
        <w:tc>
          <w:tcPr>
            <w:tcW w:w="619" w:type="pct"/>
            <w:tcBorders>
              <w:tl2br w:val="nil"/>
              <w:tr2bl w:val="nil"/>
            </w:tcBorders>
            <w:noWrap w:val="0"/>
            <w:vAlign w:val="center"/>
          </w:tcPr>
          <w:p>
            <w:pPr>
              <w:pStyle w:val="35"/>
              <w:bidi w:val="0"/>
              <w:rPr>
                <w:b/>
                <w:bCs/>
                <w:color w:val="auto"/>
              </w:rPr>
            </w:pPr>
            <w:r>
              <w:rPr>
                <w:b/>
                <w:bCs/>
                <w:color w:val="auto"/>
              </w:rPr>
              <w:t>废物代码</w:t>
            </w:r>
          </w:p>
        </w:tc>
        <w:tc>
          <w:tcPr>
            <w:tcW w:w="441" w:type="pct"/>
            <w:tcBorders>
              <w:tl2br w:val="nil"/>
              <w:tr2bl w:val="nil"/>
            </w:tcBorders>
            <w:noWrap w:val="0"/>
            <w:vAlign w:val="center"/>
          </w:tcPr>
          <w:p>
            <w:pPr>
              <w:pStyle w:val="35"/>
              <w:bidi w:val="0"/>
              <w:rPr>
                <w:b/>
                <w:bCs/>
                <w:color w:val="auto"/>
              </w:rPr>
            </w:pPr>
            <w:r>
              <w:rPr>
                <w:b/>
                <w:bCs/>
                <w:color w:val="auto"/>
              </w:rPr>
              <w:t>产生量（t/a）</w:t>
            </w:r>
          </w:p>
        </w:tc>
        <w:tc>
          <w:tcPr>
            <w:tcW w:w="610" w:type="pct"/>
            <w:tcBorders>
              <w:tl2br w:val="nil"/>
              <w:tr2bl w:val="nil"/>
            </w:tcBorders>
            <w:noWrap w:val="0"/>
            <w:vAlign w:val="center"/>
          </w:tcPr>
          <w:p>
            <w:pPr>
              <w:pStyle w:val="35"/>
              <w:bidi w:val="0"/>
              <w:rPr>
                <w:b/>
                <w:bCs/>
                <w:color w:val="auto"/>
              </w:rPr>
            </w:pPr>
            <w:r>
              <w:rPr>
                <w:b/>
                <w:bCs/>
                <w:color w:val="auto"/>
              </w:rPr>
              <w:t>产生工序及装置</w:t>
            </w:r>
          </w:p>
        </w:tc>
        <w:tc>
          <w:tcPr>
            <w:tcW w:w="396" w:type="pct"/>
            <w:tcBorders>
              <w:tl2br w:val="nil"/>
              <w:tr2bl w:val="nil"/>
            </w:tcBorders>
            <w:noWrap w:val="0"/>
            <w:vAlign w:val="center"/>
          </w:tcPr>
          <w:p>
            <w:pPr>
              <w:pStyle w:val="35"/>
              <w:bidi w:val="0"/>
              <w:rPr>
                <w:b/>
                <w:bCs/>
                <w:color w:val="auto"/>
              </w:rPr>
            </w:pPr>
            <w:r>
              <w:rPr>
                <w:b/>
                <w:bCs/>
                <w:color w:val="auto"/>
              </w:rPr>
              <w:t>形态</w:t>
            </w:r>
          </w:p>
        </w:tc>
        <w:tc>
          <w:tcPr>
            <w:tcW w:w="518" w:type="pct"/>
            <w:tcBorders>
              <w:tl2br w:val="nil"/>
              <w:tr2bl w:val="nil"/>
            </w:tcBorders>
            <w:noWrap w:val="0"/>
            <w:vAlign w:val="center"/>
          </w:tcPr>
          <w:p>
            <w:pPr>
              <w:pStyle w:val="35"/>
              <w:bidi w:val="0"/>
              <w:rPr>
                <w:b/>
                <w:bCs/>
                <w:color w:val="auto"/>
              </w:rPr>
            </w:pPr>
            <w:r>
              <w:rPr>
                <w:b/>
                <w:bCs/>
                <w:color w:val="auto"/>
              </w:rPr>
              <w:t>主要危险成分</w:t>
            </w:r>
          </w:p>
        </w:tc>
        <w:tc>
          <w:tcPr>
            <w:tcW w:w="324" w:type="pct"/>
            <w:tcBorders>
              <w:tl2br w:val="nil"/>
              <w:tr2bl w:val="nil"/>
            </w:tcBorders>
            <w:noWrap w:val="0"/>
            <w:vAlign w:val="center"/>
          </w:tcPr>
          <w:p>
            <w:pPr>
              <w:pStyle w:val="35"/>
              <w:bidi w:val="0"/>
              <w:rPr>
                <w:b/>
                <w:bCs/>
                <w:color w:val="auto"/>
              </w:rPr>
            </w:pPr>
            <w:r>
              <w:rPr>
                <w:b/>
                <w:bCs/>
                <w:color w:val="auto"/>
              </w:rPr>
              <w:t>产废周期</w:t>
            </w:r>
          </w:p>
        </w:tc>
        <w:tc>
          <w:tcPr>
            <w:tcW w:w="413" w:type="pct"/>
            <w:tcBorders>
              <w:tl2br w:val="nil"/>
              <w:tr2bl w:val="nil"/>
            </w:tcBorders>
            <w:noWrap w:val="0"/>
            <w:vAlign w:val="center"/>
          </w:tcPr>
          <w:p>
            <w:pPr>
              <w:pStyle w:val="35"/>
              <w:bidi w:val="0"/>
              <w:rPr>
                <w:b/>
                <w:bCs/>
                <w:color w:val="auto"/>
              </w:rPr>
            </w:pPr>
            <w:r>
              <w:rPr>
                <w:b/>
                <w:bCs/>
                <w:color w:val="auto"/>
              </w:rPr>
              <w:t>危险特性</w:t>
            </w:r>
          </w:p>
        </w:tc>
        <w:tc>
          <w:tcPr>
            <w:tcW w:w="615" w:type="pct"/>
            <w:tcBorders>
              <w:tl2br w:val="nil"/>
              <w:tr2bl w:val="nil"/>
            </w:tcBorders>
            <w:noWrap w:val="0"/>
            <w:vAlign w:val="center"/>
          </w:tcPr>
          <w:p>
            <w:pPr>
              <w:pStyle w:val="35"/>
              <w:bidi w:val="0"/>
              <w:rPr>
                <w:b/>
                <w:bCs/>
                <w:color w:val="auto"/>
              </w:rPr>
            </w:pPr>
            <w:r>
              <w:rPr>
                <w:b/>
                <w:bCs/>
                <w:color w:val="auto"/>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16" w:type="pct"/>
            <w:tcBorders>
              <w:tl2br w:val="nil"/>
              <w:tr2bl w:val="nil"/>
            </w:tcBorders>
            <w:noWrap w:val="0"/>
            <w:vAlign w:val="center"/>
          </w:tcPr>
          <w:p>
            <w:pPr>
              <w:pStyle w:val="35"/>
              <w:bidi w:val="0"/>
              <w:rPr>
                <w:color w:val="auto"/>
              </w:rPr>
            </w:pPr>
            <w:r>
              <w:rPr>
                <w:rFonts w:hint="eastAsia"/>
                <w:color w:val="auto"/>
              </w:rPr>
              <w:t>精馏釜残</w:t>
            </w:r>
          </w:p>
        </w:tc>
        <w:tc>
          <w:tcPr>
            <w:tcW w:w="541" w:type="pct"/>
            <w:tcBorders>
              <w:tl2br w:val="nil"/>
              <w:tr2bl w:val="nil"/>
            </w:tcBorders>
            <w:noWrap w:val="0"/>
            <w:vAlign w:val="center"/>
          </w:tcPr>
          <w:p>
            <w:pPr>
              <w:pStyle w:val="35"/>
              <w:bidi w:val="0"/>
              <w:rPr>
                <w:color w:val="auto"/>
              </w:rPr>
            </w:pPr>
            <w:r>
              <w:rPr>
                <w:rFonts w:hint="eastAsia"/>
                <w:color w:val="auto"/>
              </w:rPr>
              <w:t>HW06废有机溶剂</w:t>
            </w:r>
          </w:p>
        </w:tc>
        <w:tc>
          <w:tcPr>
            <w:tcW w:w="619" w:type="pct"/>
            <w:tcBorders>
              <w:tl2br w:val="nil"/>
              <w:tr2bl w:val="nil"/>
            </w:tcBorders>
            <w:noWrap w:val="0"/>
            <w:vAlign w:val="center"/>
          </w:tcPr>
          <w:p>
            <w:pPr>
              <w:pStyle w:val="35"/>
              <w:bidi w:val="0"/>
              <w:rPr>
                <w:color w:val="auto"/>
              </w:rPr>
            </w:pPr>
            <w:r>
              <w:rPr>
                <w:rFonts w:hint="eastAsia"/>
                <w:color w:val="auto"/>
              </w:rPr>
              <w:t>900-408-06</w:t>
            </w:r>
          </w:p>
        </w:tc>
        <w:tc>
          <w:tcPr>
            <w:tcW w:w="441" w:type="pct"/>
            <w:tcBorders>
              <w:tl2br w:val="nil"/>
              <w:tr2bl w:val="nil"/>
            </w:tcBorders>
            <w:noWrap w:val="0"/>
            <w:vAlign w:val="center"/>
          </w:tcPr>
          <w:p>
            <w:pPr>
              <w:pStyle w:val="35"/>
              <w:bidi w:val="0"/>
              <w:rPr>
                <w:color w:val="auto"/>
              </w:rPr>
            </w:pPr>
            <w:r>
              <w:rPr>
                <w:rFonts w:hint="eastAsia"/>
                <w:color w:val="auto"/>
              </w:rPr>
              <w:t>3.5</w:t>
            </w:r>
          </w:p>
        </w:tc>
        <w:tc>
          <w:tcPr>
            <w:tcW w:w="610"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二氯丙烷生产线</w:t>
            </w:r>
          </w:p>
        </w:tc>
        <w:tc>
          <w:tcPr>
            <w:tcW w:w="396" w:type="pct"/>
            <w:tcBorders>
              <w:tl2br w:val="nil"/>
              <w:tr2bl w:val="nil"/>
            </w:tcBorders>
            <w:noWrap w:val="0"/>
            <w:vAlign w:val="center"/>
          </w:tcPr>
          <w:p>
            <w:pPr>
              <w:pStyle w:val="35"/>
              <w:bidi w:val="0"/>
              <w:rPr>
                <w:color w:val="auto"/>
              </w:rPr>
            </w:pPr>
            <w:r>
              <w:rPr>
                <w:color w:val="auto"/>
              </w:rPr>
              <w:t>固态</w:t>
            </w:r>
          </w:p>
        </w:tc>
        <w:tc>
          <w:tcPr>
            <w:tcW w:w="518" w:type="pct"/>
            <w:tcBorders>
              <w:tl2br w:val="nil"/>
              <w:tr2bl w:val="nil"/>
            </w:tcBorders>
            <w:noWrap w:val="0"/>
            <w:vAlign w:val="center"/>
          </w:tcPr>
          <w:p>
            <w:pPr>
              <w:pStyle w:val="35"/>
              <w:bidi w:val="0"/>
              <w:rPr>
                <w:color w:val="auto"/>
              </w:rPr>
            </w:pPr>
            <w:r>
              <w:rPr>
                <w:rFonts w:hint="eastAsia"/>
                <w:color w:val="auto"/>
              </w:rPr>
              <w:t>有机卤化物</w:t>
            </w:r>
          </w:p>
        </w:tc>
        <w:tc>
          <w:tcPr>
            <w:tcW w:w="324" w:type="pct"/>
            <w:tcBorders>
              <w:tl2br w:val="nil"/>
              <w:tr2bl w:val="nil"/>
            </w:tcBorders>
            <w:noWrap w:val="0"/>
            <w:vAlign w:val="center"/>
          </w:tcPr>
          <w:p>
            <w:pPr>
              <w:pStyle w:val="35"/>
              <w:bidi w:val="0"/>
              <w:rPr>
                <w:color w:val="auto"/>
              </w:rPr>
            </w:pPr>
            <w:r>
              <w:rPr>
                <w:color w:val="auto"/>
              </w:rPr>
              <w:t>不定</w:t>
            </w:r>
          </w:p>
        </w:tc>
        <w:tc>
          <w:tcPr>
            <w:tcW w:w="413" w:type="pct"/>
            <w:tcBorders>
              <w:tl2br w:val="nil"/>
              <w:tr2bl w:val="nil"/>
            </w:tcBorders>
            <w:noWrap w:val="0"/>
            <w:vAlign w:val="center"/>
          </w:tcPr>
          <w:p>
            <w:pPr>
              <w:pStyle w:val="35"/>
              <w:bidi w:val="0"/>
              <w:rPr>
                <w:color w:val="auto"/>
              </w:rPr>
            </w:pPr>
            <w:r>
              <w:rPr>
                <w:rFonts w:hint="eastAsia"/>
                <w:color w:val="auto"/>
              </w:rPr>
              <w:t>T</w:t>
            </w:r>
          </w:p>
        </w:tc>
        <w:tc>
          <w:tcPr>
            <w:tcW w:w="615" w:type="pct"/>
            <w:vMerge w:val="restart"/>
            <w:tcBorders>
              <w:tl2br w:val="nil"/>
              <w:tr2bl w:val="nil"/>
            </w:tcBorders>
            <w:noWrap w:val="0"/>
            <w:vAlign w:val="center"/>
          </w:tcPr>
          <w:p>
            <w:pPr>
              <w:pStyle w:val="35"/>
              <w:bidi w:val="0"/>
              <w:rPr>
                <w:color w:val="auto"/>
              </w:rPr>
            </w:pPr>
            <w:r>
              <w:rPr>
                <w:rFonts w:hint="eastAsia"/>
                <w:color w:val="auto"/>
              </w:rPr>
              <w:t>铁桶盛装，暂存于危险废物暂存间，定期送资质单位处置。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16" w:type="pct"/>
            <w:tcBorders>
              <w:tl2br w:val="nil"/>
              <w:tr2bl w:val="nil"/>
            </w:tcBorders>
            <w:noWrap w:val="0"/>
            <w:vAlign w:val="center"/>
          </w:tcPr>
          <w:p>
            <w:pPr>
              <w:pStyle w:val="35"/>
              <w:bidi w:val="0"/>
              <w:rPr>
                <w:color w:val="auto"/>
              </w:rPr>
            </w:pPr>
            <w:r>
              <w:rPr>
                <w:rFonts w:hint="eastAsia"/>
                <w:color w:val="auto"/>
              </w:rPr>
              <w:t>滤渣</w:t>
            </w:r>
            <w:r>
              <w:rPr>
                <w:rFonts w:hint="eastAsia"/>
                <w:color w:val="auto"/>
                <w:lang w:eastAsia="zh-CN"/>
              </w:rPr>
              <w:t>及不合格产品</w:t>
            </w:r>
          </w:p>
        </w:tc>
        <w:tc>
          <w:tcPr>
            <w:tcW w:w="541" w:type="pct"/>
            <w:tcBorders>
              <w:tl2br w:val="nil"/>
              <w:tr2bl w:val="nil"/>
            </w:tcBorders>
            <w:noWrap w:val="0"/>
            <w:vAlign w:val="center"/>
          </w:tcPr>
          <w:p>
            <w:pPr>
              <w:pStyle w:val="35"/>
              <w:bidi w:val="0"/>
              <w:rPr>
                <w:color w:val="auto"/>
              </w:rPr>
            </w:pPr>
            <w:r>
              <w:rPr>
                <w:rFonts w:hint="eastAsia"/>
                <w:color w:val="auto"/>
              </w:rPr>
              <w:t>HW1</w:t>
            </w:r>
            <w:r>
              <w:rPr>
                <w:rFonts w:hint="eastAsia"/>
                <w:color w:val="auto"/>
                <w:lang w:val="en-US" w:eastAsia="zh-CN"/>
              </w:rPr>
              <w:t>3有机树脂类</w:t>
            </w:r>
            <w:r>
              <w:rPr>
                <w:rFonts w:hint="eastAsia"/>
                <w:color w:val="auto"/>
              </w:rPr>
              <w:t>废物</w:t>
            </w:r>
          </w:p>
        </w:tc>
        <w:tc>
          <w:tcPr>
            <w:tcW w:w="619" w:type="pct"/>
            <w:tcBorders>
              <w:tl2br w:val="nil"/>
              <w:tr2bl w:val="nil"/>
            </w:tcBorders>
            <w:noWrap w:val="0"/>
            <w:vAlign w:val="center"/>
          </w:tcPr>
          <w:p>
            <w:pPr>
              <w:pStyle w:val="35"/>
              <w:bidi w:val="0"/>
              <w:rPr>
                <w:rFonts w:hint="eastAsia"/>
                <w:color w:val="auto"/>
                <w:lang w:val="en-US" w:eastAsia="zh-CN"/>
              </w:rPr>
            </w:pPr>
            <w:r>
              <w:rPr>
                <w:rFonts w:hint="eastAsia"/>
                <w:color w:val="auto"/>
              </w:rPr>
              <w:t>26</w:t>
            </w:r>
            <w:r>
              <w:rPr>
                <w:rFonts w:hint="eastAsia"/>
                <w:color w:val="auto"/>
                <w:lang w:val="en-US" w:eastAsia="zh-CN"/>
              </w:rPr>
              <w:t>5-103-13</w:t>
            </w:r>
          </w:p>
          <w:p>
            <w:pPr>
              <w:pStyle w:val="35"/>
              <w:bidi w:val="0"/>
              <w:rPr>
                <w:rFonts w:hint="eastAsia"/>
                <w:color w:val="auto"/>
                <w:lang w:val="en-US" w:eastAsia="zh-CN"/>
              </w:rPr>
            </w:pPr>
            <w:r>
              <w:rPr>
                <w:rFonts w:hint="eastAsia"/>
                <w:color w:val="auto"/>
              </w:rPr>
              <w:t>26</w:t>
            </w:r>
            <w:r>
              <w:rPr>
                <w:rFonts w:hint="eastAsia"/>
                <w:color w:val="auto"/>
                <w:lang w:val="en-US" w:eastAsia="zh-CN"/>
              </w:rPr>
              <w:t>5-101-13</w:t>
            </w:r>
          </w:p>
        </w:tc>
        <w:tc>
          <w:tcPr>
            <w:tcW w:w="441"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2</w:t>
            </w:r>
          </w:p>
        </w:tc>
        <w:tc>
          <w:tcPr>
            <w:tcW w:w="610"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固化剂及涂料助剂出料过滤</w:t>
            </w:r>
          </w:p>
        </w:tc>
        <w:tc>
          <w:tcPr>
            <w:tcW w:w="396" w:type="pct"/>
            <w:tcBorders>
              <w:tl2br w:val="nil"/>
              <w:tr2bl w:val="nil"/>
            </w:tcBorders>
            <w:noWrap w:val="0"/>
            <w:vAlign w:val="center"/>
          </w:tcPr>
          <w:p>
            <w:pPr>
              <w:pStyle w:val="35"/>
              <w:bidi w:val="0"/>
              <w:rPr>
                <w:color w:val="auto"/>
              </w:rPr>
            </w:pPr>
            <w:r>
              <w:rPr>
                <w:color w:val="auto"/>
              </w:rPr>
              <w:t>固态</w:t>
            </w:r>
          </w:p>
        </w:tc>
        <w:tc>
          <w:tcPr>
            <w:tcW w:w="518" w:type="pct"/>
            <w:tcBorders>
              <w:tl2br w:val="nil"/>
              <w:tr2bl w:val="nil"/>
            </w:tcBorders>
            <w:noWrap w:val="0"/>
            <w:vAlign w:val="center"/>
          </w:tcPr>
          <w:p>
            <w:pPr>
              <w:pStyle w:val="35"/>
              <w:bidi w:val="0"/>
              <w:rPr>
                <w:color w:val="auto"/>
              </w:rPr>
            </w:pPr>
            <w:r>
              <w:rPr>
                <w:rFonts w:hint="eastAsia"/>
                <w:color w:val="auto"/>
              </w:rPr>
              <w:t>树脂</w:t>
            </w:r>
          </w:p>
        </w:tc>
        <w:tc>
          <w:tcPr>
            <w:tcW w:w="324" w:type="pct"/>
            <w:tcBorders>
              <w:tl2br w:val="nil"/>
              <w:tr2bl w:val="nil"/>
            </w:tcBorders>
            <w:noWrap w:val="0"/>
            <w:vAlign w:val="center"/>
          </w:tcPr>
          <w:p>
            <w:pPr>
              <w:pStyle w:val="35"/>
              <w:bidi w:val="0"/>
              <w:rPr>
                <w:color w:val="auto"/>
              </w:rPr>
            </w:pPr>
            <w:r>
              <w:rPr>
                <w:rFonts w:hint="eastAsia"/>
                <w:color w:val="auto"/>
              </w:rPr>
              <w:t>不定</w:t>
            </w:r>
          </w:p>
        </w:tc>
        <w:tc>
          <w:tcPr>
            <w:tcW w:w="413" w:type="pct"/>
            <w:tcBorders>
              <w:tl2br w:val="nil"/>
              <w:tr2bl w:val="nil"/>
            </w:tcBorders>
            <w:noWrap w:val="0"/>
            <w:vAlign w:val="center"/>
          </w:tcPr>
          <w:p>
            <w:pPr>
              <w:pStyle w:val="35"/>
              <w:bidi w:val="0"/>
              <w:rPr>
                <w:color w:val="auto"/>
              </w:rPr>
            </w:pPr>
            <w:r>
              <w:rPr>
                <w:rFonts w:hint="eastAsia"/>
                <w:color w:val="auto"/>
              </w:rPr>
              <w:t>T</w:t>
            </w:r>
          </w:p>
        </w:tc>
        <w:tc>
          <w:tcPr>
            <w:tcW w:w="615" w:type="pct"/>
            <w:vMerge w:val="continue"/>
            <w:tcBorders>
              <w:tl2br w:val="nil"/>
              <w:tr2bl w:val="nil"/>
            </w:tcBorders>
            <w:noWrap w:val="0"/>
            <w:vAlign w:val="center"/>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16" w:type="pct"/>
            <w:tcBorders>
              <w:tl2br w:val="nil"/>
              <w:tr2bl w:val="nil"/>
            </w:tcBorders>
            <w:noWrap w:val="0"/>
            <w:vAlign w:val="center"/>
          </w:tcPr>
          <w:p>
            <w:pPr>
              <w:pStyle w:val="35"/>
              <w:bidi w:val="0"/>
              <w:rPr>
                <w:rFonts w:hint="eastAsia"/>
                <w:color w:val="auto"/>
              </w:rPr>
            </w:pPr>
            <w:r>
              <w:rPr>
                <w:rFonts w:hint="eastAsia"/>
                <w:color w:val="auto"/>
              </w:rPr>
              <w:t>过滤滤渣</w:t>
            </w:r>
          </w:p>
        </w:tc>
        <w:tc>
          <w:tcPr>
            <w:tcW w:w="541" w:type="pct"/>
            <w:tcBorders>
              <w:tl2br w:val="nil"/>
              <w:tr2bl w:val="nil"/>
            </w:tcBorders>
            <w:noWrap w:val="0"/>
            <w:vAlign w:val="center"/>
          </w:tcPr>
          <w:p>
            <w:pPr>
              <w:pStyle w:val="35"/>
              <w:bidi w:val="0"/>
              <w:rPr>
                <w:rFonts w:hint="eastAsia"/>
                <w:color w:val="auto"/>
              </w:rPr>
            </w:pPr>
            <w:r>
              <w:rPr>
                <w:rFonts w:hint="eastAsia"/>
                <w:color w:val="auto"/>
              </w:rPr>
              <w:t>HW12染料、涂料废物</w:t>
            </w:r>
          </w:p>
        </w:tc>
        <w:tc>
          <w:tcPr>
            <w:tcW w:w="619" w:type="pct"/>
            <w:tcBorders>
              <w:tl2br w:val="nil"/>
              <w:tr2bl w:val="nil"/>
            </w:tcBorders>
            <w:noWrap w:val="0"/>
            <w:vAlign w:val="center"/>
          </w:tcPr>
          <w:p>
            <w:pPr>
              <w:pStyle w:val="35"/>
              <w:bidi w:val="0"/>
              <w:rPr>
                <w:rFonts w:hint="eastAsia"/>
                <w:color w:val="auto"/>
              </w:rPr>
            </w:pPr>
            <w:r>
              <w:rPr>
                <w:rFonts w:hint="eastAsia"/>
                <w:color w:val="auto"/>
              </w:rPr>
              <w:t>264-011-12</w:t>
            </w:r>
          </w:p>
        </w:tc>
        <w:tc>
          <w:tcPr>
            <w:tcW w:w="441"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1</w:t>
            </w:r>
          </w:p>
        </w:tc>
        <w:tc>
          <w:tcPr>
            <w:tcW w:w="610" w:type="pct"/>
            <w:tcBorders>
              <w:tl2br w:val="nil"/>
              <w:tr2bl w:val="nil"/>
            </w:tcBorders>
            <w:noWrap w:val="0"/>
            <w:vAlign w:val="center"/>
          </w:tcPr>
          <w:p>
            <w:pPr>
              <w:pStyle w:val="35"/>
              <w:bidi w:val="0"/>
              <w:rPr>
                <w:rFonts w:hint="eastAsia"/>
                <w:color w:val="auto"/>
                <w:lang w:eastAsia="zh-CN"/>
              </w:rPr>
            </w:pPr>
            <w:r>
              <w:rPr>
                <w:rFonts w:hint="eastAsia"/>
                <w:color w:val="auto"/>
              </w:rPr>
              <w:t>环氧地坪漆</w:t>
            </w:r>
            <w:r>
              <w:rPr>
                <w:rFonts w:hint="eastAsia"/>
                <w:color w:val="auto"/>
                <w:lang w:eastAsia="zh-CN"/>
              </w:rPr>
              <w:t>过滤</w:t>
            </w:r>
          </w:p>
        </w:tc>
        <w:tc>
          <w:tcPr>
            <w:tcW w:w="396" w:type="pct"/>
            <w:tcBorders>
              <w:tl2br w:val="nil"/>
              <w:tr2bl w:val="nil"/>
            </w:tcBorders>
            <w:noWrap w:val="0"/>
            <w:vAlign w:val="center"/>
          </w:tcPr>
          <w:p>
            <w:pPr>
              <w:pStyle w:val="35"/>
              <w:bidi w:val="0"/>
              <w:rPr>
                <w:color w:val="auto"/>
              </w:rPr>
            </w:pPr>
            <w:r>
              <w:rPr>
                <w:color w:val="auto"/>
              </w:rPr>
              <w:t>固态</w:t>
            </w:r>
          </w:p>
        </w:tc>
        <w:tc>
          <w:tcPr>
            <w:tcW w:w="518" w:type="pct"/>
            <w:tcBorders>
              <w:tl2br w:val="nil"/>
              <w:tr2bl w:val="nil"/>
            </w:tcBorders>
            <w:noWrap w:val="0"/>
            <w:vAlign w:val="center"/>
          </w:tcPr>
          <w:p>
            <w:pPr>
              <w:pStyle w:val="35"/>
              <w:bidi w:val="0"/>
              <w:rPr>
                <w:rFonts w:hint="eastAsia"/>
                <w:color w:val="auto"/>
              </w:rPr>
            </w:pPr>
            <w:r>
              <w:rPr>
                <w:rFonts w:hint="eastAsia"/>
                <w:color w:val="auto"/>
              </w:rPr>
              <w:t>颜料、树脂</w:t>
            </w:r>
          </w:p>
        </w:tc>
        <w:tc>
          <w:tcPr>
            <w:tcW w:w="324" w:type="pct"/>
            <w:tcBorders>
              <w:tl2br w:val="nil"/>
              <w:tr2bl w:val="nil"/>
            </w:tcBorders>
            <w:noWrap w:val="0"/>
            <w:vAlign w:val="center"/>
          </w:tcPr>
          <w:p>
            <w:pPr>
              <w:pStyle w:val="35"/>
              <w:bidi w:val="0"/>
              <w:rPr>
                <w:rFonts w:hint="eastAsia"/>
                <w:color w:val="auto"/>
              </w:rPr>
            </w:pPr>
            <w:r>
              <w:rPr>
                <w:rFonts w:hint="eastAsia"/>
                <w:color w:val="auto"/>
              </w:rPr>
              <w:t>不定</w:t>
            </w:r>
          </w:p>
        </w:tc>
        <w:tc>
          <w:tcPr>
            <w:tcW w:w="413" w:type="pct"/>
            <w:tcBorders>
              <w:tl2br w:val="nil"/>
              <w:tr2bl w:val="nil"/>
            </w:tcBorders>
            <w:noWrap w:val="0"/>
            <w:vAlign w:val="center"/>
          </w:tcPr>
          <w:p>
            <w:pPr>
              <w:pStyle w:val="35"/>
              <w:bidi w:val="0"/>
              <w:rPr>
                <w:rFonts w:hint="eastAsia"/>
                <w:color w:val="auto"/>
              </w:rPr>
            </w:pPr>
            <w:r>
              <w:rPr>
                <w:rFonts w:hint="eastAsia"/>
                <w:color w:val="auto"/>
              </w:rPr>
              <w:t>T</w:t>
            </w:r>
          </w:p>
        </w:tc>
        <w:tc>
          <w:tcPr>
            <w:tcW w:w="615" w:type="pct"/>
            <w:vMerge w:val="continue"/>
            <w:tcBorders>
              <w:tl2br w:val="nil"/>
              <w:tr2bl w:val="nil"/>
            </w:tcBorders>
            <w:noWrap w:val="0"/>
            <w:vAlign w:val="center"/>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16" w:type="pct"/>
            <w:tcBorders>
              <w:tl2br w:val="nil"/>
              <w:tr2bl w:val="nil"/>
            </w:tcBorders>
            <w:noWrap w:val="0"/>
            <w:vAlign w:val="center"/>
          </w:tcPr>
          <w:p>
            <w:pPr>
              <w:pStyle w:val="35"/>
              <w:bidi w:val="0"/>
              <w:rPr>
                <w:color w:val="auto"/>
              </w:rPr>
            </w:pPr>
            <w:r>
              <w:rPr>
                <w:rFonts w:hint="eastAsia"/>
                <w:color w:val="auto"/>
              </w:rPr>
              <w:t>废弃包装材料</w:t>
            </w:r>
          </w:p>
        </w:tc>
        <w:tc>
          <w:tcPr>
            <w:tcW w:w="541" w:type="pct"/>
            <w:tcBorders>
              <w:tl2br w:val="nil"/>
              <w:tr2bl w:val="nil"/>
            </w:tcBorders>
            <w:noWrap w:val="0"/>
            <w:vAlign w:val="center"/>
          </w:tcPr>
          <w:p>
            <w:pPr>
              <w:pStyle w:val="35"/>
              <w:bidi w:val="0"/>
              <w:rPr>
                <w:color w:val="auto"/>
              </w:rPr>
            </w:pPr>
            <w:r>
              <w:rPr>
                <w:rFonts w:hint="eastAsia"/>
                <w:color w:val="auto"/>
              </w:rPr>
              <w:t>HW49其他废物</w:t>
            </w:r>
          </w:p>
        </w:tc>
        <w:tc>
          <w:tcPr>
            <w:tcW w:w="619" w:type="pct"/>
            <w:tcBorders>
              <w:tl2br w:val="nil"/>
              <w:tr2bl w:val="nil"/>
            </w:tcBorders>
            <w:noWrap w:val="0"/>
            <w:vAlign w:val="center"/>
          </w:tcPr>
          <w:p>
            <w:pPr>
              <w:pStyle w:val="35"/>
              <w:bidi w:val="0"/>
              <w:rPr>
                <w:color w:val="auto"/>
              </w:rPr>
            </w:pPr>
            <w:r>
              <w:rPr>
                <w:color w:val="auto"/>
              </w:rPr>
              <w:t>900-041-49</w:t>
            </w:r>
          </w:p>
        </w:tc>
        <w:tc>
          <w:tcPr>
            <w:tcW w:w="441" w:type="pct"/>
            <w:tcBorders>
              <w:tl2br w:val="nil"/>
              <w:tr2bl w:val="nil"/>
            </w:tcBorders>
            <w:noWrap w:val="0"/>
            <w:vAlign w:val="center"/>
          </w:tcPr>
          <w:p>
            <w:pPr>
              <w:pStyle w:val="35"/>
              <w:bidi w:val="0"/>
              <w:rPr>
                <w:color w:val="auto"/>
              </w:rPr>
            </w:pPr>
            <w:r>
              <w:rPr>
                <w:rFonts w:hint="eastAsia"/>
                <w:color w:val="auto"/>
              </w:rPr>
              <w:t>3.06</w:t>
            </w:r>
          </w:p>
        </w:tc>
        <w:tc>
          <w:tcPr>
            <w:tcW w:w="610" w:type="pct"/>
            <w:tcBorders>
              <w:tl2br w:val="nil"/>
              <w:tr2bl w:val="nil"/>
            </w:tcBorders>
            <w:noWrap w:val="0"/>
            <w:vAlign w:val="center"/>
          </w:tcPr>
          <w:p>
            <w:pPr>
              <w:pStyle w:val="35"/>
              <w:bidi w:val="0"/>
              <w:rPr>
                <w:color w:val="auto"/>
              </w:rPr>
            </w:pPr>
            <w:r>
              <w:rPr>
                <w:rFonts w:hint="eastAsia"/>
                <w:color w:val="auto"/>
                <w:lang w:eastAsia="zh-CN"/>
              </w:rPr>
              <w:t>投料、包装</w:t>
            </w:r>
          </w:p>
        </w:tc>
        <w:tc>
          <w:tcPr>
            <w:tcW w:w="396" w:type="pct"/>
            <w:tcBorders>
              <w:tl2br w:val="nil"/>
              <w:tr2bl w:val="nil"/>
            </w:tcBorders>
            <w:noWrap w:val="0"/>
            <w:vAlign w:val="center"/>
          </w:tcPr>
          <w:p>
            <w:pPr>
              <w:pStyle w:val="35"/>
              <w:bidi w:val="0"/>
              <w:rPr>
                <w:color w:val="auto"/>
              </w:rPr>
            </w:pPr>
            <w:r>
              <w:rPr>
                <w:color w:val="auto"/>
              </w:rPr>
              <w:t>固态</w:t>
            </w:r>
          </w:p>
        </w:tc>
        <w:tc>
          <w:tcPr>
            <w:tcW w:w="518" w:type="pct"/>
            <w:tcBorders>
              <w:tl2br w:val="nil"/>
              <w:tr2bl w:val="nil"/>
            </w:tcBorders>
            <w:noWrap w:val="0"/>
            <w:vAlign w:val="center"/>
          </w:tcPr>
          <w:p>
            <w:pPr>
              <w:pStyle w:val="35"/>
              <w:bidi w:val="0"/>
              <w:rPr>
                <w:color w:val="auto"/>
              </w:rPr>
            </w:pPr>
            <w:r>
              <w:rPr>
                <w:rFonts w:hint="eastAsia"/>
                <w:color w:val="auto"/>
              </w:rPr>
              <w:t>有机物</w:t>
            </w:r>
          </w:p>
        </w:tc>
        <w:tc>
          <w:tcPr>
            <w:tcW w:w="324" w:type="pct"/>
            <w:tcBorders>
              <w:tl2br w:val="nil"/>
              <w:tr2bl w:val="nil"/>
            </w:tcBorders>
            <w:noWrap w:val="0"/>
            <w:vAlign w:val="center"/>
          </w:tcPr>
          <w:p>
            <w:pPr>
              <w:pStyle w:val="35"/>
              <w:bidi w:val="0"/>
              <w:rPr>
                <w:color w:val="auto"/>
              </w:rPr>
            </w:pPr>
            <w:r>
              <w:rPr>
                <w:rFonts w:hint="eastAsia"/>
                <w:color w:val="auto"/>
              </w:rPr>
              <w:t>不定</w:t>
            </w:r>
          </w:p>
        </w:tc>
        <w:tc>
          <w:tcPr>
            <w:tcW w:w="413" w:type="pct"/>
            <w:tcBorders>
              <w:tl2br w:val="nil"/>
              <w:tr2bl w:val="nil"/>
            </w:tcBorders>
            <w:noWrap w:val="0"/>
            <w:vAlign w:val="center"/>
          </w:tcPr>
          <w:p>
            <w:pPr>
              <w:pStyle w:val="35"/>
              <w:bidi w:val="0"/>
              <w:rPr>
                <w:color w:val="auto"/>
              </w:rPr>
            </w:pPr>
            <w:r>
              <w:rPr>
                <w:rFonts w:hint="eastAsia"/>
                <w:color w:val="auto"/>
              </w:rPr>
              <w:t>T</w:t>
            </w:r>
          </w:p>
        </w:tc>
        <w:tc>
          <w:tcPr>
            <w:tcW w:w="615" w:type="pct"/>
            <w:vMerge w:val="continue"/>
            <w:tcBorders>
              <w:tl2br w:val="nil"/>
              <w:tr2bl w:val="nil"/>
            </w:tcBorders>
            <w:noWrap w:val="0"/>
            <w:vAlign w:val="center"/>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16" w:type="pct"/>
            <w:tcBorders>
              <w:tl2br w:val="nil"/>
              <w:tr2bl w:val="nil"/>
            </w:tcBorders>
            <w:noWrap w:val="0"/>
            <w:vAlign w:val="center"/>
          </w:tcPr>
          <w:p>
            <w:pPr>
              <w:pStyle w:val="35"/>
              <w:bidi w:val="0"/>
              <w:rPr>
                <w:color w:val="auto"/>
              </w:rPr>
            </w:pPr>
            <w:r>
              <w:rPr>
                <w:rFonts w:hint="eastAsia"/>
                <w:color w:val="auto"/>
              </w:rPr>
              <w:t>污泥</w:t>
            </w:r>
          </w:p>
        </w:tc>
        <w:tc>
          <w:tcPr>
            <w:tcW w:w="541" w:type="pct"/>
            <w:tcBorders>
              <w:tl2br w:val="nil"/>
              <w:tr2bl w:val="nil"/>
            </w:tcBorders>
            <w:noWrap w:val="0"/>
            <w:vAlign w:val="center"/>
          </w:tcPr>
          <w:p>
            <w:pPr>
              <w:pStyle w:val="35"/>
              <w:bidi w:val="0"/>
              <w:rPr>
                <w:color w:val="auto"/>
              </w:rPr>
            </w:pPr>
            <w:r>
              <w:rPr>
                <w:rFonts w:hint="eastAsia"/>
                <w:color w:val="auto"/>
              </w:rPr>
              <w:t>HW1</w:t>
            </w:r>
            <w:r>
              <w:rPr>
                <w:rFonts w:hint="eastAsia"/>
                <w:color w:val="auto"/>
                <w:lang w:val="en-US" w:eastAsia="zh-CN"/>
              </w:rPr>
              <w:t>3有机树脂类</w:t>
            </w:r>
            <w:r>
              <w:rPr>
                <w:rFonts w:hint="eastAsia"/>
                <w:color w:val="auto"/>
              </w:rPr>
              <w:t>废物</w:t>
            </w:r>
          </w:p>
        </w:tc>
        <w:tc>
          <w:tcPr>
            <w:tcW w:w="619" w:type="pct"/>
            <w:tcBorders>
              <w:tl2br w:val="nil"/>
              <w:tr2bl w:val="nil"/>
            </w:tcBorders>
            <w:noWrap w:val="0"/>
            <w:vAlign w:val="center"/>
          </w:tcPr>
          <w:p>
            <w:pPr>
              <w:pStyle w:val="35"/>
              <w:bidi w:val="0"/>
              <w:rPr>
                <w:color w:val="auto"/>
              </w:rPr>
            </w:pPr>
            <w:r>
              <w:rPr>
                <w:rFonts w:hint="eastAsia"/>
                <w:color w:val="auto"/>
              </w:rPr>
              <w:t>26</w:t>
            </w:r>
            <w:r>
              <w:rPr>
                <w:rFonts w:hint="eastAsia"/>
                <w:color w:val="auto"/>
                <w:lang w:val="en-US" w:eastAsia="zh-CN"/>
              </w:rPr>
              <w:t>5</w:t>
            </w:r>
            <w:r>
              <w:rPr>
                <w:rFonts w:hint="eastAsia"/>
                <w:color w:val="auto"/>
              </w:rPr>
              <w:t>-</w:t>
            </w:r>
            <w:r>
              <w:rPr>
                <w:rFonts w:hint="eastAsia"/>
                <w:color w:val="auto"/>
                <w:lang w:val="en-US" w:eastAsia="zh-CN"/>
              </w:rPr>
              <w:t>104</w:t>
            </w:r>
            <w:r>
              <w:rPr>
                <w:rFonts w:hint="eastAsia"/>
                <w:color w:val="auto"/>
              </w:rPr>
              <w:t>-1</w:t>
            </w:r>
            <w:r>
              <w:rPr>
                <w:rFonts w:hint="eastAsia"/>
                <w:color w:val="auto"/>
                <w:lang w:val="en-US" w:eastAsia="zh-CN"/>
              </w:rPr>
              <w:t>3</w:t>
            </w:r>
          </w:p>
        </w:tc>
        <w:tc>
          <w:tcPr>
            <w:tcW w:w="441" w:type="pct"/>
            <w:tcBorders>
              <w:tl2br w:val="nil"/>
              <w:tr2bl w:val="nil"/>
            </w:tcBorders>
            <w:noWrap w:val="0"/>
            <w:vAlign w:val="center"/>
          </w:tcPr>
          <w:p>
            <w:pPr>
              <w:pStyle w:val="35"/>
              <w:bidi w:val="0"/>
              <w:rPr>
                <w:color w:val="auto"/>
              </w:rPr>
            </w:pPr>
            <w:r>
              <w:rPr>
                <w:rFonts w:hint="eastAsia"/>
                <w:color w:val="auto"/>
              </w:rPr>
              <w:t>2</w:t>
            </w:r>
          </w:p>
        </w:tc>
        <w:tc>
          <w:tcPr>
            <w:tcW w:w="610" w:type="pct"/>
            <w:tcBorders>
              <w:tl2br w:val="nil"/>
              <w:tr2bl w:val="nil"/>
            </w:tcBorders>
            <w:noWrap w:val="0"/>
            <w:vAlign w:val="center"/>
          </w:tcPr>
          <w:p>
            <w:pPr>
              <w:pStyle w:val="35"/>
              <w:bidi w:val="0"/>
              <w:rPr>
                <w:color w:val="auto"/>
              </w:rPr>
            </w:pPr>
            <w:r>
              <w:rPr>
                <w:rFonts w:hint="eastAsia"/>
                <w:color w:val="auto"/>
              </w:rPr>
              <w:t>污水处理装置</w:t>
            </w:r>
          </w:p>
        </w:tc>
        <w:tc>
          <w:tcPr>
            <w:tcW w:w="396" w:type="pct"/>
            <w:tcBorders>
              <w:tl2br w:val="nil"/>
              <w:tr2bl w:val="nil"/>
            </w:tcBorders>
            <w:noWrap w:val="0"/>
            <w:vAlign w:val="center"/>
          </w:tcPr>
          <w:p>
            <w:pPr>
              <w:pStyle w:val="35"/>
              <w:bidi w:val="0"/>
              <w:rPr>
                <w:color w:val="auto"/>
              </w:rPr>
            </w:pPr>
            <w:r>
              <w:rPr>
                <w:color w:val="auto"/>
              </w:rPr>
              <w:t>固态</w:t>
            </w:r>
          </w:p>
        </w:tc>
        <w:tc>
          <w:tcPr>
            <w:tcW w:w="518" w:type="pct"/>
            <w:tcBorders>
              <w:tl2br w:val="nil"/>
              <w:tr2bl w:val="nil"/>
            </w:tcBorders>
            <w:noWrap w:val="0"/>
            <w:vAlign w:val="center"/>
          </w:tcPr>
          <w:p>
            <w:pPr>
              <w:pStyle w:val="35"/>
              <w:bidi w:val="0"/>
              <w:rPr>
                <w:color w:val="auto"/>
              </w:rPr>
            </w:pPr>
            <w:r>
              <w:rPr>
                <w:rFonts w:hint="eastAsia"/>
                <w:color w:val="auto"/>
              </w:rPr>
              <w:t>颜料、树脂、有机物</w:t>
            </w:r>
          </w:p>
        </w:tc>
        <w:tc>
          <w:tcPr>
            <w:tcW w:w="324" w:type="pct"/>
            <w:tcBorders>
              <w:tl2br w:val="nil"/>
              <w:tr2bl w:val="nil"/>
            </w:tcBorders>
            <w:noWrap w:val="0"/>
            <w:vAlign w:val="center"/>
          </w:tcPr>
          <w:p>
            <w:pPr>
              <w:pStyle w:val="35"/>
              <w:bidi w:val="0"/>
              <w:rPr>
                <w:color w:val="auto"/>
              </w:rPr>
            </w:pPr>
            <w:r>
              <w:rPr>
                <w:rFonts w:hint="eastAsia"/>
                <w:color w:val="auto"/>
              </w:rPr>
              <w:t>不定</w:t>
            </w:r>
          </w:p>
        </w:tc>
        <w:tc>
          <w:tcPr>
            <w:tcW w:w="413" w:type="pct"/>
            <w:tcBorders>
              <w:tl2br w:val="nil"/>
              <w:tr2bl w:val="nil"/>
            </w:tcBorders>
            <w:noWrap w:val="0"/>
            <w:vAlign w:val="center"/>
          </w:tcPr>
          <w:p>
            <w:pPr>
              <w:pStyle w:val="35"/>
              <w:bidi w:val="0"/>
              <w:rPr>
                <w:color w:val="auto"/>
              </w:rPr>
            </w:pPr>
            <w:r>
              <w:rPr>
                <w:rFonts w:hint="eastAsia"/>
                <w:color w:val="auto"/>
              </w:rPr>
              <w:t>T</w:t>
            </w:r>
          </w:p>
        </w:tc>
        <w:tc>
          <w:tcPr>
            <w:tcW w:w="615" w:type="pct"/>
            <w:vMerge w:val="continue"/>
            <w:tcBorders>
              <w:tl2br w:val="nil"/>
              <w:tr2bl w:val="nil"/>
            </w:tcBorders>
            <w:noWrap w:val="0"/>
            <w:vAlign w:val="center"/>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57" w:type="pct"/>
            <w:gridSpan w:val="2"/>
            <w:tcBorders>
              <w:tl2br w:val="nil"/>
              <w:tr2bl w:val="nil"/>
            </w:tcBorders>
            <w:noWrap w:val="0"/>
            <w:vAlign w:val="center"/>
          </w:tcPr>
          <w:p>
            <w:pPr>
              <w:pStyle w:val="35"/>
              <w:bidi w:val="0"/>
              <w:rPr>
                <w:color w:val="auto"/>
              </w:rPr>
            </w:pPr>
            <w:r>
              <w:rPr>
                <w:color w:val="auto"/>
              </w:rPr>
              <w:t>固体废物名称</w:t>
            </w:r>
          </w:p>
        </w:tc>
        <w:tc>
          <w:tcPr>
            <w:tcW w:w="619" w:type="pct"/>
            <w:tcBorders>
              <w:tl2br w:val="nil"/>
              <w:tr2bl w:val="nil"/>
            </w:tcBorders>
            <w:noWrap w:val="0"/>
            <w:vAlign w:val="center"/>
          </w:tcPr>
          <w:p>
            <w:pPr>
              <w:pStyle w:val="35"/>
              <w:bidi w:val="0"/>
              <w:rPr>
                <w:color w:val="auto"/>
              </w:rPr>
            </w:pPr>
            <w:r>
              <w:rPr>
                <w:color w:val="auto"/>
              </w:rPr>
              <w:t>产生量（t/a）</w:t>
            </w:r>
          </w:p>
        </w:tc>
        <w:tc>
          <w:tcPr>
            <w:tcW w:w="1968" w:type="pct"/>
            <w:gridSpan w:val="4"/>
            <w:tcBorders>
              <w:tl2br w:val="nil"/>
              <w:tr2bl w:val="nil"/>
            </w:tcBorders>
            <w:noWrap w:val="0"/>
            <w:vAlign w:val="center"/>
          </w:tcPr>
          <w:p>
            <w:pPr>
              <w:pStyle w:val="35"/>
              <w:bidi w:val="0"/>
              <w:rPr>
                <w:color w:val="auto"/>
              </w:rPr>
            </w:pPr>
            <w:r>
              <w:rPr>
                <w:color w:val="auto"/>
              </w:rPr>
              <w:t>暂存设施</w:t>
            </w:r>
          </w:p>
        </w:tc>
        <w:tc>
          <w:tcPr>
            <w:tcW w:w="1353" w:type="pct"/>
            <w:gridSpan w:val="3"/>
            <w:tcBorders>
              <w:tl2br w:val="nil"/>
              <w:tr2bl w:val="nil"/>
            </w:tcBorders>
            <w:noWrap w:val="0"/>
            <w:vAlign w:val="center"/>
          </w:tcPr>
          <w:p>
            <w:pPr>
              <w:pStyle w:val="35"/>
              <w:bidi w:val="0"/>
              <w:rPr>
                <w:color w:val="auto"/>
              </w:rPr>
            </w:pPr>
            <w:r>
              <w:rPr>
                <w:color w:val="auto"/>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57" w:type="pct"/>
            <w:gridSpan w:val="2"/>
            <w:tcBorders>
              <w:tl2br w:val="nil"/>
              <w:tr2bl w:val="nil"/>
            </w:tcBorders>
            <w:noWrap w:val="0"/>
            <w:vAlign w:val="center"/>
          </w:tcPr>
          <w:p>
            <w:pPr>
              <w:pStyle w:val="35"/>
              <w:bidi w:val="0"/>
              <w:rPr>
                <w:color w:val="auto"/>
              </w:rPr>
            </w:pPr>
            <w:r>
              <w:rPr>
                <w:rFonts w:hint="eastAsia"/>
                <w:color w:val="auto"/>
              </w:rPr>
              <w:t>布袋收</w:t>
            </w:r>
            <w:r>
              <w:rPr>
                <w:color w:val="auto"/>
              </w:rPr>
              <w:t>集的粉尘</w:t>
            </w:r>
          </w:p>
        </w:tc>
        <w:tc>
          <w:tcPr>
            <w:tcW w:w="619" w:type="pct"/>
            <w:tcBorders>
              <w:tl2br w:val="nil"/>
              <w:tr2bl w:val="nil"/>
            </w:tcBorders>
            <w:noWrap w:val="0"/>
            <w:vAlign w:val="center"/>
          </w:tcPr>
          <w:p>
            <w:pPr>
              <w:pStyle w:val="35"/>
              <w:bidi w:val="0"/>
              <w:rPr>
                <w:color w:val="auto"/>
              </w:rPr>
            </w:pPr>
            <w:r>
              <w:rPr>
                <w:rFonts w:hint="eastAsia"/>
                <w:color w:val="auto"/>
              </w:rPr>
              <w:t>0.877</w:t>
            </w:r>
          </w:p>
        </w:tc>
        <w:tc>
          <w:tcPr>
            <w:tcW w:w="1968" w:type="pct"/>
            <w:gridSpan w:val="4"/>
            <w:tcBorders>
              <w:tl2br w:val="nil"/>
              <w:tr2bl w:val="nil"/>
            </w:tcBorders>
            <w:noWrap w:val="0"/>
            <w:vAlign w:val="center"/>
          </w:tcPr>
          <w:p>
            <w:pPr>
              <w:pStyle w:val="35"/>
              <w:bidi w:val="0"/>
              <w:rPr>
                <w:color w:val="auto"/>
              </w:rPr>
            </w:pPr>
            <w:r>
              <w:rPr>
                <w:rFonts w:hint="eastAsia"/>
                <w:color w:val="auto"/>
              </w:rPr>
              <w:t>/</w:t>
            </w:r>
          </w:p>
        </w:tc>
        <w:tc>
          <w:tcPr>
            <w:tcW w:w="1353" w:type="pct"/>
            <w:gridSpan w:val="3"/>
            <w:tcBorders>
              <w:tl2br w:val="nil"/>
              <w:tr2bl w:val="nil"/>
            </w:tcBorders>
            <w:noWrap w:val="0"/>
            <w:vAlign w:val="center"/>
          </w:tcPr>
          <w:p>
            <w:pPr>
              <w:pStyle w:val="35"/>
              <w:bidi w:val="0"/>
              <w:rPr>
                <w:color w:val="auto"/>
              </w:rPr>
            </w:pPr>
            <w:r>
              <w:rPr>
                <w:rFonts w:hint="eastAsia"/>
                <w:color w:val="auto"/>
              </w:rPr>
              <w:t>直接返回生产工序综合利用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57" w:type="pct"/>
            <w:gridSpan w:val="2"/>
            <w:tcBorders>
              <w:tl2br w:val="nil"/>
              <w:tr2bl w:val="nil"/>
            </w:tcBorders>
            <w:noWrap w:val="0"/>
            <w:vAlign w:val="center"/>
          </w:tcPr>
          <w:p>
            <w:pPr>
              <w:pStyle w:val="35"/>
              <w:bidi w:val="0"/>
              <w:rPr>
                <w:color w:val="auto"/>
              </w:rPr>
            </w:pPr>
            <w:r>
              <w:rPr>
                <w:color w:val="auto"/>
              </w:rPr>
              <w:t>生活垃圾</w:t>
            </w:r>
          </w:p>
        </w:tc>
        <w:tc>
          <w:tcPr>
            <w:tcW w:w="619" w:type="pct"/>
            <w:tcBorders>
              <w:tl2br w:val="nil"/>
              <w:tr2bl w:val="nil"/>
            </w:tcBorders>
            <w:noWrap w:val="0"/>
            <w:vAlign w:val="center"/>
          </w:tcPr>
          <w:p>
            <w:pPr>
              <w:pStyle w:val="35"/>
              <w:bidi w:val="0"/>
              <w:rPr>
                <w:color w:val="auto"/>
              </w:rPr>
            </w:pPr>
            <w:r>
              <w:rPr>
                <w:rFonts w:hint="eastAsia"/>
                <w:color w:val="auto"/>
              </w:rPr>
              <w:t>9</w:t>
            </w:r>
          </w:p>
        </w:tc>
        <w:tc>
          <w:tcPr>
            <w:tcW w:w="1968" w:type="pct"/>
            <w:gridSpan w:val="4"/>
            <w:tcBorders>
              <w:tl2br w:val="nil"/>
              <w:tr2bl w:val="nil"/>
            </w:tcBorders>
            <w:noWrap w:val="0"/>
            <w:vAlign w:val="center"/>
          </w:tcPr>
          <w:p>
            <w:pPr>
              <w:pStyle w:val="35"/>
              <w:bidi w:val="0"/>
              <w:rPr>
                <w:color w:val="auto"/>
              </w:rPr>
            </w:pPr>
            <w:r>
              <w:rPr>
                <w:color w:val="auto"/>
              </w:rPr>
              <w:t>分区垃圾桶暂存，并设置垃圾收集点</w:t>
            </w:r>
          </w:p>
        </w:tc>
        <w:tc>
          <w:tcPr>
            <w:tcW w:w="1353" w:type="pct"/>
            <w:gridSpan w:val="3"/>
            <w:tcBorders>
              <w:tl2br w:val="nil"/>
              <w:tr2bl w:val="nil"/>
            </w:tcBorders>
            <w:noWrap w:val="0"/>
            <w:vAlign w:val="center"/>
          </w:tcPr>
          <w:p>
            <w:pPr>
              <w:pStyle w:val="35"/>
              <w:bidi w:val="0"/>
              <w:rPr>
                <w:color w:val="auto"/>
              </w:rPr>
            </w:pPr>
            <w:r>
              <w:rPr>
                <w:color w:val="auto"/>
              </w:rPr>
              <w:t>环卫部门统一清运</w:t>
            </w:r>
          </w:p>
        </w:tc>
      </w:tr>
      <w:bookmarkEnd w:id="53"/>
    </w:tbl>
    <w:p>
      <w:pPr>
        <w:pStyle w:val="32"/>
        <w:bidi w:val="0"/>
        <w:rPr>
          <w:rFonts w:hint="eastAsia"/>
          <w:color w:val="auto"/>
          <w:lang w:val="en-US" w:eastAsia="zh-CN"/>
        </w:rPr>
      </w:pPr>
      <w:bookmarkStart w:id="56" w:name="_Toc85"/>
      <w:bookmarkStart w:id="57" w:name="_Toc14571"/>
      <w:r>
        <w:rPr>
          <w:rFonts w:hint="eastAsia"/>
          <w:color w:val="auto"/>
          <w:lang w:val="en-US" w:eastAsia="zh-CN"/>
        </w:rPr>
        <w:t>3.3.5</w:t>
      </w:r>
      <w:r>
        <w:rPr>
          <w:rFonts w:hint="eastAsia"/>
          <w:color w:val="auto"/>
          <w:lang w:eastAsia="zh-CN"/>
        </w:rPr>
        <w:t>现有工程存在问题及“以新带老”整改措施</w:t>
      </w:r>
      <w:bookmarkEnd w:id="56"/>
      <w:bookmarkEnd w:id="57"/>
    </w:p>
    <w:p>
      <w:pPr>
        <w:spacing w:line="360" w:lineRule="auto"/>
        <w:ind w:firstLine="480" w:firstLineChars="200"/>
        <w:rPr>
          <w:rStyle w:val="39"/>
          <w:rFonts w:hint="default"/>
          <w:color w:val="auto"/>
          <w:u w:val="none"/>
          <w:lang w:val="en-US" w:eastAsia="zh-CN"/>
        </w:rPr>
      </w:pPr>
      <w:r>
        <w:rPr>
          <w:rFonts w:hint="eastAsia" w:ascii="Times New Roman" w:hAnsi="Times New Roman" w:cs="宋体"/>
          <w:caps w:val="0"/>
          <w:smallCaps w:val="0"/>
          <w:color w:val="auto"/>
          <w:sz w:val="24"/>
          <w:u w:val="none"/>
          <w:lang w:val="en-US" w:eastAsia="zh-CN"/>
        </w:rPr>
        <w:t>经现</w:t>
      </w:r>
      <w:r>
        <w:rPr>
          <w:rStyle w:val="39"/>
          <w:rFonts w:hint="eastAsia"/>
          <w:color w:val="auto"/>
          <w:u w:val="none"/>
          <w:lang w:val="en-US" w:eastAsia="zh-CN"/>
        </w:rPr>
        <w:t>场实地调查了，</w:t>
      </w:r>
      <w:r>
        <w:rPr>
          <w:rStyle w:val="39"/>
          <w:rFonts w:hint="eastAsia"/>
          <w:color w:val="auto"/>
          <w:u w:val="none"/>
          <w:lang w:eastAsia="zh-CN"/>
        </w:rPr>
        <w:t>凌峰化工自</w:t>
      </w:r>
      <w:r>
        <w:rPr>
          <w:rStyle w:val="39"/>
          <w:rFonts w:hint="eastAsia"/>
          <w:color w:val="auto"/>
          <w:u w:val="none"/>
          <w:lang w:val="en-US" w:eastAsia="zh-CN"/>
        </w:rPr>
        <w:t>2012年迁建入云溪工业园至今</w:t>
      </w:r>
      <w:r>
        <w:rPr>
          <w:rStyle w:val="39"/>
          <w:rFonts w:hint="eastAsia"/>
          <w:color w:val="auto"/>
          <w:u w:val="none"/>
          <w:lang w:eastAsia="zh-CN"/>
        </w:rPr>
        <w:t>，未发现附近居民环保投诉事件，</w:t>
      </w:r>
      <w:r>
        <w:rPr>
          <w:rStyle w:val="39"/>
          <w:rFonts w:hint="eastAsia"/>
          <w:color w:val="auto"/>
          <w:u w:val="none"/>
          <w:lang w:val="en-US" w:eastAsia="zh-CN"/>
        </w:rPr>
        <w:t>现有项目已基本按照环评要求落实“三同时”措施，存在的问题及“以新带老”整改措施见表3.3-10。</w:t>
      </w:r>
    </w:p>
    <w:p>
      <w:pPr>
        <w:pStyle w:val="36"/>
        <w:bidi w:val="0"/>
        <w:rPr>
          <w:rFonts w:hint="eastAsia"/>
          <w:color w:val="auto"/>
          <w:lang w:val="en-US" w:eastAsia="zh-CN"/>
        </w:rPr>
      </w:pPr>
      <w:r>
        <w:rPr>
          <w:rFonts w:hint="eastAsia"/>
          <w:color w:val="auto"/>
          <w:lang w:val="en-US" w:eastAsia="zh-CN"/>
        </w:rPr>
        <w:t>表3.3-10  现有项目存在的问题及“以新带老”整改措施</w:t>
      </w:r>
    </w:p>
    <w:tbl>
      <w:tblPr>
        <w:tblStyle w:val="2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084"/>
        <w:gridCol w:w="3205"/>
        <w:gridCol w:w="4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83" w:type="pct"/>
            <w:tcBorders>
              <w:tl2br w:val="nil"/>
              <w:tr2bl w:val="nil"/>
            </w:tcBorders>
            <w:noWrap w:val="0"/>
            <w:vAlign w:val="center"/>
          </w:tcPr>
          <w:p>
            <w:pPr>
              <w:pStyle w:val="35"/>
              <w:bidi w:val="0"/>
              <w:rPr>
                <w:rFonts w:hint="eastAsia"/>
                <w:b/>
                <w:bCs/>
                <w:color w:val="auto"/>
                <w:lang w:val="en-US" w:eastAsia="zh-CN"/>
              </w:rPr>
            </w:pPr>
            <w:r>
              <w:rPr>
                <w:rFonts w:hint="eastAsia"/>
                <w:b/>
                <w:bCs/>
                <w:color w:val="auto"/>
                <w:lang w:val="en-US" w:eastAsia="zh-CN"/>
              </w:rPr>
              <w:t>序号</w:t>
            </w:r>
          </w:p>
        </w:tc>
        <w:tc>
          <w:tcPr>
            <w:tcW w:w="570" w:type="pct"/>
            <w:tcBorders>
              <w:tl2br w:val="nil"/>
              <w:tr2bl w:val="nil"/>
            </w:tcBorders>
            <w:noWrap w:val="0"/>
            <w:vAlign w:val="center"/>
          </w:tcPr>
          <w:p>
            <w:pPr>
              <w:pStyle w:val="35"/>
              <w:bidi w:val="0"/>
              <w:rPr>
                <w:rFonts w:hint="eastAsia"/>
                <w:b/>
                <w:bCs/>
                <w:color w:val="auto"/>
                <w:lang w:val="en-US" w:eastAsia="zh-CN"/>
              </w:rPr>
            </w:pPr>
            <w:r>
              <w:rPr>
                <w:rFonts w:hint="eastAsia"/>
                <w:b/>
                <w:bCs/>
                <w:color w:val="auto"/>
                <w:lang w:val="en-US" w:eastAsia="zh-CN"/>
              </w:rPr>
              <w:t>项目</w:t>
            </w:r>
          </w:p>
        </w:tc>
        <w:tc>
          <w:tcPr>
            <w:tcW w:w="1685" w:type="pct"/>
            <w:tcBorders>
              <w:tl2br w:val="nil"/>
              <w:tr2bl w:val="nil"/>
            </w:tcBorders>
            <w:noWrap w:val="0"/>
            <w:vAlign w:val="center"/>
          </w:tcPr>
          <w:p>
            <w:pPr>
              <w:pStyle w:val="35"/>
              <w:bidi w:val="0"/>
              <w:rPr>
                <w:rFonts w:hint="eastAsia"/>
                <w:b/>
                <w:bCs/>
                <w:color w:val="auto"/>
                <w:lang w:val="en-US" w:eastAsia="zh-CN"/>
              </w:rPr>
            </w:pPr>
            <w:r>
              <w:rPr>
                <w:rFonts w:hint="eastAsia"/>
                <w:b/>
                <w:bCs/>
                <w:color w:val="auto"/>
                <w:lang w:val="en-US" w:eastAsia="zh-CN"/>
              </w:rPr>
              <w:t>存在问题</w:t>
            </w:r>
          </w:p>
        </w:tc>
        <w:tc>
          <w:tcPr>
            <w:tcW w:w="2360" w:type="pct"/>
            <w:tcBorders>
              <w:tl2br w:val="nil"/>
              <w:tr2bl w:val="nil"/>
            </w:tcBorders>
            <w:noWrap w:val="0"/>
            <w:vAlign w:val="center"/>
          </w:tcPr>
          <w:p>
            <w:pPr>
              <w:pStyle w:val="35"/>
              <w:bidi w:val="0"/>
              <w:rPr>
                <w:rFonts w:hint="eastAsia"/>
                <w:b/>
                <w:bCs/>
                <w:color w:val="auto"/>
                <w:lang w:val="en-US" w:eastAsia="zh-CN"/>
              </w:rPr>
            </w:pPr>
            <w:r>
              <w:rPr>
                <w:rFonts w:hint="eastAsia"/>
                <w:b/>
                <w:bCs/>
                <w:color w:val="auto"/>
                <w:lang w:val="en-US" w:eastAsia="zh-CN"/>
              </w:rPr>
              <w:t>“以新带老”措施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383"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1</w:t>
            </w:r>
          </w:p>
        </w:tc>
        <w:tc>
          <w:tcPr>
            <w:tcW w:w="570"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废气</w:t>
            </w:r>
          </w:p>
        </w:tc>
        <w:tc>
          <w:tcPr>
            <w:tcW w:w="1685"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现有废气暂未按二期环评要求采取“碱液喷淋+UV光解装置”处理。</w:t>
            </w:r>
          </w:p>
        </w:tc>
        <w:tc>
          <w:tcPr>
            <w:tcW w:w="2360"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二期环评项目验收或本次技改验收前必须完成废气装置改造，确保本项目废气能达标排放。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2" w:hRule="atLeast"/>
        </w:trPr>
        <w:tc>
          <w:tcPr>
            <w:tcW w:w="383" w:type="pct"/>
            <w:vMerge w:val="restar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2</w:t>
            </w:r>
          </w:p>
        </w:tc>
        <w:tc>
          <w:tcPr>
            <w:tcW w:w="570" w:type="pct"/>
            <w:vMerge w:val="restar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固废</w:t>
            </w:r>
          </w:p>
        </w:tc>
        <w:tc>
          <w:tcPr>
            <w:tcW w:w="1685" w:type="pct"/>
            <w:tcBorders>
              <w:tl2br w:val="nil"/>
              <w:tr2bl w:val="nil"/>
            </w:tcBorders>
            <w:noWrap w:val="0"/>
            <w:vAlign w:val="center"/>
          </w:tcPr>
          <w:p>
            <w:pPr>
              <w:pStyle w:val="35"/>
              <w:bidi w:val="0"/>
              <w:rPr>
                <w:rFonts w:hint="eastAsia"/>
                <w:color w:val="auto"/>
                <w:u w:val="single"/>
              </w:rPr>
            </w:pPr>
            <w:r>
              <w:rPr>
                <w:rFonts w:hint="eastAsia"/>
                <w:color w:val="auto"/>
                <w:u w:val="single"/>
              </w:rPr>
              <w:t>目前厂区内的危废暂存场所地面、墙裙等防渗层有破损，密闭设施不够完善；</w:t>
            </w:r>
          </w:p>
        </w:tc>
        <w:tc>
          <w:tcPr>
            <w:tcW w:w="2360"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rPr>
              <w:t>对厂区现有危废暂存库进行改造，</w:t>
            </w:r>
            <w:r>
              <w:rPr>
                <w:rFonts w:hint="eastAsia"/>
                <w:color w:val="auto"/>
                <w:u w:val="single"/>
                <w:lang w:eastAsia="zh-CN"/>
              </w:rPr>
              <w:t>设置截泄露</w:t>
            </w:r>
            <w:r>
              <w:rPr>
                <w:rFonts w:hint="eastAsia"/>
                <w:color w:val="auto"/>
                <w:u w:val="single"/>
              </w:rPr>
              <w:t>裙</w:t>
            </w:r>
            <w:r>
              <w:rPr>
                <w:rFonts w:hint="eastAsia"/>
                <w:color w:val="auto"/>
                <w:u w:val="single"/>
                <w:lang w:eastAsia="zh-CN"/>
              </w:rPr>
              <w:t>脚，地面与裙脚所围建的容积不低于最大容器的最大储量或总储量</w:t>
            </w:r>
            <w:r>
              <w:rPr>
                <w:rFonts w:hint="eastAsia"/>
                <w:color w:val="auto"/>
                <w:u w:val="single"/>
                <w:lang w:val="en-US" w:eastAsia="zh-CN"/>
              </w:rPr>
              <w:t>1/5，</w:t>
            </w:r>
            <w:r>
              <w:rPr>
                <w:rFonts w:hint="eastAsia"/>
                <w:color w:val="auto"/>
                <w:u w:val="single"/>
              </w:rPr>
              <w:t>加强防渗防腐措施</w:t>
            </w:r>
            <w:r>
              <w:rPr>
                <w:rFonts w:hint="eastAsia"/>
                <w:color w:val="auto"/>
                <w:u w:val="single"/>
                <w:lang w:eastAsia="zh-CN"/>
              </w:rPr>
              <w:t>；</w:t>
            </w:r>
            <w:r>
              <w:rPr>
                <w:rFonts w:hint="eastAsia"/>
                <w:color w:val="auto"/>
                <w:u w:val="single"/>
              </w:rPr>
              <w:t>修理危废库的门，加强密闭性；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3" w:hRule="atLeast"/>
        </w:trPr>
        <w:tc>
          <w:tcPr>
            <w:tcW w:w="383" w:type="pct"/>
            <w:vMerge w:val="continue"/>
            <w:tcBorders>
              <w:tl2br w:val="nil"/>
              <w:tr2bl w:val="nil"/>
            </w:tcBorders>
            <w:noWrap w:val="0"/>
            <w:vAlign w:val="center"/>
          </w:tcPr>
          <w:p>
            <w:pPr>
              <w:pStyle w:val="35"/>
              <w:bidi w:val="0"/>
              <w:rPr>
                <w:rFonts w:hint="eastAsia"/>
                <w:color w:val="auto"/>
                <w:u w:val="single"/>
                <w:lang w:val="en-US" w:eastAsia="zh-CN"/>
              </w:rPr>
            </w:pPr>
          </w:p>
        </w:tc>
        <w:tc>
          <w:tcPr>
            <w:tcW w:w="570" w:type="pct"/>
            <w:vMerge w:val="continue"/>
            <w:tcBorders>
              <w:tl2br w:val="nil"/>
              <w:tr2bl w:val="nil"/>
            </w:tcBorders>
            <w:noWrap w:val="0"/>
            <w:vAlign w:val="center"/>
          </w:tcPr>
          <w:p>
            <w:pPr>
              <w:pStyle w:val="35"/>
              <w:bidi w:val="0"/>
              <w:rPr>
                <w:rFonts w:hint="eastAsia"/>
                <w:color w:val="auto"/>
                <w:u w:val="single"/>
                <w:lang w:val="en-US" w:eastAsia="zh-CN"/>
              </w:rPr>
            </w:pPr>
          </w:p>
        </w:tc>
        <w:tc>
          <w:tcPr>
            <w:tcW w:w="1685" w:type="pct"/>
            <w:tcBorders>
              <w:tl2br w:val="nil"/>
              <w:tr2bl w:val="nil"/>
            </w:tcBorders>
            <w:noWrap w:val="0"/>
            <w:vAlign w:val="center"/>
          </w:tcPr>
          <w:p>
            <w:pPr>
              <w:pStyle w:val="35"/>
              <w:bidi w:val="0"/>
              <w:rPr>
                <w:rFonts w:hint="eastAsia"/>
                <w:color w:val="auto"/>
                <w:u w:val="single"/>
              </w:rPr>
            </w:pPr>
            <w:r>
              <w:rPr>
                <w:rFonts w:hint="eastAsia"/>
                <w:color w:val="auto"/>
                <w:u w:val="single"/>
              </w:rPr>
              <w:t>厂区内废弃原料包装桶</w:t>
            </w:r>
            <w:r>
              <w:rPr>
                <w:rFonts w:hint="eastAsia"/>
                <w:color w:val="auto"/>
                <w:u w:val="single"/>
                <w:lang w:eastAsia="zh-CN"/>
              </w:rPr>
              <w:t>部分</w:t>
            </w:r>
            <w:r>
              <w:rPr>
                <w:rFonts w:hint="eastAsia"/>
                <w:color w:val="auto"/>
                <w:u w:val="single"/>
              </w:rPr>
              <w:t>露天堆放；</w:t>
            </w:r>
          </w:p>
        </w:tc>
        <w:tc>
          <w:tcPr>
            <w:tcW w:w="2360" w:type="pct"/>
            <w:tcBorders>
              <w:tl2br w:val="nil"/>
              <w:tr2bl w:val="nil"/>
            </w:tcBorders>
            <w:noWrap w:val="0"/>
            <w:vAlign w:val="center"/>
          </w:tcPr>
          <w:p>
            <w:pPr>
              <w:pStyle w:val="35"/>
              <w:bidi w:val="0"/>
              <w:rPr>
                <w:rFonts w:hint="eastAsia"/>
                <w:color w:val="auto"/>
                <w:u w:val="single"/>
              </w:rPr>
            </w:pPr>
            <w:r>
              <w:rPr>
                <w:rFonts w:hint="eastAsia"/>
                <w:color w:val="auto"/>
                <w:u w:val="single"/>
              </w:rPr>
              <w:t>厂区内所有桶装原辅料、废弃原辅料/产品包装桶必须入库，不得乱堆乱放，严禁露天堆放；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3" w:hRule="atLeast"/>
        </w:trPr>
        <w:tc>
          <w:tcPr>
            <w:tcW w:w="383"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3</w:t>
            </w:r>
          </w:p>
        </w:tc>
        <w:tc>
          <w:tcPr>
            <w:tcW w:w="570"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环境风险</w:t>
            </w:r>
          </w:p>
        </w:tc>
        <w:tc>
          <w:tcPr>
            <w:tcW w:w="1685" w:type="pct"/>
            <w:tcBorders>
              <w:tl2br w:val="nil"/>
              <w:tr2bl w:val="nil"/>
            </w:tcBorders>
            <w:noWrap w:val="0"/>
            <w:vAlign w:val="center"/>
          </w:tcPr>
          <w:p>
            <w:pPr>
              <w:pStyle w:val="35"/>
              <w:bidi w:val="0"/>
              <w:rPr>
                <w:rFonts w:hint="eastAsia"/>
                <w:color w:val="auto"/>
                <w:u w:val="single"/>
                <w:lang w:eastAsia="zh-CN"/>
              </w:rPr>
            </w:pPr>
            <w:r>
              <w:rPr>
                <w:rFonts w:hint="eastAsia"/>
                <w:color w:val="auto"/>
                <w:u w:val="single"/>
                <w:lang w:eastAsia="zh-CN"/>
              </w:rPr>
              <w:t>未与园区风险应急池连通。</w:t>
            </w:r>
          </w:p>
        </w:tc>
        <w:tc>
          <w:tcPr>
            <w:tcW w:w="2360" w:type="pct"/>
            <w:tcBorders>
              <w:tl2br w:val="nil"/>
              <w:tr2bl w:val="nil"/>
            </w:tcBorders>
            <w:noWrap w:val="0"/>
            <w:vAlign w:val="center"/>
          </w:tcPr>
          <w:p>
            <w:pPr>
              <w:pStyle w:val="35"/>
              <w:bidi w:val="0"/>
              <w:rPr>
                <w:rFonts w:hint="eastAsia"/>
                <w:color w:val="auto"/>
                <w:u w:val="single"/>
                <w:lang w:eastAsia="zh-CN"/>
              </w:rPr>
            </w:pPr>
            <w:r>
              <w:rPr>
                <w:rFonts w:hint="eastAsia"/>
                <w:color w:val="auto"/>
                <w:u w:val="single"/>
                <w:lang w:eastAsia="zh-CN"/>
              </w:rPr>
              <w:t>做好与园区环境风险及应急预案衔接，尽快与园区</w:t>
            </w:r>
            <w:r>
              <w:rPr>
                <w:rFonts w:hint="eastAsia"/>
                <w:color w:val="auto"/>
                <w:u w:val="single"/>
                <w:lang w:val="en-US" w:eastAsia="zh-CN"/>
              </w:rPr>
              <w:t>4000m</w:t>
            </w:r>
            <w:r>
              <w:rPr>
                <w:rFonts w:hint="eastAsia"/>
                <w:color w:val="auto"/>
                <w:u w:val="single"/>
                <w:vertAlign w:val="superscript"/>
                <w:lang w:val="en-US" w:eastAsia="zh-CN"/>
              </w:rPr>
              <w:t>3</w:t>
            </w:r>
            <w:r>
              <w:rPr>
                <w:rFonts w:hint="eastAsia"/>
                <w:color w:val="auto"/>
                <w:u w:val="single"/>
                <w:lang w:eastAsia="zh-CN"/>
              </w:rPr>
              <w:t>风险事故池连通。</w:t>
            </w:r>
          </w:p>
        </w:tc>
      </w:tr>
    </w:tbl>
    <w:p>
      <w:pPr>
        <w:pStyle w:val="5"/>
        <w:tabs>
          <w:tab w:val="left" w:pos="0"/>
        </w:tabs>
        <w:spacing w:before="120" w:beforeLines="0" w:after="120" w:afterLines="0" w:line="480" w:lineRule="exact"/>
        <w:rPr>
          <w:rFonts w:hint="eastAsia" w:ascii="Times New Roman" w:hAnsi="Times New Roman" w:eastAsia="黑体"/>
          <w:b w:val="0"/>
          <w:caps w:val="0"/>
          <w:smallCaps w:val="0"/>
          <w:color w:val="auto"/>
          <w:szCs w:val="30"/>
        </w:rPr>
        <w:sectPr>
          <w:pgSz w:w="11906" w:h="16838"/>
          <w:pgMar w:top="1417" w:right="1304" w:bottom="1417" w:left="1304" w:header="851" w:footer="992" w:gutter="0"/>
          <w:pgBorders>
            <w:top w:val="none" w:sz="0" w:space="0"/>
            <w:left w:val="none" w:sz="0" w:space="0"/>
            <w:bottom w:val="none" w:sz="0" w:space="0"/>
            <w:right w:val="none" w:sz="0" w:space="0"/>
          </w:pgBorders>
          <w:pgNumType w:fmt="numberInDash"/>
          <w:cols w:space="720" w:num="1"/>
          <w:docGrid w:type="lines" w:linePitch="312" w:charSpace="0"/>
        </w:sectPr>
      </w:pPr>
      <w:bookmarkStart w:id="58" w:name="_Toc26592"/>
    </w:p>
    <w:p>
      <w:pPr>
        <w:pStyle w:val="30"/>
        <w:bidi w:val="0"/>
        <w:jc w:val="center"/>
        <w:rPr>
          <w:rFonts w:hint="eastAsia"/>
          <w:color w:val="auto"/>
        </w:rPr>
      </w:pPr>
      <w:bookmarkStart w:id="59" w:name="_Toc27859"/>
      <w:bookmarkStart w:id="60" w:name="_Toc19465"/>
      <w:r>
        <w:rPr>
          <w:rFonts w:hint="eastAsia"/>
          <w:color w:val="auto"/>
          <w:lang w:val="en-US" w:eastAsia="zh-CN"/>
        </w:rPr>
        <w:t>4、</w:t>
      </w:r>
      <w:r>
        <w:rPr>
          <w:rFonts w:hint="eastAsia"/>
          <w:color w:val="auto"/>
        </w:rPr>
        <w:t>拟建</w:t>
      </w:r>
      <w:r>
        <w:rPr>
          <w:rFonts w:hint="eastAsia"/>
          <w:color w:val="auto"/>
          <w:lang w:val="en-US" w:eastAsia="zh-CN"/>
        </w:rPr>
        <w:t>项目</w:t>
      </w:r>
      <w:r>
        <w:rPr>
          <w:rFonts w:hint="eastAsia"/>
          <w:color w:val="auto"/>
        </w:rPr>
        <w:t>概况</w:t>
      </w:r>
      <w:bookmarkEnd w:id="58"/>
      <w:bookmarkEnd w:id="59"/>
      <w:bookmarkEnd w:id="60"/>
    </w:p>
    <w:p>
      <w:pPr>
        <w:pStyle w:val="31"/>
        <w:bidi w:val="0"/>
        <w:rPr>
          <w:rFonts w:hint="default"/>
          <w:color w:val="auto"/>
          <w:lang w:val="en-US" w:eastAsia="zh-CN"/>
        </w:rPr>
      </w:pPr>
      <w:bookmarkStart w:id="61" w:name="_Toc28884"/>
      <w:bookmarkStart w:id="62" w:name="_Toc15573"/>
      <w:r>
        <w:rPr>
          <w:rFonts w:hint="eastAsia"/>
          <w:color w:val="auto"/>
          <w:lang w:val="en-US" w:eastAsia="zh-CN"/>
        </w:rPr>
        <w:t>4.1项目基本情况</w:t>
      </w:r>
      <w:bookmarkEnd w:id="61"/>
      <w:bookmarkEnd w:id="62"/>
    </w:p>
    <w:p>
      <w:pPr>
        <w:pStyle w:val="33"/>
        <w:bidi w:val="0"/>
        <w:rPr>
          <w:rFonts w:hint="eastAsia" w:eastAsia="宋体"/>
          <w:color w:val="auto"/>
          <w:lang w:eastAsia="zh-CN"/>
        </w:rPr>
      </w:pPr>
      <w:r>
        <w:rPr>
          <w:b/>
          <w:bCs/>
          <w:color w:val="auto"/>
        </w:rPr>
        <w:t>项目名称：</w:t>
      </w:r>
      <w:r>
        <w:rPr>
          <w:rFonts w:hint="eastAsia"/>
          <w:color w:val="auto"/>
        </w:rPr>
        <w:t>1.5万吨/年碳酸二甲酯及1万吨/醋酸甲酯项目</w:t>
      </w:r>
      <w:r>
        <w:rPr>
          <w:rFonts w:hint="eastAsia"/>
          <w:color w:val="auto"/>
          <w:lang w:eastAsia="zh-CN"/>
        </w:rPr>
        <w:t>；</w:t>
      </w:r>
    </w:p>
    <w:p>
      <w:pPr>
        <w:pStyle w:val="33"/>
        <w:bidi w:val="0"/>
        <w:rPr>
          <w:rFonts w:hint="eastAsia" w:eastAsia="宋体"/>
          <w:color w:val="auto"/>
          <w:lang w:eastAsia="zh-CN"/>
        </w:rPr>
      </w:pPr>
      <w:r>
        <w:rPr>
          <w:b/>
          <w:bCs/>
          <w:color w:val="auto"/>
        </w:rPr>
        <w:t>建设单位：</w:t>
      </w:r>
      <w:r>
        <w:rPr>
          <w:rFonts w:hint="eastAsia"/>
          <w:color w:val="auto"/>
        </w:rPr>
        <w:t>岳阳市凌峰化工有限公司</w:t>
      </w:r>
      <w:r>
        <w:rPr>
          <w:rFonts w:hint="eastAsia"/>
          <w:color w:val="auto"/>
          <w:lang w:eastAsia="zh-CN"/>
        </w:rPr>
        <w:t>；</w:t>
      </w:r>
    </w:p>
    <w:p>
      <w:pPr>
        <w:pStyle w:val="33"/>
        <w:bidi w:val="0"/>
        <w:rPr>
          <w:rFonts w:hint="eastAsia" w:eastAsia="宋体"/>
          <w:color w:val="auto"/>
          <w:lang w:eastAsia="zh-CN"/>
        </w:rPr>
      </w:pPr>
      <w:r>
        <w:rPr>
          <w:b/>
          <w:bCs/>
          <w:color w:val="auto"/>
        </w:rPr>
        <w:t>建设性质：</w:t>
      </w:r>
      <w:r>
        <w:rPr>
          <w:rFonts w:hint="eastAsia"/>
          <w:color w:val="auto"/>
        </w:rPr>
        <w:t>改扩建</w:t>
      </w:r>
      <w:r>
        <w:rPr>
          <w:rFonts w:hint="eastAsia"/>
          <w:color w:val="auto"/>
          <w:lang w:eastAsia="zh-CN"/>
        </w:rPr>
        <w:t>；</w:t>
      </w:r>
    </w:p>
    <w:p>
      <w:pPr>
        <w:pStyle w:val="33"/>
        <w:bidi w:val="0"/>
        <w:rPr>
          <w:rFonts w:hint="eastAsia" w:eastAsia="宋体"/>
          <w:color w:val="auto"/>
          <w:lang w:eastAsia="zh-CN"/>
        </w:rPr>
      </w:pPr>
      <w:r>
        <w:rPr>
          <w:rFonts w:hint="eastAsia"/>
          <w:b/>
          <w:bCs/>
          <w:color w:val="auto"/>
        </w:rPr>
        <w:t>项目投资：</w:t>
      </w:r>
      <w:r>
        <w:rPr>
          <w:rFonts w:hint="eastAsia"/>
          <w:color w:val="auto"/>
        </w:rPr>
        <w:t>项目总投资</w:t>
      </w:r>
      <w:r>
        <w:rPr>
          <w:rFonts w:hint="eastAsia"/>
          <w:color w:val="auto"/>
          <w:lang w:val="en-US" w:eastAsia="zh-CN"/>
        </w:rPr>
        <w:t>113.5</w:t>
      </w:r>
      <w:r>
        <w:rPr>
          <w:rFonts w:hint="eastAsia"/>
          <w:color w:val="auto"/>
        </w:rPr>
        <w:t>万元，其中环保投资</w:t>
      </w:r>
      <w:r>
        <w:rPr>
          <w:rFonts w:hint="eastAsia"/>
          <w:color w:val="auto"/>
          <w:lang w:val="en-US" w:eastAsia="zh-CN"/>
        </w:rPr>
        <w:t>63</w:t>
      </w:r>
      <w:r>
        <w:rPr>
          <w:rFonts w:hint="eastAsia"/>
          <w:color w:val="auto"/>
        </w:rPr>
        <w:t>万元</w:t>
      </w:r>
      <w:r>
        <w:rPr>
          <w:rFonts w:hint="eastAsia"/>
          <w:color w:val="auto"/>
          <w:lang w:eastAsia="zh-CN"/>
        </w:rPr>
        <w:t>；</w:t>
      </w:r>
    </w:p>
    <w:p>
      <w:pPr>
        <w:pStyle w:val="33"/>
        <w:bidi w:val="0"/>
        <w:rPr>
          <w:rFonts w:hint="default"/>
          <w:color w:val="auto"/>
          <w:lang w:val="en-US" w:eastAsia="zh-CN"/>
        </w:rPr>
      </w:pPr>
      <w:r>
        <w:rPr>
          <w:rFonts w:hint="eastAsia"/>
          <w:b/>
          <w:bCs/>
          <w:color w:val="auto"/>
          <w:lang w:val="en-US" w:eastAsia="zh-CN"/>
        </w:rPr>
        <w:t>建设内容及规模：</w:t>
      </w:r>
      <w:r>
        <w:rPr>
          <w:rFonts w:hint="eastAsia"/>
          <w:color w:val="auto"/>
          <w:lang w:val="en-US" w:eastAsia="zh-CN"/>
        </w:rPr>
        <w:t>利用一期精馏生产线、储罐和环保等辅助设施，新增一套酯化反应装置。利用含甲醇等杂质的碳酸二甲酯粗料，进行预处理、精馏分离得到碳酸二甲酯产品和甲醇，同时利用精馏得到的甲醇加入过量醋酸酯化反应生产醋酸甲酯。设计产能为碳酸二甲酯1.5万吨/年及醋酸甲酯1万吨/年；</w:t>
      </w:r>
    </w:p>
    <w:p>
      <w:pPr>
        <w:pStyle w:val="33"/>
        <w:bidi w:val="0"/>
        <w:rPr>
          <w:rFonts w:ascii="Times New Roman" w:hAnsi="Times New Roman"/>
          <w:caps w:val="0"/>
          <w:smallCaps w:val="0"/>
          <w:color w:val="auto"/>
        </w:rPr>
      </w:pPr>
      <w:r>
        <w:rPr>
          <w:rFonts w:ascii="Times New Roman" w:hAnsi="Times New Roman"/>
          <w:b/>
          <w:bCs/>
          <w:caps w:val="0"/>
          <w:smallCaps w:val="0"/>
          <w:color w:val="auto"/>
        </w:rPr>
        <w:t>建设地点：</w:t>
      </w:r>
      <w:r>
        <w:rPr>
          <w:rFonts w:hint="eastAsia" w:ascii="Times New Roman" w:hAnsi="Times New Roman"/>
          <w:caps w:val="0"/>
          <w:smallCaps w:val="0"/>
          <w:color w:val="auto"/>
        </w:rPr>
        <w:t>湖南岳阳绿色化工产业园云溪片吴家垄路西侧</w:t>
      </w:r>
      <w:r>
        <w:rPr>
          <w:rFonts w:hint="eastAsia" w:ascii="Times New Roman" w:hAnsi="Times New Roman"/>
          <w:caps w:val="0"/>
          <w:smallCaps w:val="0"/>
          <w:color w:val="auto"/>
          <w:lang w:eastAsia="zh-CN"/>
        </w:rPr>
        <w:t>，</w:t>
      </w:r>
      <w:r>
        <w:rPr>
          <w:rFonts w:hint="default" w:ascii="Times New Roman" w:hAnsi="Times New Roman" w:eastAsia="宋体" w:cs="Times New Roman"/>
          <w:caps w:val="0"/>
          <w:smallCaps w:val="0"/>
          <w:color w:val="auto"/>
          <w:kern w:val="0"/>
          <w:sz w:val="24"/>
          <w:szCs w:val="24"/>
          <w:highlight w:val="none"/>
          <w:lang w:eastAsia="zh-CN"/>
        </w:rPr>
        <w:t>地理坐标为：东经113.25442，北纬29.489984</w:t>
      </w:r>
      <w:r>
        <w:rPr>
          <w:rFonts w:hint="eastAsia" w:cs="Times New Roman"/>
          <w:caps w:val="0"/>
          <w:smallCaps w:val="0"/>
          <w:color w:val="auto"/>
          <w:kern w:val="0"/>
          <w:sz w:val="24"/>
          <w:szCs w:val="24"/>
          <w:highlight w:val="none"/>
          <w:lang w:eastAsia="zh-CN"/>
        </w:rPr>
        <w:t>；</w:t>
      </w:r>
    </w:p>
    <w:p>
      <w:pPr>
        <w:pStyle w:val="33"/>
        <w:bidi w:val="0"/>
        <w:rPr>
          <w:rFonts w:ascii="Times New Roman" w:hAnsi="Times New Roman"/>
          <w:b w:val="0"/>
          <w:bCs w:val="0"/>
          <w:caps w:val="0"/>
          <w:smallCaps w:val="0"/>
          <w:color w:val="auto"/>
          <w:szCs w:val="24"/>
        </w:rPr>
      </w:pPr>
      <w:r>
        <w:rPr>
          <w:rFonts w:hint="eastAsia" w:ascii="Times New Roman" w:hAnsi="Times New Roman"/>
          <w:b/>
          <w:bCs/>
          <w:caps w:val="0"/>
          <w:smallCaps w:val="0"/>
          <w:color w:val="auto"/>
          <w:kern w:val="0"/>
          <w:szCs w:val="24"/>
        </w:rPr>
        <w:t>项目用地</w:t>
      </w:r>
      <w:r>
        <w:rPr>
          <w:rFonts w:ascii="Times New Roman" w:hAnsi="Times New Roman"/>
          <w:b/>
          <w:bCs/>
          <w:caps w:val="0"/>
          <w:smallCaps w:val="0"/>
          <w:color w:val="auto"/>
          <w:kern w:val="0"/>
          <w:szCs w:val="24"/>
        </w:rPr>
        <w:t>：</w:t>
      </w:r>
      <w:r>
        <w:rPr>
          <w:rFonts w:hint="eastAsia"/>
          <w:b w:val="0"/>
          <w:bCs w:val="0"/>
          <w:caps w:val="0"/>
          <w:smallCaps w:val="0"/>
          <w:color w:val="auto"/>
          <w:kern w:val="0"/>
          <w:szCs w:val="24"/>
          <w:lang w:val="en-US" w:eastAsia="zh-CN"/>
        </w:rPr>
        <w:t>项目利用一期场地和装置，仅在一期已建车间内新增一套酯化反应装置，不新增用地。</w:t>
      </w:r>
    </w:p>
    <w:p>
      <w:pPr>
        <w:pStyle w:val="31"/>
        <w:bidi w:val="0"/>
        <w:rPr>
          <w:rFonts w:hint="default"/>
          <w:color w:val="auto"/>
          <w:lang w:val="en-US" w:eastAsia="zh-CN"/>
        </w:rPr>
      </w:pPr>
      <w:bookmarkStart w:id="63" w:name="_Toc18400"/>
      <w:bookmarkStart w:id="64" w:name="_Toc24813"/>
      <w:r>
        <w:rPr>
          <w:rFonts w:hint="eastAsia"/>
          <w:color w:val="auto"/>
          <w:lang w:val="en-US" w:eastAsia="zh-CN"/>
        </w:rPr>
        <w:t>4.2 建设内容与产品方案</w:t>
      </w:r>
      <w:bookmarkEnd w:id="63"/>
      <w:bookmarkEnd w:id="64"/>
    </w:p>
    <w:p>
      <w:pPr>
        <w:pStyle w:val="32"/>
        <w:bidi w:val="0"/>
        <w:rPr>
          <w:rFonts w:hint="default"/>
          <w:color w:val="auto"/>
          <w:lang w:val="en-US" w:eastAsia="zh-CN"/>
        </w:rPr>
      </w:pPr>
      <w:bookmarkStart w:id="65" w:name="_Toc21161"/>
      <w:r>
        <w:rPr>
          <w:rFonts w:hint="eastAsia"/>
          <w:color w:val="auto"/>
          <w:lang w:val="en-US" w:eastAsia="zh-CN"/>
        </w:rPr>
        <w:t>4.2.1建设内容</w:t>
      </w:r>
      <w:bookmarkEnd w:id="65"/>
    </w:p>
    <w:p>
      <w:pPr>
        <w:pStyle w:val="33"/>
        <w:bidi w:val="0"/>
        <w:rPr>
          <w:rFonts w:hint="default"/>
          <w:color w:val="auto"/>
          <w:lang w:val="en-US" w:eastAsia="zh-CN"/>
        </w:rPr>
      </w:pPr>
      <w:r>
        <w:rPr>
          <w:rFonts w:hint="eastAsia" w:ascii="Times New Roman" w:hAnsi="Times New Roman"/>
          <w:caps w:val="0"/>
          <w:smallCaps w:val="0"/>
          <w:color w:val="auto"/>
        </w:rPr>
        <w:t>主要建设内容</w:t>
      </w:r>
      <w:r>
        <w:rPr>
          <w:rFonts w:hint="eastAsia"/>
          <w:caps w:val="0"/>
          <w:smallCaps w:val="0"/>
          <w:color w:val="auto"/>
          <w:lang w:eastAsia="zh-CN"/>
        </w:rPr>
        <w:t>：</w:t>
      </w:r>
      <w:r>
        <w:rPr>
          <w:rFonts w:hint="eastAsia"/>
          <w:caps w:val="0"/>
          <w:smallCaps w:val="0"/>
          <w:color w:val="auto"/>
          <w:lang w:val="en-US" w:eastAsia="zh-CN"/>
        </w:rPr>
        <w:t>新建一套酯化反应及脱水装置，利用一期原料油精馏装置及储罐，等设施，办公楼、食堂、宿舍、废气处理装置、危废储存间、厂区废水处理站等措施依托一期及二期项目。</w:t>
      </w:r>
      <w:r>
        <w:rPr>
          <w:rFonts w:hint="eastAsia"/>
          <w:color w:val="auto"/>
          <w:lang w:val="en-US" w:eastAsia="zh-CN"/>
        </w:rPr>
        <w:t>本工程建设内容主要包括主体工程、公用工程、辅助工程、环保工程等，主体工程为精馏反应装置和酯化反应装置。</w:t>
      </w:r>
    </w:p>
    <w:p>
      <w:pPr>
        <w:pStyle w:val="33"/>
        <w:bidi w:val="0"/>
        <w:rPr>
          <w:rFonts w:hint="eastAsia"/>
          <w:color w:val="auto"/>
          <w:lang w:val="en-US" w:eastAsia="zh-CN"/>
        </w:rPr>
      </w:pPr>
      <w:r>
        <w:rPr>
          <w:rFonts w:hint="eastAsia"/>
          <w:color w:val="auto"/>
          <w:lang w:val="en-US" w:eastAsia="zh-CN"/>
        </w:rPr>
        <w:t>本建设项目工程组成见下表4.2-1。</w:t>
      </w:r>
    </w:p>
    <w:p>
      <w:pPr>
        <w:pStyle w:val="36"/>
        <w:bidi w:val="0"/>
        <w:rPr>
          <w:rFonts w:hint="eastAsia"/>
          <w:color w:val="auto"/>
          <w:lang w:val="en-US" w:eastAsia="zh-CN"/>
        </w:rPr>
      </w:pPr>
      <w:r>
        <w:rPr>
          <w:rFonts w:hint="eastAsia"/>
          <w:color w:val="auto"/>
          <w:lang w:val="en-US" w:eastAsia="zh-CN"/>
        </w:rPr>
        <w:t>表4.2-1  工程建设内容及依托一览表</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1803"/>
        <w:gridCol w:w="4933"/>
        <w:gridCol w:w="1581"/>
      </w:tblGrid>
      <w:tr>
        <w:trPr>
          <w:tblHeader/>
          <w:jc w:val="center"/>
        </w:trPr>
        <w:tc>
          <w:tcPr>
            <w:tcW w:w="626"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工程内容</w:t>
            </w:r>
          </w:p>
        </w:tc>
        <w:tc>
          <w:tcPr>
            <w:tcW w:w="948" w:type="pct"/>
            <w:tcBorders>
              <w:tl2br w:val="nil"/>
              <w:tr2bl w:val="nil"/>
            </w:tcBorders>
            <w:noWrap w:val="0"/>
            <w:vAlign w:val="center"/>
          </w:tcPr>
          <w:p>
            <w:pPr>
              <w:pStyle w:val="35"/>
              <w:bidi w:val="0"/>
              <w:jc w:val="center"/>
              <w:rPr>
                <w:rFonts w:hint="eastAsia"/>
                <w:b/>
                <w:bCs/>
                <w:color w:val="auto"/>
                <w:lang w:eastAsia="zh-CN"/>
              </w:rPr>
            </w:pPr>
            <w:r>
              <w:rPr>
                <w:rFonts w:hint="eastAsia"/>
                <w:b/>
                <w:bCs/>
                <w:color w:val="auto"/>
              </w:rPr>
              <w:t>建设</w:t>
            </w:r>
            <w:r>
              <w:rPr>
                <w:rFonts w:hint="eastAsia"/>
                <w:b/>
                <w:bCs/>
                <w:color w:val="auto"/>
                <w:lang w:val="en-US" w:eastAsia="zh-CN"/>
              </w:rPr>
              <w:t>内容</w:t>
            </w:r>
          </w:p>
        </w:tc>
        <w:tc>
          <w:tcPr>
            <w:tcW w:w="2593" w:type="pct"/>
            <w:tcBorders>
              <w:tl2br w:val="nil"/>
              <w:tr2bl w:val="nil"/>
            </w:tcBorders>
            <w:noWrap w:val="0"/>
            <w:vAlign w:val="center"/>
          </w:tcPr>
          <w:p>
            <w:pPr>
              <w:pStyle w:val="35"/>
              <w:bidi w:val="0"/>
              <w:jc w:val="center"/>
              <w:rPr>
                <w:b/>
                <w:bCs/>
                <w:color w:val="auto"/>
              </w:rPr>
            </w:pPr>
            <w:r>
              <w:rPr>
                <w:rFonts w:hint="eastAsia"/>
                <w:b/>
                <w:bCs/>
                <w:color w:val="auto"/>
              </w:rPr>
              <w:t>具体内容及措施</w:t>
            </w:r>
          </w:p>
        </w:tc>
        <w:tc>
          <w:tcPr>
            <w:tcW w:w="831" w:type="pct"/>
            <w:tcBorders>
              <w:tl2br w:val="nil"/>
              <w:tr2bl w:val="nil"/>
            </w:tcBorders>
            <w:noWrap w:val="0"/>
            <w:vAlign w:val="center"/>
          </w:tcPr>
          <w:p>
            <w:pPr>
              <w:pStyle w:val="35"/>
              <w:bidi w:val="0"/>
              <w:jc w:val="center"/>
              <w:rPr>
                <w:b/>
                <w:bCs/>
                <w:color w:val="auto"/>
              </w:rPr>
            </w:pPr>
            <w:r>
              <w:rPr>
                <w:rFonts w:hint="eastAsia"/>
                <w:b/>
                <w:bCs/>
                <w:color w:val="auto"/>
              </w:rPr>
              <w:t>备注</w:t>
            </w:r>
          </w:p>
        </w:tc>
      </w:tr>
      <w:tr>
        <w:trPr>
          <w:trHeight w:val="715" w:hRule="atLeast"/>
          <w:jc w:val="center"/>
        </w:trPr>
        <w:tc>
          <w:tcPr>
            <w:tcW w:w="626" w:type="pct"/>
            <w:vMerge w:val="restart"/>
            <w:tcBorders>
              <w:tl2br w:val="nil"/>
              <w:tr2bl w:val="nil"/>
            </w:tcBorders>
            <w:noWrap w:val="0"/>
            <w:vAlign w:val="center"/>
          </w:tcPr>
          <w:p>
            <w:pPr>
              <w:pStyle w:val="35"/>
              <w:bidi w:val="0"/>
              <w:jc w:val="center"/>
              <w:rPr>
                <w:color w:val="auto"/>
              </w:rPr>
            </w:pPr>
            <w:r>
              <w:rPr>
                <w:color w:val="auto"/>
              </w:rPr>
              <w:t>主体工程</w:t>
            </w:r>
          </w:p>
        </w:tc>
        <w:tc>
          <w:tcPr>
            <w:tcW w:w="948" w:type="pct"/>
            <w:vMerge w:val="restart"/>
            <w:tcBorders>
              <w:tl2br w:val="nil"/>
              <w:tr2bl w:val="nil"/>
            </w:tcBorders>
            <w:noWrap w:val="0"/>
            <w:vAlign w:val="center"/>
          </w:tcPr>
          <w:p>
            <w:pPr>
              <w:pStyle w:val="35"/>
              <w:bidi w:val="0"/>
              <w:jc w:val="center"/>
              <w:rPr>
                <w:rFonts w:hint="eastAsia"/>
                <w:color w:val="auto"/>
                <w:lang w:val="en-US" w:eastAsia="zh-CN"/>
              </w:rPr>
            </w:pPr>
            <w:r>
              <w:rPr>
                <w:rFonts w:hint="eastAsia"/>
                <w:color w:val="auto"/>
              </w:rPr>
              <w:t>碳酸二甲酯</w:t>
            </w:r>
            <w:r>
              <w:rPr>
                <w:rFonts w:hint="eastAsia"/>
                <w:color w:val="auto"/>
                <w:lang w:eastAsia="zh-CN"/>
              </w:rPr>
              <w:t>、</w:t>
            </w:r>
            <w:r>
              <w:rPr>
                <w:rFonts w:hint="eastAsia"/>
                <w:color w:val="auto"/>
              </w:rPr>
              <w:t>醋酸甲酯</w:t>
            </w:r>
            <w:r>
              <w:rPr>
                <w:rFonts w:hint="eastAsia"/>
                <w:color w:val="auto"/>
                <w:lang w:val="en-US" w:eastAsia="zh-CN"/>
              </w:rPr>
              <w:t>生产线</w:t>
            </w:r>
          </w:p>
        </w:tc>
        <w:tc>
          <w:tcPr>
            <w:tcW w:w="2593" w:type="pct"/>
            <w:tcBorders>
              <w:tl2br w:val="nil"/>
              <w:tr2bl w:val="nil"/>
            </w:tcBorders>
            <w:noWrap w:val="0"/>
            <w:vAlign w:val="center"/>
          </w:tcPr>
          <w:p>
            <w:pPr>
              <w:pStyle w:val="35"/>
              <w:bidi w:val="0"/>
              <w:jc w:val="center"/>
              <w:rPr>
                <w:rFonts w:hint="default"/>
                <w:color w:val="auto"/>
                <w:lang w:val="en-US"/>
              </w:rPr>
            </w:pPr>
            <w:r>
              <w:rPr>
                <w:rFonts w:hint="eastAsia"/>
                <w:color w:val="auto"/>
                <w:lang w:val="en-US" w:eastAsia="zh-CN"/>
              </w:rPr>
              <w:t>利用一期原料油精馏、生产装置</w:t>
            </w:r>
          </w:p>
        </w:tc>
        <w:tc>
          <w:tcPr>
            <w:tcW w:w="831" w:type="pct"/>
            <w:tcBorders>
              <w:tl2br w:val="nil"/>
              <w:tr2bl w:val="nil"/>
            </w:tcBorders>
            <w:noWrap w:val="0"/>
            <w:vAlign w:val="center"/>
          </w:tcPr>
          <w:p>
            <w:pPr>
              <w:pStyle w:val="35"/>
              <w:bidi w:val="0"/>
              <w:jc w:val="center"/>
              <w:rPr>
                <w:rFonts w:hint="default" w:eastAsia="宋体"/>
                <w:color w:val="auto"/>
                <w:lang w:val="en-US" w:eastAsia="zh-CN"/>
              </w:rPr>
            </w:pPr>
            <w:r>
              <w:rPr>
                <w:rFonts w:hint="eastAsia"/>
                <w:color w:val="auto"/>
                <w:lang w:val="en-US" w:eastAsia="zh-CN"/>
              </w:rPr>
              <w:t>依托现有1#生产车间</w:t>
            </w:r>
          </w:p>
        </w:tc>
      </w:tr>
      <w:tr>
        <w:trPr>
          <w:trHeight w:val="715" w:hRule="atLeast"/>
          <w:jc w:val="center"/>
        </w:trPr>
        <w:tc>
          <w:tcPr>
            <w:tcW w:w="626" w:type="pct"/>
            <w:vMerge w:val="continue"/>
            <w:tcBorders>
              <w:tl2br w:val="nil"/>
              <w:tr2bl w:val="nil"/>
            </w:tcBorders>
            <w:noWrap w:val="0"/>
            <w:vAlign w:val="center"/>
          </w:tcPr>
          <w:p>
            <w:pPr>
              <w:pStyle w:val="35"/>
              <w:bidi w:val="0"/>
              <w:jc w:val="center"/>
              <w:rPr>
                <w:color w:val="auto"/>
              </w:rPr>
            </w:pPr>
          </w:p>
        </w:tc>
        <w:tc>
          <w:tcPr>
            <w:tcW w:w="948" w:type="pct"/>
            <w:vMerge w:val="continue"/>
            <w:tcBorders>
              <w:tl2br w:val="nil"/>
              <w:tr2bl w:val="nil"/>
            </w:tcBorders>
            <w:noWrap w:val="0"/>
            <w:vAlign w:val="center"/>
          </w:tcPr>
          <w:p>
            <w:pPr>
              <w:pStyle w:val="35"/>
              <w:bidi w:val="0"/>
              <w:jc w:val="center"/>
              <w:rPr>
                <w:rFonts w:hint="eastAsia"/>
                <w:color w:val="auto"/>
                <w:lang w:val="en-US" w:eastAsia="zh-CN"/>
              </w:rPr>
            </w:pPr>
          </w:p>
        </w:tc>
        <w:tc>
          <w:tcPr>
            <w:tcW w:w="259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新建酯化反应塔</w:t>
            </w:r>
          </w:p>
        </w:tc>
        <w:tc>
          <w:tcPr>
            <w:tcW w:w="831"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新建，依托现有1#生产车间建设</w:t>
            </w:r>
          </w:p>
        </w:tc>
      </w:tr>
      <w:tr>
        <w:trPr>
          <w:trHeight w:val="339" w:hRule="atLeast"/>
          <w:jc w:val="center"/>
        </w:trPr>
        <w:tc>
          <w:tcPr>
            <w:tcW w:w="626" w:type="pct"/>
            <w:vMerge w:val="restart"/>
            <w:tcBorders>
              <w:tl2br w:val="nil"/>
              <w:tr2bl w:val="nil"/>
            </w:tcBorders>
            <w:noWrap w:val="0"/>
            <w:vAlign w:val="center"/>
          </w:tcPr>
          <w:p>
            <w:pPr>
              <w:pStyle w:val="35"/>
              <w:bidi w:val="0"/>
              <w:jc w:val="center"/>
              <w:rPr>
                <w:color w:val="auto"/>
              </w:rPr>
            </w:pPr>
            <w:r>
              <w:rPr>
                <w:rFonts w:hint="eastAsia"/>
                <w:color w:val="auto"/>
                <w:lang w:eastAsia="zh-CN"/>
              </w:rPr>
              <w:t>储运</w:t>
            </w:r>
            <w:r>
              <w:rPr>
                <w:color w:val="auto"/>
              </w:rPr>
              <w:t>工程</w:t>
            </w:r>
          </w:p>
        </w:tc>
        <w:tc>
          <w:tcPr>
            <w:tcW w:w="948" w:type="pct"/>
            <w:tcBorders>
              <w:tl2br w:val="nil"/>
              <w:tr2bl w:val="nil"/>
            </w:tcBorders>
            <w:noWrap w:val="0"/>
            <w:vAlign w:val="center"/>
          </w:tcPr>
          <w:p>
            <w:pPr>
              <w:pStyle w:val="35"/>
              <w:bidi w:val="0"/>
              <w:jc w:val="center"/>
              <w:rPr>
                <w:rFonts w:hint="default" w:eastAsia="宋体"/>
                <w:color w:val="auto"/>
                <w:lang w:val="en-US" w:eastAsia="zh-CN"/>
              </w:rPr>
            </w:pPr>
            <w:r>
              <w:rPr>
                <w:rFonts w:hint="eastAsia"/>
                <w:color w:val="auto"/>
                <w:lang w:val="en-US" w:eastAsia="zh-CN"/>
              </w:rPr>
              <w:t>原料储罐</w:t>
            </w:r>
          </w:p>
        </w:tc>
        <w:tc>
          <w:tcPr>
            <w:tcW w:w="2593" w:type="pct"/>
            <w:tcBorders>
              <w:tl2br w:val="nil"/>
              <w:tr2bl w:val="nil"/>
            </w:tcBorders>
            <w:noWrap w:val="0"/>
            <w:vAlign w:val="center"/>
          </w:tcPr>
          <w:p>
            <w:pPr>
              <w:pStyle w:val="35"/>
              <w:bidi w:val="0"/>
              <w:jc w:val="center"/>
              <w:rPr>
                <w:rFonts w:hint="default"/>
                <w:color w:val="auto"/>
                <w:lang w:val="en-US"/>
              </w:rPr>
            </w:pPr>
            <w:r>
              <w:rPr>
                <w:rFonts w:hint="eastAsia"/>
                <w:b w:val="0"/>
                <w:bCs/>
                <w:caps w:val="0"/>
                <w:smallCaps w:val="0"/>
                <w:color w:val="auto"/>
                <w:sz w:val="21"/>
                <w:szCs w:val="21"/>
                <w:lang w:val="en-US" w:eastAsia="zh-CN"/>
              </w:rPr>
              <w:t>粗碳酸二甲酯储罐一个</w:t>
            </w:r>
            <w:r>
              <w:rPr>
                <w:rFonts w:hint="eastAsia" w:ascii="Times New Roman" w:hAnsi="Times New Roman"/>
                <w:b w:val="0"/>
                <w:bCs/>
                <w:caps w:val="0"/>
                <w:smallCaps w:val="0"/>
                <w:color w:val="auto"/>
                <w:sz w:val="21"/>
                <w:szCs w:val="21"/>
              </w:rPr>
              <w:t>400</w:t>
            </w:r>
            <w:r>
              <w:rPr>
                <w:rFonts w:hint="eastAsia"/>
                <w:b w:val="0"/>
                <w:bCs/>
                <w:caps w:val="0"/>
                <w:smallCaps w:val="0"/>
                <w:color w:val="auto"/>
                <w:sz w:val="21"/>
                <w:szCs w:val="21"/>
                <w:lang w:val="en-US" w:eastAsia="zh-CN"/>
              </w:rPr>
              <w:t>m</w:t>
            </w:r>
            <w:r>
              <w:rPr>
                <w:rFonts w:hint="eastAsia"/>
                <w:b w:val="0"/>
                <w:bCs/>
                <w:caps w:val="0"/>
                <w:smallCaps w:val="0"/>
                <w:color w:val="auto"/>
                <w:sz w:val="21"/>
                <w:szCs w:val="21"/>
                <w:vertAlign w:val="superscript"/>
                <w:lang w:val="en-US" w:eastAsia="zh-CN"/>
              </w:rPr>
              <w:t>3</w:t>
            </w:r>
            <w:r>
              <w:rPr>
                <w:rFonts w:hint="eastAsia"/>
                <w:b w:val="0"/>
                <w:bCs/>
                <w:caps w:val="0"/>
                <w:smallCaps w:val="0"/>
                <w:color w:val="auto"/>
                <w:sz w:val="21"/>
                <w:szCs w:val="21"/>
                <w:lang w:val="en-US" w:eastAsia="zh-CN"/>
              </w:rPr>
              <w:t>，</w:t>
            </w:r>
            <w:r>
              <w:rPr>
                <w:rFonts w:hint="eastAsia" w:ascii="Times New Roman" w:hAnsi="Times New Roman"/>
                <w:caps w:val="0"/>
                <w:smallCaps w:val="0"/>
                <w:color w:val="auto"/>
                <w:szCs w:val="21"/>
              </w:rPr>
              <w:t>8.25×Φ8.25</w:t>
            </w:r>
          </w:p>
        </w:tc>
        <w:tc>
          <w:tcPr>
            <w:tcW w:w="831" w:type="pct"/>
            <w:tcBorders>
              <w:tl2br w:val="nil"/>
              <w:tr2bl w:val="nil"/>
            </w:tcBorders>
            <w:noWrap w:val="0"/>
            <w:vAlign w:val="center"/>
          </w:tcPr>
          <w:p>
            <w:pPr>
              <w:pStyle w:val="35"/>
              <w:bidi w:val="0"/>
              <w:jc w:val="center"/>
              <w:rPr>
                <w:color w:val="auto"/>
              </w:rPr>
            </w:pPr>
            <w:r>
              <w:rPr>
                <w:rFonts w:hint="eastAsia"/>
                <w:color w:val="auto"/>
                <w:lang w:eastAsia="zh-CN"/>
              </w:rPr>
              <w:t>依托</w:t>
            </w:r>
            <w:r>
              <w:rPr>
                <w:rFonts w:hint="eastAsia"/>
                <w:color w:val="auto"/>
                <w:lang w:val="en-US" w:eastAsia="zh-CN"/>
              </w:rPr>
              <w:t>现有原料油储罐</w:t>
            </w:r>
            <w:r>
              <w:rPr>
                <w:rFonts w:hint="eastAsia"/>
                <w:color w:val="auto"/>
                <w:lang w:eastAsia="zh-CN"/>
              </w:rPr>
              <w:t>现有</w:t>
            </w:r>
          </w:p>
        </w:tc>
      </w:tr>
      <w:tr>
        <w:trPr>
          <w:trHeight w:val="486" w:hRule="atLeast"/>
          <w:jc w:val="center"/>
        </w:trPr>
        <w:tc>
          <w:tcPr>
            <w:tcW w:w="626" w:type="pct"/>
            <w:vMerge w:val="continue"/>
            <w:tcBorders>
              <w:tl2br w:val="nil"/>
              <w:tr2bl w:val="nil"/>
            </w:tcBorders>
            <w:noWrap w:val="0"/>
            <w:vAlign w:val="center"/>
          </w:tcPr>
          <w:p>
            <w:pPr>
              <w:pStyle w:val="35"/>
              <w:bidi w:val="0"/>
              <w:jc w:val="center"/>
              <w:rPr>
                <w:color w:val="auto"/>
              </w:rPr>
            </w:pPr>
          </w:p>
        </w:tc>
        <w:tc>
          <w:tcPr>
            <w:tcW w:w="948" w:type="pct"/>
            <w:tcBorders>
              <w:tl2br w:val="nil"/>
              <w:tr2bl w:val="nil"/>
            </w:tcBorders>
            <w:noWrap w:val="0"/>
            <w:vAlign w:val="center"/>
          </w:tcPr>
          <w:p>
            <w:pPr>
              <w:pStyle w:val="35"/>
              <w:bidi w:val="0"/>
              <w:jc w:val="center"/>
              <w:rPr>
                <w:rFonts w:hint="default"/>
                <w:color w:val="auto"/>
                <w:lang w:val="en-US"/>
              </w:rPr>
            </w:pPr>
            <w:r>
              <w:rPr>
                <w:rFonts w:hint="eastAsia"/>
                <w:color w:val="auto"/>
                <w:lang w:val="en-US" w:eastAsia="zh-CN"/>
              </w:rPr>
              <w:t>成品储罐</w:t>
            </w:r>
          </w:p>
        </w:tc>
        <w:tc>
          <w:tcPr>
            <w:tcW w:w="2593" w:type="pct"/>
            <w:tcBorders>
              <w:tl2br w:val="nil"/>
              <w:tr2bl w:val="nil"/>
            </w:tcBorders>
            <w:noWrap w:val="0"/>
            <w:vAlign w:val="center"/>
          </w:tcPr>
          <w:p>
            <w:pPr>
              <w:pStyle w:val="35"/>
              <w:bidi w:val="0"/>
              <w:jc w:val="center"/>
              <w:rPr>
                <w:rFonts w:hint="eastAsia" w:eastAsia="宋体"/>
                <w:color w:val="auto"/>
                <w:lang w:eastAsia="zh-CN"/>
              </w:rPr>
            </w:pPr>
            <w:r>
              <w:rPr>
                <w:rFonts w:hint="eastAsia" w:eastAsia="宋体"/>
                <w:color w:val="auto"/>
                <w:lang w:val="en-US" w:eastAsia="zh-CN"/>
              </w:rPr>
              <w:t>成品碳酸二甲酯储罐一个</w:t>
            </w:r>
            <w:r>
              <w:rPr>
                <w:rFonts w:hint="eastAsia" w:eastAsia="宋体"/>
                <w:color w:val="auto"/>
                <w:lang w:eastAsia="zh-CN"/>
              </w:rPr>
              <w:t>400</w:t>
            </w:r>
            <w:r>
              <w:rPr>
                <w:rFonts w:hint="eastAsia" w:eastAsia="宋体"/>
                <w:color w:val="auto"/>
                <w:lang w:val="en-US" w:eastAsia="zh-CN"/>
              </w:rPr>
              <w:t>m</w:t>
            </w:r>
            <w:r>
              <w:rPr>
                <w:rFonts w:hint="eastAsia" w:eastAsia="宋体"/>
                <w:color w:val="auto"/>
                <w:vertAlign w:val="superscript"/>
                <w:lang w:val="en-US" w:eastAsia="zh-CN"/>
              </w:rPr>
              <w:t>3</w:t>
            </w:r>
            <w:r>
              <w:rPr>
                <w:rFonts w:hint="eastAsia" w:eastAsia="宋体"/>
                <w:color w:val="auto"/>
                <w:lang w:val="en-US" w:eastAsia="zh-CN"/>
              </w:rPr>
              <w:t>，</w:t>
            </w:r>
            <w:r>
              <w:rPr>
                <w:rFonts w:hint="eastAsia" w:eastAsia="宋体"/>
                <w:color w:val="auto"/>
                <w:lang w:eastAsia="zh-CN"/>
              </w:rPr>
              <w:t>8.25×Φ8.25</w:t>
            </w:r>
          </w:p>
          <w:p>
            <w:pPr>
              <w:pStyle w:val="35"/>
              <w:bidi w:val="0"/>
              <w:jc w:val="center"/>
              <w:rPr>
                <w:rFonts w:hint="eastAsia" w:eastAsia="宋体"/>
                <w:color w:val="auto"/>
                <w:lang w:eastAsia="zh-CN"/>
              </w:rPr>
            </w:pPr>
            <w:r>
              <w:rPr>
                <w:rFonts w:hint="eastAsia" w:eastAsia="宋体"/>
                <w:color w:val="auto"/>
                <w:lang w:val="en-US" w:eastAsia="zh-CN"/>
              </w:rPr>
              <w:t>成品醋酸甲酯储罐一个</w:t>
            </w:r>
            <w:r>
              <w:rPr>
                <w:rFonts w:hint="eastAsia" w:eastAsia="宋体"/>
                <w:color w:val="auto"/>
                <w:lang w:eastAsia="zh-CN"/>
              </w:rPr>
              <w:t>400</w:t>
            </w:r>
            <w:r>
              <w:rPr>
                <w:rFonts w:hint="eastAsia" w:eastAsia="宋体"/>
                <w:color w:val="auto"/>
                <w:lang w:val="en-US" w:eastAsia="zh-CN"/>
              </w:rPr>
              <w:t>m</w:t>
            </w:r>
            <w:r>
              <w:rPr>
                <w:rFonts w:hint="eastAsia" w:eastAsia="宋体"/>
                <w:color w:val="auto"/>
                <w:vertAlign w:val="superscript"/>
                <w:lang w:val="en-US" w:eastAsia="zh-CN"/>
              </w:rPr>
              <w:t>3</w:t>
            </w:r>
            <w:r>
              <w:rPr>
                <w:rFonts w:hint="eastAsia" w:eastAsia="宋体"/>
                <w:color w:val="auto"/>
                <w:lang w:val="en-US" w:eastAsia="zh-CN"/>
              </w:rPr>
              <w:t>，</w:t>
            </w:r>
            <w:r>
              <w:rPr>
                <w:rFonts w:hint="eastAsia" w:eastAsia="宋体"/>
                <w:color w:val="auto"/>
                <w:lang w:eastAsia="zh-CN"/>
              </w:rPr>
              <w:t>8.25×Φ8.25</w:t>
            </w:r>
          </w:p>
        </w:tc>
        <w:tc>
          <w:tcPr>
            <w:tcW w:w="831" w:type="pct"/>
            <w:tcBorders>
              <w:tl2br w:val="nil"/>
              <w:tr2bl w:val="nil"/>
            </w:tcBorders>
            <w:noWrap w:val="0"/>
            <w:vAlign w:val="center"/>
          </w:tcPr>
          <w:p>
            <w:pPr>
              <w:pStyle w:val="35"/>
              <w:bidi w:val="0"/>
              <w:jc w:val="center"/>
              <w:rPr>
                <w:rFonts w:hint="eastAsia" w:eastAsia="宋体"/>
                <w:color w:val="auto"/>
                <w:lang w:val="en-US" w:eastAsia="zh-CN"/>
              </w:rPr>
            </w:pPr>
            <w:r>
              <w:rPr>
                <w:rFonts w:hint="eastAsia" w:eastAsia="宋体"/>
                <w:color w:val="auto"/>
                <w:lang w:eastAsia="zh-CN"/>
              </w:rPr>
              <w:t>依托现有</w:t>
            </w:r>
            <w:r>
              <w:rPr>
                <w:rFonts w:hint="eastAsia" w:eastAsia="宋体"/>
                <w:color w:val="auto"/>
                <w:lang w:val="en-US" w:eastAsia="zh-CN"/>
              </w:rPr>
              <w:t>二氯丙烷储罐和废</w:t>
            </w:r>
            <w:r>
              <w:rPr>
                <w:rFonts w:hint="eastAsia" w:eastAsia="宋体"/>
                <w:color w:val="auto"/>
                <w:lang w:eastAsia="zh-CN"/>
              </w:rPr>
              <w:t>环己烷、环己酮、苯乙烯原料油</w:t>
            </w:r>
            <w:r>
              <w:rPr>
                <w:rFonts w:hint="eastAsia" w:eastAsia="宋体"/>
                <w:color w:val="auto"/>
                <w:lang w:val="en-US" w:eastAsia="zh-CN"/>
              </w:rPr>
              <w:t>储罐</w:t>
            </w:r>
          </w:p>
        </w:tc>
      </w:tr>
      <w:tr>
        <w:trPr>
          <w:trHeight w:val="254" w:hRule="atLeast"/>
          <w:jc w:val="center"/>
        </w:trPr>
        <w:tc>
          <w:tcPr>
            <w:tcW w:w="626" w:type="pct"/>
            <w:vMerge w:val="continue"/>
            <w:tcBorders>
              <w:tl2br w:val="nil"/>
              <w:tr2bl w:val="nil"/>
            </w:tcBorders>
            <w:noWrap w:val="0"/>
            <w:vAlign w:val="center"/>
          </w:tcPr>
          <w:p>
            <w:pPr>
              <w:pStyle w:val="35"/>
              <w:bidi w:val="0"/>
              <w:jc w:val="center"/>
              <w:rPr>
                <w:color w:val="auto"/>
              </w:rPr>
            </w:pPr>
          </w:p>
        </w:tc>
        <w:tc>
          <w:tcPr>
            <w:tcW w:w="948"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运输工程</w:t>
            </w:r>
          </w:p>
        </w:tc>
        <w:tc>
          <w:tcPr>
            <w:tcW w:w="2593" w:type="pct"/>
            <w:tcBorders>
              <w:tl2br w:val="nil"/>
              <w:tr2bl w:val="nil"/>
            </w:tcBorders>
            <w:noWrap w:val="0"/>
            <w:vAlign w:val="center"/>
          </w:tcPr>
          <w:p>
            <w:pPr>
              <w:pStyle w:val="35"/>
              <w:bidi w:val="0"/>
              <w:jc w:val="center"/>
              <w:rPr>
                <w:rFonts w:hint="eastAsia"/>
                <w:color w:val="auto"/>
                <w:lang w:eastAsia="zh-CN"/>
              </w:rPr>
            </w:pPr>
            <w:r>
              <w:rPr>
                <w:rFonts w:hint="eastAsia"/>
                <w:color w:val="auto"/>
                <w:lang w:eastAsia="zh-CN"/>
              </w:rPr>
              <w:t>原料由供应商负责运入厂内，出厂产品由具有危险品运输资质的单位负责运输。</w:t>
            </w:r>
          </w:p>
        </w:tc>
        <w:tc>
          <w:tcPr>
            <w:tcW w:w="831" w:type="pct"/>
            <w:tcBorders>
              <w:tl2br w:val="nil"/>
              <w:tr2bl w:val="nil"/>
            </w:tcBorders>
            <w:noWrap w:val="0"/>
            <w:vAlign w:val="center"/>
          </w:tcPr>
          <w:p>
            <w:pPr>
              <w:pStyle w:val="35"/>
              <w:bidi w:val="0"/>
              <w:jc w:val="center"/>
              <w:rPr>
                <w:rFonts w:hint="eastAsia"/>
                <w:color w:val="auto"/>
              </w:rPr>
            </w:pPr>
          </w:p>
        </w:tc>
      </w:tr>
      <w:tr>
        <w:trPr>
          <w:jc w:val="center"/>
        </w:trPr>
        <w:tc>
          <w:tcPr>
            <w:tcW w:w="626" w:type="pct"/>
            <w:vMerge w:val="restart"/>
            <w:tcBorders>
              <w:tl2br w:val="nil"/>
              <w:tr2bl w:val="nil"/>
            </w:tcBorders>
            <w:noWrap w:val="0"/>
            <w:vAlign w:val="center"/>
          </w:tcPr>
          <w:p>
            <w:pPr>
              <w:pStyle w:val="35"/>
              <w:bidi w:val="0"/>
              <w:jc w:val="center"/>
              <w:rPr>
                <w:color w:val="auto"/>
              </w:rPr>
            </w:pPr>
            <w:r>
              <w:rPr>
                <w:color w:val="auto"/>
              </w:rPr>
              <w:t>公用工程</w:t>
            </w:r>
          </w:p>
        </w:tc>
        <w:tc>
          <w:tcPr>
            <w:tcW w:w="948"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办公楼</w:t>
            </w:r>
          </w:p>
        </w:tc>
        <w:tc>
          <w:tcPr>
            <w:tcW w:w="259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依托现有办公楼，面积720</w:t>
            </w:r>
            <w:r>
              <w:rPr>
                <w:color w:val="auto"/>
              </w:rPr>
              <w:t>m</w:t>
            </w:r>
            <w:r>
              <w:rPr>
                <w:color w:val="auto"/>
                <w:vertAlign w:val="superscript"/>
              </w:rPr>
              <w:t>2</w:t>
            </w:r>
          </w:p>
        </w:tc>
        <w:tc>
          <w:tcPr>
            <w:tcW w:w="831"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依托现有</w:t>
            </w:r>
          </w:p>
        </w:tc>
      </w:tr>
      <w:tr>
        <w:trPr>
          <w:jc w:val="center"/>
        </w:trPr>
        <w:tc>
          <w:tcPr>
            <w:tcW w:w="626" w:type="pct"/>
            <w:vMerge w:val="continue"/>
            <w:tcBorders>
              <w:tl2br w:val="nil"/>
              <w:tr2bl w:val="nil"/>
            </w:tcBorders>
            <w:noWrap w:val="0"/>
            <w:vAlign w:val="center"/>
          </w:tcPr>
          <w:p>
            <w:pPr>
              <w:pStyle w:val="35"/>
              <w:bidi w:val="0"/>
              <w:jc w:val="center"/>
              <w:rPr>
                <w:color w:val="auto"/>
              </w:rPr>
            </w:pPr>
          </w:p>
        </w:tc>
        <w:tc>
          <w:tcPr>
            <w:tcW w:w="94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门卫室</w:t>
            </w:r>
          </w:p>
        </w:tc>
        <w:tc>
          <w:tcPr>
            <w:tcW w:w="259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依托现有门卫室，面积</w:t>
            </w:r>
            <w:r>
              <w:rPr>
                <w:color w:val="auto"/>
              </w:rPr>
              <w:t>16m</w:t>
            </w:r>
            <w:r>
              <w:rPr>
                <w:color w:val="auto"/>
                <w:vertAlign w:val="superscript"/>
              </w:rPr>
              <w:t>2</w:t>
            </w:r>
          </w:p>
        </w:tc>
        <w:tc>
          <w:tcPr>
            <w:tcW w:w="831" w:type="pct"/>
            <w:tcBorders>
              <w:tl2br w:val="nil"/>
              <w:tr2bl w:val="nil"/>
            </w:tcBorders>
            <w:noWrap w:val="0"/>
            <w:vAlign w:val="center"/>
          </w:tcPr>
          <w:p>
            <w:pPr>
              <w:pStyle w:val="35"/>
              <w:bidi w:val="0"/>
              <w:jc w:val="center"/>
              <w:rPr>
                <w:rFonts w:hint="eastAsia"/>
                <w:color w:val="auto"/>
                <w:lang w:eastAsia="zh-CN"/>
              </w:rPr>
            </w:pPr>
            <w:r>
              <w:rPr>
                <w:rFonts w:hint="eastAsia"/>
                <w:color w:val="auto"/>
                <w:lang w:val="en-US" w:eastAsia="zh-CN"/>
              </w:rPr>
              <w:t>依托现有</w:t>
            </w:r>
          </w:p>
        </w:tc>
      </w:tr>
      <w:tr>
        <w:trPr>
          <w:jc w:val="center"/>
        </w:trPr>
        <w:tc>
          <w:tcPr>
            <w:tcW w:w="626" w:type="pct"/>
            <w:vMerge w:val="continue"/>
            <w:tcBorders>
              <w:tl2br w:val="nil"/>
              <w:tr2bl w:val="nil"/>
            </w:tcBorders>
            <w:noWrap w:val="0"/>
            <w:vAlign w:val="center"/>
          </w:tcPr>
          <w:p>
            <w:pPr>
              <w:pStyle w:val="35"/>
              <w:bidi w:val="0"/>
              <w:jc w:val="center"/>
              <w:rPr>
                <w:color w:val="auto"/>
              </w:rPr>
            </w:pPr>
          </w:p>
        </w:tc>
        <w:tc>
          <w:tcPr>
            <w:tcW w:w="948" w:type="pct"/>
            <w:tcBorders>
              <w:tl2br w:val="nil"/>
              <w:tr2bl w:val="nil"/>
            </w:tcBorders>
            <w:noWrap w:val="0"/>
            <w:vAlign w:val="center"/>
          </w:tcPr>
          <w:p>
            <w:pPr>
              <w:pStyle w:val="35"/>
              <w:bidi w:val="0"/>
              <w:jc w:val="center"/>
              <w:rPr>
                <w:color w:val="auto"/>
              </w:rPr>
            </w:pPr>
            <w:r>
              <w:rPr>
                <w:color w:val="auto"/>
              </w:rPr>
              <w:t>供电</w:t>
            </w:r>
          </w:p>
        </w:tc>
        <w:tc>
          <w:tcPr>
            <w:tcW w:w="2593" w:type="pct"/>
            <w:tcBorders>
              <w:tl2br w:val="nil"/>
              <w:tr2bl w:val="nil"/>
            </w:tcBorders>
            <w:noWrap w:val="0"/>
            <w:vAlign w:val="center"/>
          </w:tcPr>
          <w:p>
            <w:pPr>
              <w:pStyle w:val="35"/>
              <w:bidi w:val="0"/>
              <w:jc w:val="center"/>
              <w:rPr>
                <w:rFonts w:hint="eastAsia"/>
                <w:color w:val="auto"/>
              </w:rPr>
            </w:pPr>
            <w:r>
              <w:rPr>
                <w:rFonts w:hint="eastAsia"/>
                <w:color w:val="auto"/>
              </w:rPr>
              <w:t>依托现有</w:t>
            </w:r>
            <w:r>
              <w:rPr>
                <w:color w:val="auto"/>
              </w:rPr>
              <w:t>800kVA变压器及相应的配电设备</w:t>
            </w:r>
          </w:p>
        </w:tc>
        <w:tc>
          <w:tcPr>
            <w:tcW w:w="831" w:type="pct"/>
            <w:tcBorders>
              <w:tl2br w:val="nil"/>
              <w:tr2bl w:val="nil"/>
            </w:tcBorders>
            <w:noWrap w:val="0"/>
            <w:vAlign w:val="center"/>
          </w:tcPr>
          <w:p>
            <w:pPr>
              <w:pStyle w:val="35"/>
              <w:bidi w:val="0"/>
              <w:jc w:val="center"/>
              <w:rPr>
                <w:rFonts w:hint="eastAsia"/>
                <w:color w:val="auto"/>
                <w:lang w:eastAsia="zh-CN"/>
              </w:rPr>
            </w:pPr>
            <w:r>
              <w:rPr>
                <w:rFonts w:hint="eastAsia"/>
                <w:color w:val="auto"/>
                <w:lang w:eastAsia="zh-CN"/>
              </w:rPr>
              <w:t>依托现有</w:t>
            </w:r>
          </w:p>
        </w:tc>
      </w:tr>
      <w:tr>
        <w:trPr>
          <w:jc w:val="center"/>
        </w:trPr>
        <w:tc>
          <w:tcPr>
            <w:tcW w:w="626" w:type="pct"/>
            <w:vMerge w:val="continue"/>
            <w:tcBorders>
              <w:tl2br w:val="nil"/>
              <w:tr2bl w:val="nil"/>
            </w:tcBorders>
            <w:noWrap w:val="0"/>
            <w:vAlign w:val="center"/>
          </w:tcPr>
          <w:p>
            <w:pPr>
              <w:pStyle w:val="35"/>
              <w:bidi w:val="0"/>
              <w:jc w:val="center"/>
              <w:rPr>
                <w:color w:val="auto"/>
              </w:rPr>
            </w:pPr>
          </w:p>
        </w:tc>
        <w:tc>
          <w:tcPr>
            <w:tcW w:w="948" w:type="pct"/>
            <w:tcBorders>
              <w:tl2br w:val="nil"/>
              <w:tr2bl w:val="nil"/>
            </w:tcBorders>
            <w:noWrap w:val="0"/>
            <w:vAlign w:val="center"/>
          </w:tcPr>
          <w:p>
            <w:pPr>
              <w:pStyle w:val="35"/>
              <w:bidi w:val="0"/>
              <w:jc w:val="center"/>
              <w:rPr>
                <w:color w:val="auto"/>
              </w:rPr>
            </w:pPr>
            <w:r>
              <w:rPr>
                <w:color w:val="auto"/>
              </w:rPr>
              <w:t>给水</w:t>
            </w:r>
          </w:p>
        </w:tc>
        <w:tc>
          <w:tcPr>
            <w:tcW w:w="2593" w:type="pct"/>
            <w:tcBorders>
              <w:tl2br w:val="nil"/>
              <w:tr2bl w:val="nil"/>
            </w:tcBorders>
            <w:noWrap w:val="0"/>
            <w:vAlign w:val="center"/>
          </w:tcPr>
          <w:p>
            <w:pPr>
              <w:pStyle w:val="35"/>
              <w:bidi w:val="0"/>
              <w:jc w:val="center"/>
              <w:rPr>
                <w:color w:val="auto"/>
              </w:rPr>
            </w:pPr>
            <w:r>
              <w:rPr>
                <w:rFonts w:hint="eastAsia"/>
                <w:color w:val="auto"/>
              </w:rPr>
              <w:t>由云溪工业园给水管网接入</w:t>
            </w:r>
          </w:p>
        </w:tc>
        <w:tc>
          <w:tcPr>
            <w:tcW w:w="831"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依托现有给水设施</w:t>
            </w:r>
          </w:p>
        </w:tc>
      </w:tr>
      <w:tr>
        <w:trPr>
          <w:jc w:val="center"/>
        </w:trPr>
        <w:tc>
          <w:tcPr>
            <w:tcW w:w="626" w:type="pct"/>
            <w:vMerge w:val="continue"/>
            <w:tcBorders>
              <w:tl2br w:val="nil"/>
              <w:tr2bl w:val="nil"/>
            </w:tcBorders>
            <w:noWrap w:val="0"/>
            <w:vAlign w:val="center"/>
          </w:tcPr>
          <w:p>
            <w:pPr>
              <w:pStyle w:val="35"/>
              <w:bidi w:val="0"/>
              <w:jc w:val="center"/>
              <w:rPr>
                <w:color w:val="auto"/>
              </w:rPr>
            </w:pPr>
          </w:p>
        </w:tc>
        <w:tc>
          <w:tcPr>
            <w:tcW w:w="948" w:type="pct"/>
            <w:tcBorders>
              <w:tl2br w:val="nil"/>
              <w:tr2bl w:val="nil"/>
            </w:tcBorders>
            <w:noWrap w:val="0"/>
            <w:vAlign w:val="center"/>
          </w:tcPr>
          <w:p>
            <w:pPr>
              <w:pStyle w:val="35"/>
              <w:bidi w:val="0"/>
              <w:jc w:val="center"/>
              <w:rPr>
                <w:color w:val="auto"/>
              </w:rPr>
            </w:pPr>
            <w:r>
              <w:rPr>
                <w:color w:val="auto"/>
              </w:rPr>
              <w:t>排水</w:t>
            </w:r>
          </w:p>
        </w:tc>
        <w:tc>
          <w:tcPr>
            <w:tcW w:w="2593" w:type="pct"/>
            <w:tcBorders>
              <w:tl2br w:val="nil"/>
              <w:tr2bl w:val="nil"/>
            </w:tcBorders>
            <w:noWrap w:val="0"/>
            <w:vAlign w:val="center"/>
          </w:tcPr>
          <w:p>
            <w:pPr>
              <w:pStyle w:val="35"/>
              <w:bidi w:val="0"/>
              <w:jc w:val="center"/>
              <w:rPr>
                <w:color w:val="auto"/>
              </w:rPr>
            </w:pPr>
            <w:r>
              <w:rPr>
                <w:rFonts w:hint="eastAsia"/>
                <w:color w:val="auto"/>
              </w:rPr>
              <w:t>实施雨污分流、污污分流排水系统</w:t>
            </w:r>
          </w:p>
        </w:tc>
        <w:tc>
          <w:tcPr>
            <w:tcW w:w="831" w:type="pct"/>
            <w:tcBorders>
              <w:tl2br w:val="nil"/>
              <w:tr2bl w:val="nil"/>
            </w:tcBorders>
            <w:noWrap w:val="0"/>
            <w:vAlign w:val="center"/>
          </w:tcPr>
          <w:p>
            <w:pPr>
              <w:pStyle w:val="35"/>
              <w:bidi w:val="0"/>
              <w:jc w:val="center"/>
              <w:rPr>
                <w:color w:val="auto"/>
              </w:rPr>
            </w:pPr>
            <w:r>
              <w:rPr>
                <w:rFonts w:hint="eastAsia"/>
                <w:color w:val="auto"/>
                <w:lang w:eastAsia="zh-CN"/>
              </w:rPr>
              <w:t>依托现有</w:t>
            </w:r>
          </w:p>
        </w:tc>
      </w:tr>
      <w:tr>
        <w:trPr>
          <w:jc w:val="center"/>
        </w:trPr>
        <w:tc>
          <w:tcPr>
            <w:tcW w:w="626" w:type="pct"/>
            <w:vMerge w:val="continue"/>
            <w:tcBorders>
              <w:tl2br w:val="nil"/>
              <w:tr2bl w:val="nil"/>
            </w:tcBorders>
            <w:noWrap w:val="0"/>
            <w:vAlign w:val="center"/>
          </w:tcPr>
          <w:p>
            <w:pPr>
              <w:pStyle w:val="35"/>
              <w:bidi w:val="0"/>
              <w:jc w:val="center"/>
              <w:rPr>
                <w:color w:val="auto"/>
              </w:rPr>
            </w:pPr>
          </w:p>
        </w:tc>
        <w:tc>
          <w:tcPr>
            <w:tcW w:w="948" w:type="pct"/>
            <w:tcBorders>
              <w:tl2br w:val="nil"/>
              <w:tr2bl w:val="nil"/>
            </w:tcBorders>
            <w:noWrap w:val="0"/>
            <w:vAlign w:val="center"/>
          </w:tcPr>
          <w:p>
            <w:pPr>
              <w:pStyle w:val="35"/>
              <w:bidi w:val="0"/>
              <w:jc w:val="center"/>
              <w:rPr>
                <w:color w:val="auto"/>
              </w:rPr>
            </w:pPr>
            <w:r>
              <w:rPr>
                <w:color w:val="auto"/>
              </w:rPr>
              <w:t>消防</w:t>
            </w:r>
          </w:p>
        </w:tc>
        <w:tc>
          <w:tcPr>
            <w:tcW w:w="2593" w:type="pct"/>
            <w:tcBorders>
              <w:tl2br w:val="nil"/>
              <w:tr2bl w:val="nil"/>
            </w:tcBorders>
            <w:noWrap w:val="0"/>
            <w:vAlign w:val="center"/>
          </w:tcPr>
          <w:p>
            <w:pPr>
              <w:pStyle w:val="35"/>
              <w:bidi w:val="0"/>
              <w:jc w:val="center"/>
              <w:rPr>
                <w:color w:val="auto"/>
              </w:rPr>
            </w:pPr>
            <w:r>
              <w:rPr>
                <w:rFonts w:hint="eastAsia"/>
                <w:color w:val="auto"/>
              </w:rPr>
              <w:t>依托一期</w:t>
            </w:r>
            <w:r>
              <w:rPr>
                <w:color w:val="auto"/>
              </w:rPr>
              <w:t>一座</w:t>
            </w:r>
            <w:r>
              <w:rPr>
                <w:rFonts w:hint="eastAsia"/>
                <w:color w:val="auto"/>
                <w:lang w:val="en-US" w:eastAsia="zh-CN"/>
              </w:rPr>
              <w:t>480</w:t>
            </w:r>
            <w:r>
              <w:rPr>
                <w:color w:val="auto"/>
              </w:rPr>
              <w:t>m</w:t>
            </w:r>
            <w:r>
              <w:rPr>
                <w:rFonts w:hint="eastAsia"/>
                <w:color w:val="auto"/>
                <w:vertAlign w:val="superscript"/>
              </w:rPr>
              <w:t>3</w:t>
            </w:r>
            <w:r>
              <w:rPr>
                <w:color w:val="auto"/>
              </w:rPr>
              <w:t>消防水池</w:t>
            </w:r>
            <w:r>
              <w:rPr>
                <w:rFonts w:hint="eastAsia"/>
                <w:color w:val="auto"/>
              </w:rPr>
              <w:t>及泡沫灭火装置</w:t>
            </w:r>
          </w:p>
        </w:tc>
        <w:tc>
          <w:tcPr>
            <w:tcW w:w="831" w:type="pct"/>
            <w:tcBorders>
              <w:tl2br w:val="nil"/>
              <w:tr2bl w:val="nil"/>
            </w:tcBorders>
            <w:noWrap w:val="0"/>
            <w:vAlign w:val="center"/>
          </w:tcPr>
          <w:p>
            <w:pPr>
              <w:pStyle w:val="35"/>
              <w:bidi w:val="0"/>
              <w:jc w:val="center"/>
              <w:rPr>
                <w:color w:val="auto"/>
              </w:rPr>
            </w:pPr>
            <w:r>
              <w:rPr>
                <w:rFonts w:hint="eastAsia"/>
                <w:color w:val="auto"/>
              </w:rPr>
              <w:t>依托现有</w:t>
            </w:r>
          </w:p>
        </w:tc>
      </w:tr>
      <w:tr>
        <w:trPr>
          <w:jc w:val="center"/>
        </w:trPr>
        <w:tc>
          <w:tcPr>
            <w:tcW w:w="626" w:type="pct"/>
            <w:vMerge w:val="restart"/>
            <w:tcBorders>
              <w:tl2br w:val="nil"/>
              <w:tr2bl w:val="nil"/>
            </w:tcBorders>
            <w:noWrap w:val="0"/>
            <w:vAlign w:val="center"/>
          </w:tcPr>
          <w:p>
            <w:pPr>
              <w:pStyle w:val="35"/>
              <w:bidi w:val="0"/>
              <w:jc w:val="center"/>
              <w:rPr>
                <w:color w:val="auto"/>
              </w:rPr>
            </w:pPr>
            <w:r>
              <w:rPr>
                <w:color w:val="auto"/>
              </w:rPr>
              <w:t>环保工程</w:t>
            </w:r>
          </w:p>
        </w:tc>
        <w:tc>
          <w:tcPr>
            <w:tcW w:w="948" w:type="pct"/>
            <w:tcBorders>
              <w:tl2br w:val="nil"/>
              <w:tr2bl w:val="nil"/>
            </w:tcBorders>
            <w:noWrap w:val="0"/>
            <w:vAlign w:val="center"/>
          </w:tcPr>
          <w:p>
            <w:pPr>
              <w:pStyle w:val="35"/>
              <w:bidi w:val="0"/>
              <w:jc w:val="center"/>
              <w:rPr>
                <w:color w:val="auto"/>
              </w:rPr>
            </w:pPr>
            <w:r>
              <w:rPr>
                <w:rFonts w:hint="eastAsia"/>
                <w:color w:val="auto"/>
              </w:rPr>
              <w:t>废水</w:t>
            </w:r>
          </w:p>
        </w:tc>
        <w:tc>
          <w:tcPr>
            <w:tcW w:w="2593" w:type="pct"/>
            <w:tcBorders>
              <w:tl2br w:val="nil"/>
              <w:tr2bl w:val="nil"/>
            </w:tcBorders>
            <w:noWrap w:val="0"/>
            <w:vAlign w:val="center"/>
          </w:tcPr>
          <w:p>
            <w:pPr>
              <w:pStyle w:val="35"/>
              <w:bidi w:val="0"/>
              <w:jc w:val="center"/>
              <w:rPr>
                <w:rFonts w:hint="default"/>
                <w:color w:val="auto"/>
                <w:lang w:val="en-US"/>
              </w:rPr>
            </w:pPr>
            <w:r>
              <w:rPr>
                <w:rFonts w:hint="eastAsia"/>
                <w:color w:val="auto"/>
                <w:lang w:val="en-US" w:eastAsia="zh-CN"/>
              </w:rPr>
              <w:t>项目产生的生产废水依托二期建设50t/d污水处理设施，目前设施已经建成，</w:t>
            </w:r>
            <w:r>
              <w:rPr>
                <w:rFonts w:hint="eastAsia"/>
                <w:color w:val="auto"/>
                <w:lang w:eastAsia="zh-CN"/>
              </w:rPr>
              <w:t>属于调试阶段，</w:t>
            </w:r>
            <w:r>
              <w:rPr>
                <w:rFonts w:hint="eastAsia"/>
                <w:color w:val="auto"/>
                <w:lang w:val="en-US" w:eastAsia="zh-CN"/>
              </w:rPr>
              <w:t>企业准备组织验收。</w:t>
            </w:r>
          </w:p>
        </w:tc>
        <w:tc>
          <w:tcPr>
            <w:tcW w:w="831"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依托现有</w:t>
            </w:r>
          </w:p>
        </w:tc>
      </w:tr>
      <w:tr>
        <w:trPr>
          <w:trHeight w:val="172" w:hRule="atLeast"/>
          <w:jc w:val="center"/>
        </w:trPr>
        <w:tc>
          <w:tcPr>
            <w:tcW w:w="626" w:type="pct"/>
            <w:vMerge w:val="continue"/>
            <w:tcBorders>
              <w:tl2br w:val="nil"/>
              <w:tr2bl w:val="nil"/>
            </w:tcBorders>
            <w:noWrap w:val="0"/>
            <w:vAlign w:val="center"/>
          </w:tcPr>
          <w:p>
            <w:pPr>
              <w:pStyle w:val="35"/>
              <w:bidi w:val="0"/>
              <w:jc w:val="center"/>
              <w:rPr>
                <w:color w:val="auto"/>
              </w:rPr>
            </w:pPr>
          </w:p>
        </w:tc>
        <w:tc>
          <w:tcPr>
            <w:tcW w:w="948" w:type="pct"/>
            <w:tcBorders>
              <w:tl2br w:val="nil"/>
              <w:tr2bl w:val="nil"/>
            </w:tcBorders>
            <w:noWrap w:val="0"/>
            <w:vAlign w:val="center"/>
          </w:tcPr>
          <w:p>
            <w:pPr>
              <w:pStyle w:val="35"/>
              <w:bidi w:val="0"/>
              <w:jc w:val="center"/>
              <w:rPr>
                <w:color w:val="auto"/>
              </w:rPr>
            </w:pPr>
            <w:r>
              <w:rPr>
                <w:color w:val="auto"/>
              </w:rPr>
              <w:t>废气</w:t>
            </w:r>
          </w:p>
        </w:tc>
        <w:tc>
          <w:tcPr>
            <w:tcW w:w="2593" w:type="pct"/>
            <w:tcBorders>
              <w:tl2br w:val="nil"/>
              <w:tr2bl w:val="nil"/>
            </w:tcBorders>
            <w:noWrap w:val="0"/>
            <w:vAlign w:val="center"/>
          </w:tcPr>
          <w:p>
            <w:pPr>
              <w:pStyle w:val="35"/>
              <w:bidi w:val="0"/>
              <w:jc w:val="center"/>
              <w:rPr>
                <w:rFonts w:hint="eastAsia"/>
                <w:color w:val="auto"/>
                <w:lang w:eastAsia="zh-CN"/>
              </w:rPr>
            </w:pPr>
            <w:r>
              <w:rPr>
                <w:rFonts w:hint="eastAsia"/>
                <w:color w:val="auto"/>
                <w:lang w:val="en-US" w:eastAsia="zh-CN"/>
              </w:rPr>
              <w:t>项目产生的</w:t>
            </w:r>
            <w:r>
              <w:rPr>
                <w:rFonts w:hint="eastAsia"/>
                <w:color w:val="auto"/>
                <w:lang w:val="en-US" w:eastAsia="zh-Hans"/>
              </w:rPr>
              <w:t>生产装置</w:t>
            </w:r>
            <w:r>
              <w:rPr>
                <w:rFonts w:hint="eastAsia"/>
                <w:color w:val="auto"/>
                <w:lang w:val="en-US" w:eastAsia="zh-CN"/>
              </w:rPr>
              <w:t>有机废气</w:t>
            </w:r>
            <w:r>
              <w:rPr>
                <w:rFonts w:hint="eastAsia"/>
                <w:color w:val="auto"/>
                <w:lang w:val="en-US" w:eastAsia="zh-Hans"/>
              </w:rPr>
              <w:t>先通过新建“冷凝</w:t>
            </w:r>
            <w:r>
              <w:rPr>
                <w:rFonts w:hint="default"/>
                <w:color w:val="auto"/>
                <w:lang w:eastAsia="zh-Hans"/>
              </w:rPr>
              <w:t>+</w:t>
            </w:r>
            <w:r>
              <w:rPr>
                <w:rFonts w:hint="eastAsia"/>
                <w:color w:val="auto"/>
                <w:lang w:val="en-US" w:eastAsia="zh-Hans"/>
              </w:rPr>
              <w:t>活性炭吸附”</w:t>
            </w:r>
            <w:r>
              <w:rPr>
                <w:rFonts w:hint="eastAsia"/>
                <w:color w:val="auto"/>
                <w:lang w:val="en-US" w:eastAsia="zh-CN"/>
              </w:rPr>
              <w:t>依托现有冷凝回收+碱液吸收+</w:t>
            </w:r>
            <w:r>
              <w:rPr>
                <w:rFonts w:hint="eastAsia"/>
                <w:color w:val="auto"/>
                <w:lang w:val="en-US" w:eastAsia="zh-Hans"/>
              </w:rPr>
              <w:t>炭吸收</w:t>
            </w:r>
            <w:r>
              <w:rPr>
                <w:rFonts w:hint="eastAsia"/>
                <w:color w:val="auto"/>
                <w:lang w:val="en-US" w:eastAsia="zh-CN"/>
              </w:rPr>
              <w:t>装置处理后通过20m排气筒高空排放</w:t>
            </w:r>
            <w:r>
              <w:rPr>
                <w:rFonts w:hint="eastAsia"/>
                <w:color w:val="auto"/>
                <w:lang w:val="en-US" w:eastAsia="zh-Hans"/>
              </w:rPr>
              <w:t>；储罐废气采用“喷淋塔</w:t>
            </w:r>
            <w:r>
              <w:rPr>
                <w:rFonts w:hint="default"/>
                <w:color w:val="auto"/>
                <w:lang w:eastAsia="zh-Hans"/>
              </w:rPr>
              <w:t>+UV</w:t>
            </w:r>
            <w:r>
              <w:rPr>
                <w:rFonts w:hint="eastAsia"/>
                <w:color w:val="auto"/>
                <w:lang w:val="en-US" w:eastAsia="zh-Hans"/>
              </w:rPr>
              <w:t>光解</w:t>
            </w:r>
            <w:r>
              <w:rPr>
                <w:rFonts w:hint="default"/>
                <w:color w:val="auto"/>
                <w:lang w:eastAsia="zh-Hans"/>
              </w:rPr>
              <w:t>+</w:t>
            </w:r>
            <w:r>
              <w:rPr>
                <w:rFonts w:hint="eastAsia"/>
                <w:color w:val="auto"/>
                <w:lang w:val="en-US" w:eastAsia="zh-Hans"/>
              </w:rPr>
              <w:t>两级活性炭吸附”装置处理后，通过</w:t>
            </w:r>
            <w:r>
              <w:rPr>
                <w:rFonts w:hint="default"/>
                <w:color w:val="auto"/>
                <w:lang w:eastAsia="zh-Hans"/>
              </w:rPr>
              <w:t>15</w:t>
            </w:r>
            <w:r>
              <w:rPr>
                <w:rFonts w:hint="eastAsia"/>
                <w:color w:val="auto"/>
                <w:lang w:val="en-US" w:eastAsia="zh-Hans"/>
              </w:rPr>
              <w:t>m高排气筒排放。</w:t>
            </w:r>
          </w:p>
        </w:tc>
        <w:tc>
          <w:tcPr>
            <w:tcW w:w="831" w:type="pct"/>
            <w:tcBorders>
              <w:tl2br w:val="nil"/>
              <w:tr2bl w:val="nil"/>
            </w:tcBorders>
            <w:noWrap w:val="0"/>
            <w:vAlign w:val="center"/>
          </w:tcPr>
          <w:p>
            <w:pPr>
              <w:pStyle w:val="35"/>
              <w:bidi w:val="0"/>
              <w:jc w:val="center"/>
              <w:rPr>
                <w:color w:val="auto"/>
              </w:rPr>
            </w:pPr>
            <w:r>
              <w:rPr>
                <w:rFonts w:hint="eastAsia"/>
                <w:color w:val="auto"/>
                <w:lang w:val="en-US" w:eastAsia="zh-Hans"/>
              </w:rPr>
              <w:t>新建，部分</w:t>
            </w:r>
            <w:r>
              <w:rPr>
                <w:rFonts w:hint="eastAsia"/>
                <w:color w:val="auto"/>
                <w:lang w:val="en-US" w:eastAsia="zh-CN"/>
              </w:rPr>
              <w:t>依托现有</w:t>
            </w:r>
          </w:p>
        </w:tc>
      </w:tr>
      <w:tr>
        <w:trPr>
          <w:jc w:val="center"/>
        </w:trPr>
        <w:tc>
          <w:tcPr>
            <w:tcW w:w="626" w:type="pct"/>
            <w:vMerge w:val="continue"/>
            <w:tcBorders>
              <w:tl2br w:val="nil"/>
              <w:tr2bl w:val="nil"/>
            </w:tcBorders>
            <w:noWrap w:val="0"/>
            <w:vAlign w:val="center"/>
          </w:tcPr>
          <w:p>
            <w:pPr>
              <w:pStyle w:val="35"/>
              <w:bidi w:val="0"/>
              <w:jc w:val="center"/>
              <w:rPr>
                <w:color w:val="auto"/>
              </w:rPr>
            </w:pPr>
          </w:p>
        </w:tc>
        <w:tc>
          <w:tcPr>
            <w:tcW w:w="948" w:type="pct"/>
            <w:tcBorders>
              <w:tl2br w:val="nil"/>
              <w:tr2bl w:val="nil"/>
            </w:tcBorders>
            <w:noWrap w:val="0"/>
            <w:vAlign w:val="center"/>
          </w:tcPr>
          <w:p>
            <w:pPr>
              <w:pStyle w:val="35"/>
              <w:bidi w:val="0"/>
              <w:jc w:val="center"/>
              <w:rPr>
                <w:color w:val="auto"/>
              </w:rPr>
            </w:pPr>
            <w:r>
              <w:rPr>
                <w:rFonts w:hint="eastAsia"/>
                <w:color w:val="auto"/>
              </w:rPr>
              <w:t>固体废物</w:t>
            </w:r>
          </w:p>
        </w:tc>
        <w:tc>
          <w:tcPr>
            <w:tcW w:w="2593" w:type="pct"/>
            <w:tcBorders>
              <w:tl2br w:val="nil"/>
              <w:tr2bl w:val="nil"/>
            </w:tcBorders>
            <w:noWrap w:val="0"/>
            <w:vAlign w:val="center"/>
          </w:tcPr>
          <w:p>
            <w:pPr>
              <w:pStyle w:val="35"/>
              <w:bidi w:val="0"/>
              <w:jc w:val="center"/>
              <w:rPr>
                <w:color w:val="auto"/>
              </w:rPr>
            </w:pPr>
            <w:r>
              <w:rPr>
                <w:rFonts w:hint="eastAsia"/>
                <w:color w:val="auto"/>
              </w:rPr>
              <w:t>依托一期1</w:t>
            </w:r>
            <w:r>
              <w:rPr>
                <w:rFonts w:hint="eastAsia"/>
                <w:color w:val="auto"/>
                <w:lang w:val="en-US" w:eastAsia="zh-CN"/>
              </w:rPr>
              <w:t>5</w:t>
            </w:r>
            <w:r>
              <w:rPr>
                <w:rFonts w:hint="eastAsia"/>
                <w:color w:val="auto"/>
              </w:rPr>
              <w:t>4.5</w:t>
            </w:r>
            <w:r>
              <w:rPr>
                <w:color w:val="auto"/>
              </w:rPr>
              <w:t>m</w:t>
            </w:r>
            <w:r>
              <w:rPr>
                <w:color w:val="auto"/>
                <w:vertAlign w:val="superscript"/>
              </w:rPr>
              <w:t>2</w:t>
            </w:r>
            <w:r>
              <w:rPr>
                <w:rFonts w:hint="eastAsia"/>
                <w:color w:val="auto"/>
              </w:rPr>
              <w:t>危废暂存间。</w:t>
            </w:r>
          </w:p>
        </w:tc>
        <w:tc>
          <w:tcPr>
            <w:tcW w:w="831" w:type="pct"/>
            <w:tcBorders>
              <w:tl2br w:val="nil"/>
              <w:tr2bl w:val="nil"/>
            </w:tcBorders>
            <w:noWrap w:val="0"/>
            <w:vAlign w:val="center"/>
          </w:tcPr>
          <w:p>
            <w:pPr>
              <w:pStyle w:val="35"/>
              <w:bidi w:val="0"/>
              <w:jc w:val="center"/>
              <w:rPr>
                <w:color w:val="auto"/>
              </w:rPr>
            </w:pPr>
            <w:r>
              <w:rPr>
                <w:rFonts w:hint="eastAsia"/>
                <w:color w:val="auto"/>
                <w:lang w:val="en-US" w:eastAsia="zh-CN"/>
              </w:rPr>
              <w:t>依托现有</w:t>
            </w:r>
          </w:p>
        </w:tc>
      </w:tr>
      <w:tr>
        <w:trPr>
          <w:trHeight w:val="785" w:hRule="atLeast"/>
          <w:jc w:val="center"/>
        </w:trPr>
        <w:tc>
          <w:tcPr>
            <w:tcW w:w="626" w:type="pct"/>
            <w:vMerge w:val="continue"/>
            <w:tcBorders>
              <w:tl2br w:val="nil"/>
              <w:tr2bl w:val="nil"/>
            </w:tcBorders>
            <w:noWrap w:val="0"/>
            <w:vAlign w:val="center"/>
          </w:tcPr>
          <w:p>
            <w:pPr>
              <w:pStyle w:val="35"/>
              <w:bidi w:val="0"/>
              <w:jc w:val="center"/>
              <w:rPr>
                <w:color w:val="auto"/>
              </w:rPr>
            </w:pPr>
          </w:p>
        </w:tc>
        <w:tc>
          <w:tcPr>
            <w:tcW w:w="948" w:type="pct"/>
            <w:tcBorders>
              <w:tl2br w:val="nil"/>
              <w:tr2bl w:val="nil"/>
            </w:tcBorders>
            <w:noWrap w:val="0"/>
            <w:vAlign w:val="center"/>
          </w:tcPr>
          <w:p>
            <w:pPr>
              <w:pStyle w:val="35"/>
              <w:bidi w:val="0"/>
              <w:jc w:val="center"/>
              <w:rPr>
                <w:color w:val="auto"/>
              </w:rPr>
            </w:pPr>
            <w:r>
              <w:rPr>
                <w:rFonts w:hint="eastAsia"/>
                <w:color w:val="auto"/>
              </w:rPr>
              <w:t>环境风险</w:t>
            </w:r>
          </w:p>
        </w:tc>
        <w:tc>
          <w:tcPr>
            <w:tcW w:w="2593" w:type="pct"/>
            <w:tcBorders>
              <w:tl2br w:val="nil"/>
              <w:tr2bl w:val="nil"/>
            </w:tcBorders>
            <w:noWrap w:val="0"/>
            <w:vAlign w:val="center"/>
          </w:tcPr>
          <w:p>
            <w:pPr>
              <w:pStyle w:val="35"/>
              <w:bidi w:val="0"/>
              <w:jc w:val="center"/>
              <w:rPr>
                <w:color w:val="auto"/>
              </w:rPr>
            </w:pPr>
            <w:r>
              <w:rPr>
                <w:rFonts w:hint="eastAsia"/>
                <w:color w:val="auto"/>
              </w:rPr>
              <w:t>储罐区设置防火提，仓库危险品储存间四周设置围堰，地面采取防渗措施，依托一期现有450m</w:t>
            </w:r>
            <w:r>
              <w:rPr>
                <w:rFonts w:hint="eastAsia"/>
                <w:color w:val="auto"/>
                <w:vertAlign w:val="superscript"/>
                <w:lang w:val="en-US" w:eastAsia="zh-CN"/>
              </w:rPr>
              <w:t>3</w:t>
            </w:r>
            <w:r>
              <w:rPr>
                <w:rFonts w:hint="eastAsia"/>
                <w:color w:val="auto"/>
              </w:rPr>
              <w:t>事故池</w:t>
            </w:r>
          </w:p>
        </w:tc>
        <w:tc>
          <w:tcPr>
            <w:tcW w:w="831" w:type="pct"/>
            <w:tcBorders>
              <w:tl2br w:val="nil"/>
              <w:tr2bl w:val="nil"/>
            </w:tcBorders>
            <w:noWrap w:val="0"/>
            <w:vAlign w:val="center"/>
          </w:tcPr>
          <w:p>
            <w:pPr>
              <w:pStyle w:val="35"/>
              <w:bidi w:val="0"/>
              <w:jc w:val="center"/>
              <w:rPr>
                <w:color w:val="auto"/>
              </w:rPr>
            </w:pPr>
            <w:r>
              <w:rPr>
                <w:rFonts w:hint="eastAsia"/>
                <w:color w:val="auto"/>
                <w:lang w:val="en-US" w:eastAsia="zh-CN"/>
              </w:rPr>
              <w:t>依托现有</w:t>
            </w:r>
          </w:p>
        </w:tc>
      </w:tr>
    </w:tbl>
    <w:p>
      <w:pPr>
        <w:pStyle w:val="33"/>
        <w:bidi w:val="0"/>
        <w:rPr>
          <w:rFonts w:ascii="Times New Roman" w:hAnsi="Times New Roman"/>
          <w:caps w:val="0"/>
          <w:smallCaps w:val="0"/>
          <w:color w:val="auto"/>
          <w:kern w:val="0"/>
          <w:sz w:val="24"/>
          <w:szCs w:val="24"/>
          <w:u w:val="none"/>
        </w:rPr>
      </w:pPr>
      <w:r>
        <w:rPr>
          <w:rFonts w:hint="eastAsia" w:ascii="Times New Roman" w:hAnsi="Times New Roman"/>
          <w:caps w:val="0"/>
          <w:smallCaps w:val="0"/>
          <w:color w:val="auto"/>
          <w:sz w:val="24"/>
          <w:szCs w:val="24"/>
          <w:u w:val="none"/>
          <w:lang w:val="en-US" w:eastAsia="zh-CN"/>
        </w:rPr>
        <w:t>岳阳市</w:t>
      </w:r>
      <w:r>
        <w:rPr>
          <w:rFonts w:hint="eastAsia" w:ascii="Times New Roman" w:hAnsi="Times New Roman"/>
          <w:caps w:val="0"/>
          <w:smallCaps w:val="0"/>
          <w:color w:val="auto"/>
          <w:sz w:val="24"/>
          <w:szCs w:val="24"/>
          <w:u w:val="none"/>
          <w:lang w:eastAsia="zh-CN"/>
        </w:rPr>
        <w:t>凌峰化工</w:t>
      </w:r>
      <w:r>
        <w:rPr>
          <w:rFonts w:hint="eastAsia" w:ascii="Times New Roman" w:hAnsi="Times New Roman"/>
          <w:caps w:val="0"/>
          <w:smallCaps w:val="0"/>
          <w:color w:val="auto"/>
          <w:sz w:val="24"/>
          <w:szCs w:val="24"/>
          <w:u w:val="none"/>
          <w:lang w:val="en-US" w:eastAsia="zh-CN"/>
        </w:rPr>
        <w:t>有限公司</w:t>
      </w:r>
      <w:r>
        <w:rPr>
          <w:rFonts w:ascii="Times New Roman" w:hAnsi="Times New Roman"/>
          <w:caps w:val="0"/>
          <w:smallCaps w:val="0"/>
          <w:color w:val="auto"/>
          <w:kern w:val="0"/>
          <w:sz w:val="24"/>
          <w:szCs w:val="24"/>
          <w:u w:val="none"/>
        </w:rPr>
        <w:t>总用地面积</w:t>
      </w:r>
      <w:r>
        <w:rPr>
          <w:rFonts w:hint="eastAsia" w:ascii="Times New Roman" w:hAnsi="Times New Roman"/>
          <w:caps w:val="0"/>
          <w:smallCaps w:val="0"/>
          <w:color w:val="auto"/>
          <w:kern w:val="0"/>
          <w:sz w:val="24"/>
          <w:szCs w:val="24"/>
          <w:u w:val="none"/>
          <w:lang w:val="en-US" w:eastAsia="zh-CN"/>
        </w:rPr>
        <w:t>17048.38</w:t>
      </w:r>
      <w:r>
        <w:rPr>
          <w:rFonts w:ascii="Times New Roman" w:hAnsi="Times New Roman"/>
          <w:caps w:val="0"/>
          <w:smallCaps w:val="0"/>
          <w:color w:val="auto"/>
          <w:kern w:val="0"/>
          <w:sz w:val="24"/>
          <w:szCs w:val="24"/>
          <w:u w:val="none"/>
        </w:rPr>
        <w:t>m</w:t>
      </w:r>
      <w:r>
        <w:rPr>
          <w:rFonts w:ascii="Times New Roman" w:hAnsi="Times New Roman"/>
          <w:caps w:val="0"/>
          <w:smallCaps w:val="0"/>
          <w:color w:val="auto"/>
          <w:kern w:val="0"/>
          <w:sz w:val="24"/>
          <w:szCs w:val="24"/>
          <w:u w:val="none"/>
          <w:vertAlign w:val="superscript"/>
        </w:rPr>
        <w:t>2</w:t>
      </w:r>
      <w:r>
        <w:rPr>
          <w:rFonts w:ascii="Times New Roman" w:hAnsi="Times New Roman"/>
          <w:caps w:val="0"/>
          <w:smallCaps w:val="0"/>
          <w:color w:val="auto"/>
          <w:kern w:val="0"/>
          <w:sz w:val="24"/>
          <w:szCs w:val="24"/>
          <w:u w:val="none"/>
        </w:rPr>
        <w:t>，总建筑面积</w:t>
      </w:r>
      <w:r>
        <w:rPr>
          <w:rFonts w:hint="eastAsia" w:ascii="Times New Roman" w:hAnsi="Times New Roman"/>
          <w:caps w:val="0"/>
          <w:smallCaps w:val="0"/>
          <w:color w:val="auto"/>
          <w:kern w:val="0"/>
          <w:sz w:val="24"/>
          <w:szCs w:val="24"/>
          <w:u w:val="none"/>
          <w:lang w:val="en-US" w:eastAsia="zh-CN"/>
        </w:rPr>
        <w:t>7729.98</w:t>
      </w:r>
      <w:r>
        <w:rPr>
          <w:rFonts w:ascii="Times New Roman" w:hAnsi="Times New Roman"/>
          <w:caps w:val="0"/>
          <w:smallCaps w:val="0"/>
          <w:color w:val="auto"/>
          <w:kern w:val="0"/>
          <w:sz w:val="24"/>
          <w:szCs w:val="24"/>
          <w:u w:val="none"/>
        </w:rPr>
        <w:t>m</w:t>
      </w:r>
      <w:r>
        <w:rPr>
          <w:rFonts w:ascii="Times New Roman" w:hAnsi="Times New Roman"/>
          <w:caps w:val="0"/>
          <w:smallCaps w:val="0"/>
          <w:color w:val="auto"/>
          <w:kern w:val="0"/>
          <w:sz w:val="24"/>
          <w:szCs w:val="24"/>
          <w:u w:val="none"/>
          <w:vertAlign w:val="superscript"/>
        </w:rPr>
        <w:t>2</w:t>
      </w:r>
      <w:r>
        <w:rPr>
          <w:rFonts w:hint="eastAsia" w:ascii="Times New Roman" w:hAnsi="Times New Roman"/>
          <w:caps w:val="0"/>
          <w:smallCaps w:val="0"/>
          <w:color w:val="auto"/>
          <w:kern w:val="0"/>
          <w:sz w:val="24"/>
          <w:szCs w:val="24"/>
          <w:u w:val="none"/>
          <w:lang w:eastAsia="zh-CN"/>
        </w:rPr>
        <w:t>，</w:t>
      </w:r>
      <w:r>
        <w:rPr>
          <w:rFonts w:hint="eastAsia" w:ascii="Times New Roman" w:hAnsi="Times New Roman"/>
          <w:caps w:val="0"/>
          <w:smallCaps w:val="0"/>
          <w:color w:val="auto"/>
          <w:kern w:val="0"/>
          <w:sz w:val="24"/>
          <w:szCs w:val="24"/>
          <w:u w:val="none"/>
          <w:lang w:val="en-US" w:eastAsia="zh-CN"/>
        </w:rPr>
        <w:t>本次项目在主要利用一期生产设施进行技术改造，不新增用地和新建车间。</w:t>
      </w:r>
      <w:r>
        <w:rPr>
          <w:rFonts w:hint="eastAsia"/>
          <w:caps w:val="0"/>
          <w:smallCaps w:val="0"/>
          <w:color w:val="auto"/>
          <w:kern w:val="0"/>
          <w:sz w:val="24"/>
          <w:szCs w:val="24"/>
          <w:u w:val="none"/>
          <w:lang w:val="en-US" w:eastAsia="zh-CN"/>
        </w:rPr>
        <w:t>公司</w:t>
      </w:r>
      <w:r>
        <w:rPr>
          <w:rFonts w:ascii="Times New Roman" w:hAnsi="Times New Roman"/>
          <w:caps w:val="0"/>
          <w:smallCaps w:val="0"/>
          <w:color w:val="auto"/>
          <w:kern w:val="0"/>
          <w:sz w:val="24"/>
          <w:szCs w:val="24"/>
          <w:u w:val="none"/>
        </w:rPr>
        <w:t>项目主要建筑技术指标详见表</w:t>
      </w:r>
      <w:r>
        <w:rPr>
          <w:rFonts w:hint="eastAsia"/>
          <w:caps w:val="0"/>
          <w:smallCaps w:val="0"/>
          <w:color w:val="auto"/>
          <w:kern w:val="0"/>
          <w:sz w:val="24"/>
          <w:szCs w:val="24"/>
          <w:u w:val="none"/>
          <w:lang w:val="en-US" w:eastAsia="zh-CN"/>
        </w:rPr>
        <w:t>4.2-2</w:t>
      </w:r>
      <w:r>
        <w:rPr>
          <w:rFonts w:ascii="Times New Roman" w:hAnsi="Times New Roman"/>
          <w:caps w:val="0"/>
          <w:smallCaps w:val="0"/>
          <w:color w:val="auto"/>
          <w:kern w:val="0"/>
          <w:sz w:val="24"/>
          <w:szCs w:val="24"/>
          <w:u w:val="none"/>
        </w:rPr>
        <w:t>。</w:t>
      </w:r>
    </w:p>
    <w:p>
      <w:pPr>
        <w:pStyle w:val="36"/>
        <w:bidi w:val="0"/>
        <w:rPr>
          <w:color w:val="auto"/>
        </w:rPr>
      </w:pPr>
      <w:r>
        <w:rPr>
          <w:color w:val="auto"/>
        </w:rPr>
        <w:t>表</w:t>
      </w:r>
      <w:r>
        <w:rPr>
          <w:rFonts w:hint="eastAsia"/>
          <w:color w:val="auto"/>
          <w:lang w:val="en-US" w:eastAsia="zh-CN"/>
        </w:rPr>
        <w:t xml:space="preserve">4.2-2 </w:t>
      </w:r>
      <w:r>
        <w:rPr>
          <w:rFonts w:hint="eastAsia"/>
          <w:color w:val="auto"/>
        </w:rPr>
        <w:t xml:space="preserve"> </w:t>
      </w:r>
      <w:r>
        <w:rPr>
          <w:color w:val="auto"/>
        </w:rPr>
        <w:t>项目主要建筑技术指标一览表</w:t>
      </w:r>
    </w:p>
    <w:tbl>
      <w:tblPr>
        <w:tblStyle w:val="27"/>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1767"/>
        <w:gridCol w:w="1194"/>
        <w:gridCol w:w="1187"/>
        <w:gridCol w:w="1187"/>
        <w:gridCol w:w="1360"/>
        <w:gridCol w:w="962"/>
        <w:gridCol w:w="12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tblHeader/>
          <w:jc w:val="center"/>
        </w:trPr>
        <w:tc>
          <w:tcPr>
            <w:tcW w:w="317" w:type="pct"/>
            <w:tcBorders>
              <w:tl2br w:val="nil"/>
              <w:tr2bl w:val="nil"/>
            </w:tcBorders>
            <w:noWrap w:val="0"/>
            <w:vAlign w:val="center"/>
          </w:tcPr>
          <w:p>
            <w:pPr>
              <w:pStyle w:val="35"/>
              <w:bidi w:val="0"/>
              <w:rPr>
                <w:rFonts w:hint="eastAsia"/>
                <w:b/>
                <w:bCs/>
                <w:color w:val="auto"/>
                <w:lang w:eastAsia="zh-CN"/>
              </w:rPr>
            </w:pPr>
            <w:r>
              <w:rPr>
                <w:rFonts w:hint="eastAsia"/>
                <w:b/>
                <w:bCs/>
                <w:color w:val="auto"/>
                <w:lang w:eastAsia="zh-CN"/>
              </w:rPr>
              <w:t>序号</w:t>
            </w:r>
          </w:p>
        </w:tc>
        <w:tc>
          <w:tcPr>
            <w:tcW w:w="929" w:type="pct"/>
            <w:tcBorders>
              <w:tl2br w:val="nil"/>
              <w:tr2bl w:val="nil"/>
            </w:tcBorders>
            <w:noWrap w:val="0"/>
            <w:vAlign w:val="center"/>
          </w:tcPr>
          <w:p>
            <w:pPr>
              <w:pStyle w:val="35"/>
              <w:bidi w:val="0"/>
              <w:rPr>
                <w:rFonts w:hint="eastAsia"/>
                <w:b/>
                <w:bCs/>
                <w:color w:val="auto"/>
                <w:lang w:eastAsia="zh-CN"/>
              </w:rPr>
            </w:pPr>
            <w:r>
              <w:rPr>
                <w:rFonts w:hint="eastAsia"/>
                <w:b/>
                <w:bCs/>
                <w:color w:val="auto"/>
                <w:lang w:eastAsia="zh-CN"/>
              </w:rPr>
              <w:t>名称</w:t>
            </w:r>
          </w:p>
        </w:tc>
        <w:tc>
          <w:tcPr>
            <w:tcW w:w="628" w:type="pct"/>
            <w:tcBorders>
              <w:tl2br w:val="nil"/>
              <w:tr2bl w:val="nil"/>
            </w:tcBorders>
            <w:noWrap w:val="0"/>
            <w:vAlign w:val="center"/>
          </w:tcPr>
          <w:p>
            <w:pPr>
              <w:pStyle w:val="35"/>
              <w:bidi w:val="0"/>
              <w:rPr>
                <w:rFonts w:hint="eastAsia"/>
                <w:b/>
                <w:bCs/>
                <w:color w:val="auto"/>
                <w:lang w:eastAsia="zh-CN"/>
              </w:rPr>
            </w:pPr>
            <w:r>
              <w:rPr>
                <w:rFonts w:hint="eastAsia"/>
                <w:b/>
                <w:bCs/>
                <w:color w:val="auto"/>
                <w:lang w:eastAsia="zh-CN"/>
              </w:rPr>
              <w:t>结构形式</w:t>
            </w:r>
          </w:p>
        </w:tc>
        <w:tc>
          <w:tcPr>
            <w:tcW w:w="624" w:type="pct"/>
            <w:tcBorders>
              <w:tl2br w:val="nil"/>
              <w:tr2bl w:val="nil"/>
            </w:tcBorders>
            <w:noWrap w:val="0"/>
            <w:vAlign w:val="center"/>
          </w:tcPr>
          <w:p>
            <w:pPr>
              <w:pStyle w:val="35"/>
              <w:bidi w:val="0"/>
              <w:rPr>
                <w:b/>
                <w:bCs/>
                <w:color w:val="auto"/>
              </w:rPr>
            </w:pPr>
            <w:r>
              <w:rPr>
                <w:rFonts w:hint="eastAsia"/>
                <w:b/>
                <w:bCs/>
                <w:color w:val="auto"/>
                <w:lang w:eastAsia="zh-CN"/>
              </w:rPr>
              <w:t>占地</w:t>
            </w:r>
            <w:r>
              <w:rPr>
                <w:b/>
                <w:bCs/>
                <w:color w:val="auto"/>
              </w:rPr>
              <w:t>面积</w:t>
            </w:r>
            <w:r>
              <w:rPr>
                <w:rFonts w:ascii="Times New Roman" w:hAnsi="Times New Roman"/>
                <w:b/>
                <w:bCs/>
                <w:caps w:val="0"/>
                <w:smallCaps w:val="0"/>
                <w:color w:val="auto"/>
                <w:kern w:val="0"/>
                <w:sz w:val="24"/>
                <w:szCs w:val="24"/>
                <w:u w:val="none"/>
              </w:rPr>
              <w:t>m</w:t>
            </w:r>
            <w:r>
              <w:rPr>
                <w:rFonts w:ascii="Times New Roman" w:hAnsi="Times New Roman"/>
                <w:b/>
                <w:bCs/>
                <w:caps w:val="0"/>
                <w:smallCaps w:val="0"/>
                <w:color w:val="auto"/>
                <w:kern w:val="0"/>
                <w:sz w:val="24"/>
                <w:szCs w:val="24"/>
                <w:u w:val="none"/>
                <w:vertAlign w:val="superscript"/>
              </w:rPr>
              <w:t>2</w:t>
            </w:r>
          </w:p>
        </w:tc>
        <w:tc>
          <w:tcPr>
            <w:tcW w:w="624" w:type="pct"/>
            <w:tcBorders>
              <w:tl2br w:val="nil"/>
              <w:tr2bl w:val="nil"/>
            </w:tcBorders>
            <w:noWrap w:val="0"/>
            <w:vAlign w:val="center"/>
          </w:tcPr>
          <w:p>
            <w:pPr>
              <w:pStyle w:val="35"/>
              <w:bidi w:val="0"/>
              <w:rPr>
                <w:rFonts w:hint="eastAsia"/>
                <w:b/>
                <w:bCs/>
                <w:color w:val="auto"/>
                <w:lang w:eastAsia="zh-CN"/>
              </w:rPr>
            </w:pPr>
            <w:r>
              <w:rPr>
                <w:rFonts w:hint="eastAsia"/>
                <w:b/>
                <w:bCs/>
                <w:color w:val="auto"/>
                <w:lang w:eastAsia="zh-CN"/>
              </w:rPr>
              <w:t>建筑面积</w:t>
            </w:r>
            <w:r>
              <w:rPr>
                <w:rFonts w:ascii="Times New Roman" w:hAnsi="Times New Roman"/>
                <w:b/>
                <w:bCs/>
                <w:caps w:val="0"/>
                <w:smallCaps w:val="0"/>
                <w:color w:val="auto"/>
                <w:kern w:val="0"/>
                <w:sz w:val="24"/>
                <w:szCs w:val="24"/>
                <w:u w:val="none"/>
              </w:rPr>
              <w:t>m</w:t>
            </w:r>
            <w:r>
              <w:rPr>
                <w:rFonts w:ascii="Times New Roman" w:hAnsi="Times New Roman"/>
                <w:b/>
                <w:bCs/>
                <w:caps w:val="0"/>
                <w:smallCaps w:val="0"/>
                <w:color w:val="auto"/>
                <w:kern w:val="0"/>
                <w:sz w:val="24"/>
                <w:szCs w:val="24"/>
                <w:u w:val="none"/>
                <w:vertAlign w:val="superscript"/>
              </w:rPr>
              <w:t>2</w:t>
            </w:r>
          </w:p>
        </w:tc>
        <w:tc>
          <w:tcPr>
            <w:tcW w:w="715" w:type="pct"/>
            <w:tcBorders>
              <w:tl2br w:val="nil"/>
              <w:tr2bl w:val="nil"/>
            </w:tcBorders>
            <w:noWrap w:val="0"/>
            <w:vAlign w:val="center"/>
          </w:tcPr>
          <w:p>
            <w:pPr>
              <w:pStyle w:val="35"/>
              <w:bidi w:val="0"/>
              <w:rPr>
                <w:rFonts w:hint="eastAsia"/>
                <w:b/>
                <w:bCs/>
                <w:color w:val="auto"/>
                <w:lang w:eastAsia="zh-CN"/>
              </w:rPr>
            </w:pPr>
            <w:r>
              <w:rPr>
                <w:rFonts w:hint="eastAsia"/>
                <w:b/>
                <w:bCs/>
                <w:color w:val="auto"/>
                <w:lang w:eastAsia="zh-CN"/>
              </w:rPr>
              <w:t>火灾危险性</w:t>
            </w:r>
          </w:p>
        </w:tc>
        <w:tc>
          <w:tcPr>
            <w:tcW w:w="506" w:type="pct"/>
            <w:tcBorders>
              <w:tl2br w:val="nil"/>
              <w:tr2bl w:val="nil"/>
            </w:tcBorders>
            <w:noWrap w:val="0"/>
            <w:vAlign w:val="center"/>
          </w:tcPr>
          <w:p>
            <w:pPr>
              <w:pStyle w:val="35"/>
              <w:bidi w:val="0"/>
              <w:rPr>
                <w:rFonts w:hint="eastAsia"/>
                <w:b/>
                <w:bCs/>
                <w:color w:val="auto"/>
                <w:lang w:eastAsia="zh-CN"/>
              </w:rPr>
            </w:pPr>
            <w:r>
              <w:rPr>
                <w:rFonts w:hint="eastAsia"/>
                <w:b/>
                <w:bCs/>
                <w:color w:val="auto"/>
                <w:lang w:eastAsia="zh-CN"/>
              </w:rPr>
              <w:t>层数</w:t>
            </w:r>
          </w:p>
        </w:tc>
        <w:tc>
          <w:tcPr>
            <w:tcW w:w="654" w:type="pct"/>
            <w:tcBorders>
              <w:tl2br w:val="nil"/>
              <w:tr2bl w:val="nil"/>
            </w:tcBorders>
            <w:noWrap w:val="0"/>
            <w:vAlign w:val="center"/>
          </w:tcPr>
          <w:p>
            <w:pPr>
              <w:pStyle w:val="35"/>
              <w:bidi w:val="0"/>
              <w:rPr>
                <w:rFonts w:hint="eastAsia"/>
                <w:b/>
                <w:bCs/>
                <w:color w:val="auto"/>
                <w:lang w:eastAsia="zh-CN"/>
              </w:rPr>
            </w:pPr>
            <w:r>
              <w:rPr>
                <w:rFonts w:hint="eastAsia"/>
                <w:b/>
                <w:bCs/>
                <w:color w:val="auto"/>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317" w:type="pct"/>
            <w:tcBorders>
              <w:tl2br w:val="nil"/>
              <w:tr2bl w:val="nil"/>
            </w:tcBorders>
            <w:noWrap w:val="0"/>
            <w:vAlign w:val="center"/>
          </w:tcPr>
          <w:p>
            <w:pPr>
              <w:pStyle w:val="35"/>
              <w:bidi w:val="0"/>
              <w:rPr>
                <w:color w:val="auto"/>
              </w:rPr>
            </w:pPr>
            <w:r>
              <w:rPr>
                <w:color w:val="auto"/>
              </w:rPr>
              <w:t>1</w:t>
            </w:r>
          </w:p>
        </w:tc>
        <w:tc>
          <w:tcPr>
            <w:tcW w:w="929"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2#</w:t>
            </w:r>
            <w:r>
              <w:rPr>
                <w:rFonts w:hint="eastAsia"/>
                <w:color w:val="auto"/>
                <w:lang w:eastAsia="zh-CN"/>
              </w:rPr>
              <w:t>生产车间</w:t>
            </w:r>
          </w:p>
        </w:tc>
        <w:tc>
          <w:tcPr>
            <w:tcW w:w="628"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框架</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455.84</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1089.68</w:t>
            </w:r>
          </w:p>
        </w:tc>
        <w:tc>
          <w:tcPr>
            <w:tcW w:w="715"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甲类</w:t>
            </w:r>
          </w:p>
        </w:tc>
        <w:tc>
          <w:tcPr>
            <w:tcW w:w="506"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2</w:t>
            </w:r>
          </w:p>
        </w:tc>
        <w:tc>
          <w:tcPr>
            <w:tcW w:w="654" w:type="pct"/>
            <w:tcBorders>
              <w:tl2br w:val="nil"/>
              <w:tr2bl w:val="nil"/>
            </w:tcBorders>
            <w:noWrap w:val="0"/>
            <w:vAlign w:val="center"/>
          </w:tcPr>
          <w:p>
            <w:pPr>
              <w:pStyle w:val="35"/>
              <w:bidi w:val="0"/>
              <w:rPr>
                <w:rFonts w:hint="default"/>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317"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2</w:t>
            </w:r>
          </w:p>
        </w:tc>
        <w:tc>
          <w:tcPr>
            <w:tcW w:w="929"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原料仓库</w:t>
            </w:r>
          </w:p>
        </w:tc>
        <w:tc>
          <w:tcPr>
            <w:tcW w:w="628"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框架</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225</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225</w:t>
            </w:r>
          </w:p>
        </w:tc>
        <w:tc>
          <w:tcPr>
            <w:tcW w:w="715"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甲类</w:t>
            </w:r>
          </w:p>
        </w:tc>
        <w:tc>
          <w:tcPr>
            <w:tcW w:w="506"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1</w:t>
            </w:r>
          </w:p>
        </w:tc>
        <w:tc>
          <w:tcPr>
            <w:tcW w:w="654" w:type="pct"/>
            <w:tcBorders>
              <w:tl2br w:val="nil"/>
              <w:tr2bl w:val="nil"/>
            </w:tcBorders>
            <w:noWrap w:val="0"/>
            <w:vAlign w:val="center"/>
          </w:tcPr>
          <w:p>
            <w:pPr>
              <w:pStyle w:val="35"/>
              <w:bidi w:val="0"/>
              <w:rPr>
                <w:rFonts w:hint="eastAsia"/>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317"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3</w:t>
            </w:r>
          </w:p>
        </w:tc>
        <w:tc>
          <w:tcPr>
            <w:tcW w:w="929"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产品仓库</w:t>
            </w:r>
          </w:p>
        </w:tc>
        <w:tc>
          <w:tcPr>
            <w:tcW w:w="628"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框架</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564.8</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1129.6</w:t>
            </w:r>
          </w:p>
        </w:tc>
        <w:tc>
          <w:tcPr>
            <w:tcW w:w="715"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丙类</w:t>
            </w:r>
          </w:p>
        </w:tc>
        <w:tc>
          <w:tcPr>
            <w:tcW w:w="506"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2</w:t>
            </w:r>
          </w:p>
        </w:tc>
        <w:tc>
          <w:tcPr>
            <w:tcW w:w="654" w:type="pct"/>
            <w:tcBorders>
              <w:tl2br w:val="nil"/>
              <w:tr2bl w:val="nil"/>
            </w:tcBorders>
            <w:noWrap w:val="0"/>
            <w:vAlign w:val="center"/>
          </w:tcPr>
          <w:p>
            <w:pPr>
              <w:pStyle w:val="35"/>
              <w:bidi w:val="0"/>
              <w:rPr>
                <w:rFonts w:hint="eastAsia"/>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317"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4</w:t>
            </w:r>
          </w:p>
        </w:tc>
        <w:tc>
          <w:tcPr>
            <w:tcW w:w="929"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1#</w:t>
            </w:r>
            <w:r>
              <w:rPr>
                <w:rFonts w:hint="eastAsia"/>
                <w:color w:val="auto"/>
                <w:lang w:eastAsia="zh-CN"/>
              </w:rPr>
              <w:t>生产车间</w:t>
            </w:r>
          </w:p>
        </w:tc>
        <w:tc>
          <w:tcPr>
            <w:tcW w:w="628"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框架</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334</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936</w:t>
            </w:r>
          </w:p>
        </w:tc>
        <w:tc>
          <w:tcPr>
            <w:tcW w:w="715"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甲类</w:t>
            </w:r>
          </w:p>
        </w:tc>
        <w:tc>
          <w:tcPr>
            <w:tcW w:w="50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3</w:t>
            </w:r>
          </w:p>
        </w:tc>
        <w:tc>
          <w:tcPr>
            <w:tcW w:w="65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本次技改利用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317"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5</w:t>
            </w:r>
          </w:p>
        </w:tc>
        <w:tc>
          <w:tcPr>
            <w:tcW w:w="929"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地面储罐区</w:t>
            </w:r>
          </w:p>
        </w:tc>
        <w:tc>
          <w:tcPr>
            <w:tcW w:w="628" w:type="pct"/>
            <w:tcBorders>
              <w:tl2br w:val="nil"/>
              <w:tr2bl w:val="nil"/>
            </w:tcBorders>
            <w:noWrap w:val="0"/>
            <w:vAlign w:val="center"/>
          </w:tcPr>
          <w:p>
            <w:pPr>
              <w:pStyle w:val="35"/>
              <w:bidi w:val="0"/>
              <w:rPr>
                <w:rFonts w:hint="eastAsia"/>
                <w:color w:val="auto"/>
                <w:lang w:eastAsia="zh-CN"/>
              </w:rPr>
            </w:pPr>
          </w:p>
        </w:tc>
        <w:tc>
          <w:tcPr>
            <w:tcW w:w="62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1694.97</w:t>
            </w:r>
          </w:p>
        </w:tc>
        <w:tc>
          <w:tcPr>
            <w:tcW w:w="624" w:type="pct"/>
            <w:tcBorders>
              <w:tl2br w:val="nil"/>
              <w:tr2bl w:val="nil"/>
            </w:tcBorders>
            <w:noWrap w:val="0"/>
            <w:vAlign w:val="center"/>
          </w:tcPr>
          <w:p>
            <w:pPr>
              <w:pStyle w:val="35"/>
              <w:bidi w:val="0"/>
              <w:rPr>
                <w:rFonts w:hint="eastAsia"/>
                <w:color w:val="auto"/>
                <w:lang w:val="en-US" w:eastAsia="zh-CN"/>
              </w:rPr>
            </w:pPr>
          </w:p>
        </w:tc>
        <w:tc>
          <w:tcPr>
            <w:tcW w:w="715" w:type="pct"/>
            <w:tcBorders>
              <w:tl2br w:val="nil"/>
              <w:tr2bl w:val="nil"/>
            </w:tcBorders>
            <w:noWrap w:val="0"/>
            <w:vAlign w:val="center"/>
          </w:tcPr>
          <w:p>
            <w:pPr>
              <w:pStyle w:val="35"/>
              <w:bidi w:val="0"/>
              <w:rPr>
                <w:rFonts w:hint="eastAsia"/>
                <w:color w:val="auto"/>
                <w:lang w:val="en-US" w:eastAsia="zh-CN"/>
              </w:rPr>
            </w:pPr>
            <w:r>
              <w:rPr>
                <w:rFonts w:hint="eastAsia"/>
                <w:color w:val="auto"/>
                <w:lang w:eastAsia="zh-CN"/>
              </w:rPr>
              <w:t>甲类</w:t>
            </w:r>
          </w:p>
        </w:tc>
        <w:tc>
          <w:tcPr>
            <w:tcW w:w="506" w:type="pct"/>
            <w:tcBorders>
              <w:tl2br w:val="nil"/>
              <w:tr2bl w:val="nil"/>
            </w:tcBorders>
            <w:noWrap w:val="0"/>
            <w:vAlign w:val="center"/>
          </w:tcPr>
          <w:p>
            <w:pPr>
              <w:pStyle w:val="35"/>
              <w:bidi w:val="0"/>
              <w:rPr>
                <w:rFonts w:hint="eastAsia"/>
                <w:color w:val="auto"/>
                <w:lang w:val="en-US" w:eastAsia="zh-CN"/>
              </w:rPr>
            </w:pPr>
          </w:p>
        </w:tc>
        <w:tc>
          <w:tcPr>
            <w:tcW w:w="65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本次技改利用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317"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6</w:t>
            </w:r>
          </w:p>
        </w:tc>
        <w:tc>
          <w:tcPr>
            <w:tcW w:w="929"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装卸区</w:t>
            </w:r>
          </w:p>
        </w:tc>
        <w:tc>
          <w:tcPr>
            <w:tcW w:w="628" w:type="pct"/>
            <w:tcBorders>
              <w:tl2br w:val="nil"/>
              <w:tr2bl w:val="nil"/>
            </w:tcBorders>
            <w:noWrap w:val="0"/>
            <w:vAlign w:val="center"/>
          </w:tcPr>
          <w:p>
            <w:pPr>
              <w:pStyle w:val="35"/>
              <w:bidi w:val="0"/>
              <w:rPr>
                <w:rFonts w:hint="eastAsia"/>
                <w:color w:val="auto"/>
                <w:lang w:eastAsia="zh-CN"/>
              </w:rPr>
            </w:pPr>
          </w:p>
        </w:tc>
        <w:tc>
          <w:tcPr>
            <w:tcW w:w="62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389.5</w:t>
            </w:r>
          </w:p>
        </w:tc>
        <w:tc>
          <w:tcPr>
            <w:tcW w:w="624" w:type="pct"/>
            <w:tcBorders>
              <w:tl2br w:val="nil"/>
              <w:tr2bl w:val="nil"/>
            </w:tcBorders>
            <w:noWrap w:val="0"/>
            <w:vAlign w:val="center"/>
          </w:tcPr>
          <w:p>
            <w:pPr>
              <w:pStyle w:val="35"/>
              <w:bidi w:val="0"/>
              <w:rPr>
                <w:rFonts w:hint="eastAsia"/>
                <w:color w:val="auto"/>
                <w:lang w:val="en-US" w:eastAsia="zh-CN"/>
              </w:rPr>
            </w:pPr>
          </w:p>
        </w:tc>
        <w:tc>
          <w:tcPr>
            <w:tcW w:w="715" w:type="pct"/>
            <w:tcBorders>
              <w:tl2br w:val="nil"/>
              <w:tr2bl w:val="nil"/>
            </w:tcBorders>
            <w:noWrap w:val="0"/>
            <w:vAlign w:val="center"/>
          </w:tcPr>
          <w:p>
            <w:pPr>
              <w:pStyle w:val="35"/>
              <w:bidi w:val="0"/>
              <w:rPr>
                <w:rFonts w:hint="eastAsia"/>
                <w:color w:val="auto"/>
                <w:lang w:val="en-US" w:eastAsia="zh-CN"/>
              </w:rPr>
            </w:pPr>
          </w:p>
        </w:tc>
        <w:tc>
          <w:tcPr>
            <w:tcW w:w="506" w:type="pct"/>
            <w:tcBorders>
              <w:tl2br w:val="nil"/>
              <w:tr2bl w:val="nil"/>
            </w:tcBorders>
            <w:noWrap w:val="0"/>
            <w:vAlign w:val="center"/>
          </w:tcPr>
          <w:p>
            <w:pPr>
              <w:pStyle w:val="35"/>
              <w:bidi w:val="0"/>
              <w:rPr>
                <w:rFonts w:hint="eastAsia"/>
                <w:color w:val="auto"/>
                <w:lang w:val="en-US" w:eastAsia="zh-CN"/>
              </w:rPr>
            </w:pPr>
          </w:p>
        </w:tc>
        <w:tc>
          <w:tcPr>
            <w:tcW w:w="654" w:type="pct"/>
            <w:tcBorders>
              <w:tl2br w:val="nil"/>
              <w:tr2bl w:val="nil"/>
            </w:tcBorders>
            <w:noWrap w:val="0"/>
            <w:vAlign w:val="center"/>
          </w:tcPr>
          <w:p>
            <w:pPr>
              <w:pStyle w:val="35"/>
              <w:bidi w:val="0"/>
              <w:rPr>
                <w:rFonts w:hint="eastAsia"/>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602" w:type="dxa"/>
            <w:tcBorders>
              <w:tl2br w:val="nil"/>
              <w:tr2bl w:val="nil"/>
            </w:tcBorders>
            <w:noWrap w:val="0"/>
            <w:vAlign w:val="center"/>
          </w:tcPr>
          <w:p>
            <w:pPr>
              <w:pStyle w:val="35"/>
              <w:bidi w:val="0"/>
              <w:ind w:firstLine="0" w:firstLineChars="0"/>
              <w:rPr>
                <w:rFonts w:hint="eastAsia"/>
                <w:color w:val="auto"/>
                <w:lang w:eastAsia="zh-CN"/>
              </w:rPr>
            </w:pPr>
            <w:r>
              <w:rPr>
                <w:rFonts w:hint="eastAsia"/>
                <w:color w:val="auto"/>
                <w:lang w:val="en-US" w:eastAsia="zh-CN"/>
              </w:rPr>
              <w:t>7</w:t>
            </w:r>
          </w:p>
        </w:tc>
        <w:tc>
          <w:tcPr>
            <w:tcW w:w="929"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辅助生产用房</w:t>
            </w:r>
          </w:p>
        </w:tc>
        <w:tc>
          <w:tcPr>
            <w:tcW w:w="628" w:type="pct"/>
            <w:tcBorders>
              <w:tl2br w:val="nil"/>
              <w:tr2bl w:val="nil"/>
            </w:tcBorders>
            <w:noWrap w:val="0"/>
            <w:vAlign w:val="center"/>
          </w:tcPr>
          <w:p>
            <w:pPr>
              <w:pStyle w:val="35"/>
              <w:bidi w:val="0"/>
              <w:rPr>
                <w:color w:val="auto"/>
              </w:rPr>
            </w:pPr>
            <w:r>
              <w:rPr>
                <w:rFonts w:hint="eastAsia"/>
                <w:color w:val="auto"/>
                <w:lang w:eastAsia="zh-CN"/>
              </w:rPr>
              <w:t>框架</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104.5</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104.5</w:t>
            </w:r>
          </w:p>
        </w:tc>
        <w:tc>
          <w:tcPr>
            <w:tcW w:w="715" w:type="pct"/>
            <w:tcBorders>
              <w:tl2br w:val="nil"/>
              <w:tr2bl w:val="nil"/>
            </w:tcBorders>
            <w:noWrap w:val="0"/>
            <w:vAlign w:val="center"/>
          </w:tcPr>
          <w:p>
            <w:pPr>
              <w:pStyle w:val="35"/>
              <w:bidi w:val="0"/>
              <w:rPr>
                <w:rFonts w:hint="eastAsia"/>
                <w:color w:val="auto"/>
                <w:lang w:val="en-US" w:eastAsia="zh-CN"/>
              </w:rPr>
            </w:pPr>
          </w:p>
        </w:tc>
        <w:tc>
          <w:tcPr>
            <w:tcW w:w="50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1</w:t>
            </w:r>
          </w:p>
        </w:tc>
        <w:tc>
          <w:tcPr>
            <w:tcW w:w="654" w:type="pct"/>
            <w:tcBorders>
              <w:tl2br w:val="nil"/>
              <w:tr2bl w:val="nil"/>
            </w:tcBorders>
            <w:noWrap w:val="0"/>
            <w:vAlign w:val="center"/>
          </w:tcPr>
          <w:p>
            <w:pPr>
              <w:pStyle w:val="35"/>
              <w:bidi w:val="0"/>
              <w:rPr>
                <w:rFonts w:hint="eastAsia"/>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602" w:type="dxa"/>
            <w:tcBorders>
              <w:tl2br w:val="nil"/>
              <w:tr2bl w:val="nil"/>
            </w:tcBorders>
            <w:noWrap w:val="0"/>
            <w:vAlign w:val="center"/>
          </w:tcPr>
          <w:p>
            <w:pPr>
              <w:pStyle w:val="35"/>
              <w:bidi w:val="0"/>
              <w:ind w:firstLine="0" w:firstLineChars="0"/>
              <w:rPr>
                <w:rFonts w:hint="eastAsia"/>
                <w:color w:val="auto"/>
                <w:lang w:eastAsia="zh-CN"/>
              </w:rPr>
            </w:pPr>
            <w:r>
              <w:rPr>
                <w:rFonts w:hint="eastAsia"/>
                <w:color w:val="auto"/>
                <w:lang w:val="en-US" w:eastAsia="zh-CN"/>
              </w:rPr>
              <w:t>8</w:t>
            </w:r>
          </w:p>
        </w:tc>
        <w:tc>
          <w:tcPr>
            <w:tcW w:w="929"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危险废物暂存间</w:t>
            </w:r>
          </w:p>
        </w:tc>
        <w:tc>
          <w:tcPr>
            <w:tcW w:w="628"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框架</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154.5</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154.5</w:t>
            </w:r>
          </w:p>
        </w:tc>
        <w:tc>
          <w:tcPr>
            <w:tcW w:w="715" w:type="pct"/>
            <w:tcBorders>
              <w:tl2br w:val="nil"/>
              <w:tr2bl w:val="nil"/>
            </w:tcBorders>
            <w:noWrap w:val="0"/>
            <w:vAlign w:val="center"/>
          </w:tcPr>
          <w:p>
            <w:pPr>
              <w:pStyle w:val="35"/>
              <w:bidi w:val="0"/>
              <w:rPr>
                <w:rFonts w:hint="eastAsia"/>
                <w:color w:val="auto"/>
                <w:lang w:val="en-US" w:eastAsia="zh-CN"/>
              </w:rPr>
            </w:pPr>
          </w:p>
        </w:tc>
        <w:tc>
          <w:tcPr>
            <w:tcW w:w="50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1</w:t>
            </w:r>
          </w:p>
        </w:tc>
        <w:tc>
          <w:tcPr>
            <w:tcW w:w="654" w:type="pct"/>
            <w:tcBorders>
              <w:tl2br w:val="nil"/>
              <w:tr2bl w:val="nil"/>
            </w:tcBorders>
            <w:noWrap w:val="0"/>
            <w:vAlign w:val="center"/>
          </w:tcPr>
          <w:p>
            <w:pPr>
              <w:pStyle w:val="35"/>
              <w:bidi w:val="0"/>
              <w:rPr>
                <w:rFonts w:hint="eastAsia"/>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602" w:type="dxa"/>
            <w:tcBorders>
              <w:tl2br w:val="nil"/>
              <w:tr2bl w:val="nil"/>
            </w:tcBorders>
            <w:noWrap w:val="0"/>
            <w:vAlign w:val="center"/>
          </w:tcPr>
          <w:p>
            <w:pPr>
              <w:pStyle w:val="35"/>
              <w:bidi w:val="0"/>
              <w:ind w:firstLine="0" w:firstLineChars="0"/>
              <w:rPr>
                <w:rFonts w:hint="eastAsia"/>
                <w:color w:val="auto"/>
                <w:lang w:eastAsia="zh-CN"/>
              </w:rPr>
            </w:pPr>
            <w:r>
              <w:rPr>
                <w:rFonts w:hint="eastAsia"/>
                <w:color w:val="auto"/>
                <w:lang w:val="en-US" w:eastAsia="zh-CN"/>
              </w:rPr>
              <w:t>9</w:t>
            </w:r>
          </w:p>
        </w:tc>
        <w:tc>
          <w:tcPr>
            <w:tcW w:w="929"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事故处理池</w:t>
            </w:r>
          </w:p>
        </w:tc>
        <w:tc>
          <w:tcPr>
            <w:tcW w:w="628" w:type="pct"/>
            <w:tcBorders>
              <w:tl2br w:val="nil"/>
              <w:tr2bl w:val="nil"/>
            </w:tcBorders>
            <w:noWrap w:val="0"/>
            <w:vAlign w:val="center"/>
          </w:tcPr>
          <w:p>
            <w:pPr>
              <w:pStyle w:val="35"/>
              <w:bidi w:val="0"/>
              <w:rPr>
                <w:color w:val="auto"/>
              </w:rPr>
            </w:pP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120</w:t>
            </w:r>
          </w:p>
        </w:tc>
        <w:tc>
          <w:tcPr>
            <w:tcW w:w="624" w:type="pct"/>
            <w:tcBorders>
              <w:tl2br w:val="nil"/>
              <w:tr2bl w:val="nil"/>
            </w:tcBorders>
            <w:noWrap w:val="0"/>
            <w:vAlign w:val="center"/>
          </w:tcPr>
          <w:p>
            <w:pPr>
              <w:pStyle w:val="35"/>
              <w:bidi w:val="0"/>
              <w:rPr>
                <w:color w:val="auto"/>
              </w:rPr>
            </w:pPr>
          </w:p>
        </w:tc>
        <w:tc>
          <w:tcPr>
            <w:tcW w:w="715" w:type="pct"/>
            <w:tcBorders>
              <w:tl2br w:val="nil"/>
              <w:tr2bl w:val="nil"/>
            </w:tcBorders>
            <w:noWrap w:val="0"/>
            <w:vAlign w:val="center"/>
          </w:tcPr>
          <w:p>
            <w:pPr>
              <w:pStyle w:val="35"/>
              <w:bidi w:val="0"/>
              <w:rPr>
                <w:color w:val="auto"/>
              </w:rPr>
            </w:pPr>
          </w:p>
        </w:tc>
        <w:tc>
          <w:tcPr>
            <w:tcW w:w="506" w:type="pct"/>
            <w:tcBorders>
              <w:tl2br w:val="nil"/>
              <w:tr2bl w:val="nil"/>
            </w:tcBorders>
            <w:noWrap w:val="0"/>
            <w:vAlign w:val="center"/>
          </w:tcPr>
          <w:p>
            <w:pPr>
              <w:pStyle w:val="35"/>
              <w:bidi w:val="0"/>
              <w:rPr>
                <w:color w:val="auto"/>
              </w:rPr>
            </w:pPr>
          </w:p>
        </w:tc>
        <w:tc>
          <w:tcPr>
            <w:tcW w:w="654" w:type="pct"/>
            <w:tcBorders>
              <w:tl2br w:val="nil"/>
              <w:tr2bl w:val="nil"/>
            </w:tcBorders>
            <w:noWrap w:val="0"/>
            <w:vAlign w:val="center"/>
          </w:tcPr>
          <w:p>
            <w:pPr>
              <w:pStyle w:val="35"/>
              <w:bidi w:val="0"/>
              <w:rPr>
                <w:rFonts w:hint="eastAsia"/>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602" w:type="dxa"/>
            <w:tcBorders>
              <w:tl2br w:val="nil"/>
              <w:tr2bl w:val="nil"/>
            </w:tcBorders>
            <w:noWrap w:val="0"/>
            <w:vAlign w:val="center"/>
          </w:tcPr>
          <w:p>
            <w:pPr>
              <w:pStyle w:val="35"/>
              <w:bidi w:val="0"/>
              <w:ind w:firstLine="0" w:firstLineChars="0"/>
              <w:rPr>
                <w:rFonts w:hint="eastAsia"/>
                <w:color w:val="auto"/>
                <w:lang w:eastAsia="zh-CN"/>
              </w:rPr>
            </w:pPr>
            <w:r>
              <w:rPr>
                <w:rFonts w:hint="eastAsia"/>
                <w:color w:val="auto"/>
                <w:lang w:val="en-US" w:eastAsia="zh-CN"/>
              </w:rPr>
              <w:t>10</w:t>
            </w:r>
          </w:p>
        </w:tc>
        <w:tc>
          <w:tcPr>
            <w:tcW w:w="929"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消防水池</w:t>
            </w:r>
          </w:p>
        </w:tc>
        <w:tc>
          <w:tcPr>
            <w:tcW w:w="628" w:type="pct"/>
            <w:tcBorders>
              <w:tl2br w:val="nil"/>
              <w:tr2bl w:val="nil"/>
            </w:tcBorders>
            <w:noWrap w:val="0"/>
            <w:vAlign w:val="center"/>
          </w:tcPr>
          <w:p>
            <w:pPr>
              <w:pStyle w:val="35"/>
              <w:bidi w:val="0"/>
              <w:rPr>
                <w:color w:val="auto"/>
              </w:rPr>
            </w:pPr>
          </w:p>
        </w:tc>
        <w:tc>
          <w:tcPr>
            <w:tcW w:w="624" w:type="pct"/>
            <w:tcBorders>
              <w:tl2br w:val="nil"/>
              <w:tr2bl w:val="nil"/>
            </w:tcBorders>
            <w:noWrap w:val="0"/>
            <w:vAlign w:val="center"/>
          </w:tcPr>
          <w:p>
            <w:pPr>
              <w:pStyle w:val="35"/>
              <w:bidi w:val="0"/>
              <w:rPr>
                <w:rFonts w:hint="eastAsia"/>
                <w:color w:val="auto"/>
              </w:rPr>
            </w:pPr>
            <w:r>
              <w:rPr>
                <w:rFonts w:hint="eastAsia"/>
                <w:color w:val="auto"/>
              </w:rPr>
              <w:t>160</w:t>
            </w:r>
          </w:p>
        </w:tc>
        <w:tc>
          <w:tcPr>
            <w:tcW w:w="624" w:type="pct"/>
            <w:tcBorders>
              <w:tl2br w:val="nil"/>
              <w:tr2bl w:val="nil"/>
            </w:tcBorders>
            <w:noWrap w:val="0"/>
            <w:vAlign w:val="center"/>
          </w:tcPr>
          <w:p>
            <w:pPr>
              <w:pStyle w:val="35"/>
              <w:bidi w:val="0"/>
              <w:rPr>
                <w:color w:val="auto"/>
              </w:rPr>
            </w:pPr>
          </w:p>
        </w:tc>
        <w:tc>
          <w:tcPr>
            <w:tcW w:w="715" w:type="pct"/>
            <w:tcBorders>
              <w:tl2br w:val="nil"/>
              <w:tr2bl w:val="nil"/>
            </w:tcBorders>
            <w:noWrap w:val="0"/>
            <w:vAlign w:val="center"/>
          </w:tcPr>
          <w:p>
            <w:pPr>
              <w:pStyle w:val="35"/>
              <w:bidi w:val="0"/>
              <w:rPr>
                <w:color w:val="auto"/>
              </w:rPr>
            </w:pPr>
          </w:p>
        </w:tc>
        <w:tc>
          <w:tcPr>
            <w:tcW w:w="506" w:type="pct"/>
            <w:tcBorders>
              <w:tl2br w:val="nil"/>
              <w:tr2bl w:val="nil"/>
            </w:tcBorders>
            <w:noWrap w:val="0"/>
            <w:vAlign w:val="center"/>
          </w:tcPr>
          <w:p>
            <w:pPr>
              <w:pStyle w:val="35"/>
              <w:bidi w:val="0"/>
              <w:rPr>
                <w:color w:val="auto"/>
              </w:rPr>
            </w:pPr>
          </w:p>
        </w:tc>
        <w:tc>
          <w:tcPr>
            <w:tcW w:w="654" w:type="pct"/>
            <w:tcBorders>
              <w:tl2br w:val="nil"/>
              <w:tr2bl w:val="nil"/>
            </w:tcBorders>
            <w:noWrap w:val="0"/>
            <w:vAlign w:val="center"/>
          </w:tcPr>
          <w:p>
            <w:pPr>
              <w:pStyle w:val="35"/>
              <w:bidi w:val="0"/>
              <w:rPr>
                <w:rFonts w:hint="eastAsia"/>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602" w:type="dxa"/>
            <w:tcBorders>
              <w:tl2br w:val="nil"/>
              <w:tr2bl w:val="nil"/>
            </w:tcBorders>
            <w:noWrap w:val="0"/>
            <w:vAlign w:val="center"/>
          </w:tcPr>
          <w:p>
            <w:pPr>
              <w:pStyle w:val="35"/>
              <w:bidi w:val="0"/>
              <w:ind w:firstLine="0" w:firstLineChars="0"/>
              <w:rPr>
                <w:rFonts w:hint="eastAsia"/>
                <w:color w:val="auto"/>
                <w:lang w:eastAsia="zh-CN"/>
              </w:rPr>
            </w:pPr>
            <w:r>
              <w:rPr>
                <w:rFonts w:hint="eastAsia"/>
                <w:color w:val="auto"/>
                <w:lang w:val="en-US" w:eastAsia="zh-CN"/>
              </w:rPr>
              <w:t>11</w:t>
            </w:r>
          </w:p>
        </w:tc>
        <w:tc>
          <w:tcPr>
            <w:tcW w:w="929"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污水处理池</w:t>
            </w:r>
          </w:p>
        </w:tc>
        <w:tc>
          <w:tcPr>
            <w:tcW w:w="628" w:type="pct"/>
            <w:tcBorders>
              <w:tl2br w:val="nil"/>
              <w:tr2bl w:val="nil"/>
            </w:tcBorders>
            <w:noWrap w:val="0"/>
            <w:vAlign w:val="center"/>
          </w:tcPr>
          <w:p>
            <w:pPr>
              <w:pStyle w:val="35"/>
              <w:bidi w:val="0"/>
              <w:rPr>
                <w:color w:val="auto"/>
              </w:rPr>
            </w:pPr>
          </w:p>
        </w:tc>
        <w:tc>
          <w:tcPr>
            <w:tcW w:w="62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40</w:t>
            </w:r>
          </w:p>
        </w:tc>
        <w:tc>
          <w:tcPr>
            <w:tcW w:w="624" w:type="pct"/>
            <w:tcBorders>
              <w:tl2br w:val="nil"/>
              <w:tr2bl w:val="nil"/>
            </w:tcBorders>
            <w:noWrap w:val="0"/>
            <w:vAlign w:val="center"/>
          </w:tcPr>
          <w:p>
            <w:pPr>
              <w:pStyle w:val="35"/>
              <w:bidi w:val="0"/>
              <w:rPr>
                <w:color w:val="auto"/>
              </w:rPr>
            </w:pPr>
          </w:p>
        </w:tc>
        <w:tc>
          <w:tcPr>
            <w:tcW w:w="715" w:type="pct"/>
            <w:tcBorders>
              <w:tl2br w:val="nil"/>
              <w:tr2bl w:val="nil"/>
            </w:tcBorders>
            <w:noWrap w:val="0"/>
            <w:vAlign w:val="center"/>
          </w:tcPr>
          <w:p>
            <w:pPr>
              <w:pStyle w:val="35"/>
              <w:bidi w:val="0"/>
              <w:rPr>
                <w:color w:val="auto"/>
              </w:rPr>
            </w:pPr>
          </w:p>
        </w:tc>
        <w:tc>
          <w:tcPr>
            <w:tcW w:w="506" w:type="pct"/>
            <w:tcBorders>
              <w:tl2br w:val="nil"/>
              <w:tr2bl w:val="nil"/>
            </w:tcBorders>
            <w:noWrap w:val="0"/>
            <w:vAlign w:val="center"/>
          </w:tcPr>
          <w:p>
            <w:pPr>
              <w:pStyle w:val="35"/>
              <w:bidi w:val="0"/>
              <w:rPr>
                <w:color w:val="auto"/>
              </w:rPr>
            </w:pPr>
          </w:p>
        </w:tc>
        <w:tc>
          <w:tcPr>
            <w:tcW w:w="654" w:type="pct"/>
            <w:tcBorders>
              <w:tl2br w:val="nil"/>
              <w:tr2bl w:val="nil"/>
            </w:tcBorders>
            <w:noWrap w:val="0"/>
            <w:vAlign w:val="center"/>
          </w:tcPr>
          <w:p>
            <w:pPr>
              <w:pStyle w:val="35"/>
              <w:bidi w:val="0"/>
              <w:rPr>
                <w:rFonts w:hint="eastAsia"/>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602" w:type="dxa"/>
            <w:tcBorders>
              <w:tl2br w:val="nil"/>
              <w:tr2bl w:val="nil"/>
            </w:tcBorders>
            <w:noWrap w:val="0"/>
            <w:vAlign w:val="center"/>
          </w:tcPr>
          <w:p>
            <w:pPr>
              <w:pStyle w:val="35"/>
              <w:bidi w:val="0"/>
              <w:ind w:firstLine="0" w:firstLineChars="0"/>
              <w:rPr>
                <w:rFonts w:hint="eastAsia"/>
                <w:color w:val="auto"/>
                <w:lang w:eastAsia="zh-CN"/>
              </w:rPr>
            </w:pPr>
            <w:r>
              <w:rPr>
                <w:rFonts w:hint="eastAsia"/>
                <w:color w:val="auto"/>
                <w:lang w:val="en-US" w:eastAsia="zh-CN"/>
              </w:rPr>
              <w:t>12</w:t>
            </w:r>
          </w:p>
        </w:tc>
        <w:tc>
          <w:tcPr>
            <w:tcW w:w="929"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办公用房</w:t>
            </w:r>
          </w:p>
        </w:tc>
        <w:tc>
          <w:tcPr>
            <w:tcW w:w="628"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框架</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240</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720</w:t>
            </w:r>
          </w:p>
        </w:tc>
        <w:tc>
          <w:tcPr>
            <w:tcW w:w="715" w:type="pct"/>
            <w:tcBorders>
              <w:tl2br w:val="nil"/>
              <w:tr2bl w:val="nil"/>
            </w:tcBorders>
            <w:noWrap w:val="0"/>
            <w:vAlign w:val="center"/>
          </w:tcPr>
          <w:p>
            <w:pPr>
              <w:pStyle w:val="35"/>
              <w:bidi w:val="0"/>
              <w:rPr>
                <w:color w:val="auto"/>
              </w:rPr>
            </w:pPr>
          </w:p>
        </w:tc>
        <w:tc>
          <w:tcPr>
            <w:tcW w:w="50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3</w:t>
            </w:r>
          </w:p>
        </w:tc>
        <w:tc>
          <w:tcPr>
            <w:tcW w:w="654" w:type="pct"/>
            <w:tcBorders>
              <w:tl2br w:val="nil"/>
              <w:tr2bl w:val="nil"/>
            </w:tcBorders>
            <w:noWrap w:val="0"/>
            <w:vAlign w:val="center"/>
          </w:tcPr>
          <w:p>
            <w:pPr>
              <w:pStyle w:val="35"/>
              <w:bidi w:val="0"/>
              <w:rPr>
                <w:rFonts w:hint="eastAsia"/>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602" w:type="dxa"/>
            <w:tcBorders>
              <w:tl2br w:val="nil"/>
              <w:tr2bl w:val="nil"/>
            </w:tcBorders>
            <w:noWrap w:val="0"/>
            <w:vAlign w:val="center"/>
          </w:tcPr>
          <w:p>
            <w:pPr>
              <w:pStyle w:val="35"/>
              <w:bidi w:val="0"/>
              <w:ind w:firstLine="0" w:firstLineChars="0"/>
              <w:rPr>
                <w:rFonts w:hint="eastAsia"/>
                <w:color w:val="auto"/>
                <w:lang w:eastAsia="zh-CN"/>
              </w:rPr>
            </w:pPr>
            <w:r>
              <w:rPr>
                <w:rFonts w:hint="eastAsia"/>
                <w:color w:val="auto"/>
                <w:lang w:val="en-US" w:eastAsia="zh-CN"/>
              </w:rPr>
              <w:t>13</w:t>
            </w:r>
          </w:p>
        </w:tc>
        <w:tc>
          <w:tcPr>
            <w:tcW w:w="929"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门卫室</w:t>
            </w:r>
          </w:p>
        </w:tc>
        <w:tc>
          <w:tcPr>
            <w:tcW w:w="628"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砖混</w:t>
            </w:r>
          </w:p>
        </w:tc>
        <w:tc>
          <w:tcPr>
            <w:tcW w:w="624" w:type="pct"/>
            <w:tcBorders>
              <w:tl2br w:val="nil"/>
              <w:tr2bl w:val="nil"/>
            </w:tcBorders>
            <w:noWrap w:val="0"/>
            <w:vAlign w:val="center"/>
          </w:tcPr>
          <w:p>
            <w:pPr>
              <w:pStyle w:val="35"/>
              <w:bidi w:val="0"/>
              <w:rPr>
                <w:color w:val="auto"/>
              </w:rPr>
            </w:pPr>
            <w:r>
              <w:rPr>
                <w:rFonts w:hint="eastAsia"/>
                <w:color w:val="auto"/>
                <w:lang w:val="en-US" w:eastAsia="zh-CN"/>
              </w:rPr>
              <w:t>16</w:t>
            </w:r>
          </w:p>
        </w:tc>
        <w:tc>
          <w:tcPr>
            <w:tcW w:w="624" w:type="pct"/>
            <w:tcBorders>
              <w:tl2br w:val="nil"/>
              <w:tr2bl w:val="nil"/>
            </w:tcBorders>
            <w:noWrap w:val="0"/>
            <w:vAlign w:val="center"/>
          </w:tcPr>
          <w:p>
            <w:pPr>
              <w:pStyle w:val="35"/>
              <w:bidi w:val="0"/>
              <w:rPr>
                <w:rFonts w:hint="eastAsia"/>
                <w:color w:val="auto"/>
                <w:lang w:eastAsia="zh-CN"/>
              </w:rPr>
            </w:pPr>
            <w:r>
              <w:rPr>
                <w:rFonts w:hint="eastAsia"/>
                <w:color w:val="auto"/>
                <w:lang w:val="en-US" w:eastAsia="zh-CN"/>
              </w:rPr>
              <w:t>16</w:t>
            </w:r>
          </w:p>
        </w:tc>
        <w:tc>
          <w:tcPr>
            <w:tcW w:w="715" w:type="pct"/>
            <w:tcBorders>
              <w:tl2br w:val="nil"/>
              <w:tr2bl w:val="nil"/>
            </w:tcBorders>
            <w:noWrap w:val="0"/>
            <w:vAlign w:val="center"/>
          </w:tcPr>
          <w:p>
            <w:pPr>
              <w:pStyle w:val="35"/>
              <w:bidi w:val="0"/>
              <w:rPr>
                <w:color w:val="auto"/>
              </w:rPr>
            </w:pPr>
          </w:p>
        </w:tc>
        <w:tc>
          <w:tcPr>
            <w:tcW w:w="50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1</w:t>
            </w:r>
          </w:p>
        </w:tc>
        <w:tc>
          <w:tcPr>
            <w:tcW w:w="654" w:type="pct"/>
            <w:tcBorders>
              <w:tl2br w:val="nil"/>
              <w:tr2bl w:val="nil"/>
            </w:tcBorders>
            <w:noWrap w:val="0"/>
            <w:vAlign w:val="center"/>
          </w:tcPr>
          <w:p>
            <w:pPr>
              <w:pStyle w:val="35"/>
              <w:bidi w:val="0"/>
              <w:rPr>
                <w:rFonts w:hint="eastAsia"/>
                <w:color w:val="auto"/>
                <w:lang w:eastAsia="zh-CN"/>
              </w:rPr>
            </w:pPr>
          </w:p>
        </w:tc>
      </w:tr>
    </w:tbl>
    <w:p>
      <w:pPr>
        <w:pStyle w:val="32"/>
        <w:bidi w:val="0"/>
        <w:rPr>
          <w:color w:val="auto"/>
        </w:rPr>
      </w:pPr>
      <w:bookmarkStart w:id="66" w:name="_Toc306034540"/>
      <w:bookmarkStart w:id="67" w:name="_Toc304810290"/>
      <w:bookmarkStart w:id="68" w:name="_Toc24337"/>
      <w:r>
        <w:rPr>
          <w:rFonts w:hint="eastAsia"/>
          <w:color w:val="auto"/>
          <w:lang w:val="en-US" w:eastAsia="zh-CN"/>
        </w:rPr>
        <w:t>4</w:t>
      </w:r>
      <w:r>
        <w:rPr>
          <w:rFonts w:hint="eastAsia"/>
          <w:color w:val="auto"/>
        </w:rPr>
        <w:t>.</w:t>
      </w:r>
      <w:r>
        <w:rPr>
          <w:rFonts w:hint="eastAsia"/>
          <w:color w:val="auto"/>
          <w:lang w:val="en-US" w:eastAsia="zh-CN"/>
        </w:rPr>
        <w:t>2</w:t>
      </w:r>
      <w:r>
        <w:rPr>
          <w:rFonts w:hint="eastAsia"/>
          <w:color w:val="auto"/>
        </w:rPr>
        <w:t>.2</w:t>
      </w:r>
      <w:r>
        <w:rPr>
          <w:color w:val="auto"/>
        </w:rPr>
        <w:t>产品方案</w:t>
      </w:r>
      <w:bookmarkEnd w:id="66"/>
      <w:bookmarkEnd w:id="67"/>
      <w:r>
        <w:rPr>
          <w:rFonts w:hint="eastAsia"/>
          <w:color w:val="auto"/>
        </w:rPr>
        <w:t>及产品性质</w:t>
      </w:r>
      <w:bookmarkEnd w:id="68"/>
    </w:p>
    <w:p>
      <w:pPr>
        <w:pStyle w:val="33"/>
        <w:bidi w:val="0"/>
        <w:rPr>
          <w:rFonts w:hint="eastAsia"/>
          <w:color w:val="auto"/>
          <w:lang w:eastAsia="zh-CN"/>
        </w:rPr>
      </w:pPr>
      <w:r>
        <w:rPr>
          <w:rFonts w:hint="eastAsia"/>
          <w:color w:val="auto"/>
        </w:rPr>
        <w:t>本项目产品为碳酸二甲酯</w:t>
      </w:r>
      <w:r>
        <w:rPr>
          <w:rFonts w:hint="eastAsia"/>
          <w:color w:val="auto"/>
          <w:lang w:val="en-US" w:eastAsia="zh-CN"/>
        </w:rPr>
        <w:t>和</w:t>
      </w:r>
      <w:r>
        <w:rPr>
          <w:rFonts w:hint="eastAsia"/>
          <w:color w:val="auto"/>
        </w:rPr>
        <w:t>醋酸甲酯。项目年产碳酸二甲酯1.5万吨，醋酸甲酯1万吨</w:t>
      </w:r>
      <w:r>
        <w:rPr>
          <w:rFonts w:hint="eastAsia"/>
          <w:color w:val="auto"/>
          <w:lang w:eastAsia="zh-CN"/>
        </w:rPr>
        <w:t>。</w:t>
      </w:r>
    </w:p>
    <w:p>
      <w:pPr>
        <w:pStyle w:val="36"/>
        <w:bidi w:val="0"/>
        <w:rPr>
          <w:rFonts w:hint="default"/>
          <w:color w:val="auto"/>
          <w:lang w:val="en-US" w:eastAsia="zh-CN"/>
        </w:rPr>
      </w:pPr>
      <w:r>
        <w:rPr>
          <w:rFonts w:hint="eastAsia"/>
          <w:color w:val="auto"/>
          <w:lang w:val="en-US" w:eastAsia="zh-CN"/>
        </w:rPr>
        <w:t>4.2-3  产品方案表</w:t>
      </w:r>
    </w:p>
    <w:tbl>
      <w:tblPr>
        <w:tblStyle w:val="27"/>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021"/>
        <w:gridCol w:w="1808"/>
        <w:gridCol w:w="1370"/>
        <w:gridCol w:w="1977"/>
        <w:gridCol w:w="15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8" w:hRule="atLeast"/>
        </w:trPr>
        <w:tc>
          <w:tcPr>
            <w:tcW w:w="401" w:type="pct"/>
            <w:tcBorders>
              <w:tl2br w:val="nil"/>
              <w:tr2bl w:val="nil"/>
            </w:tcBorders>
            <w:noWrap w:val="0"/>
            <w:vAlign w:val="center"/>
          </w:tcPr>
          <w:p>
            <w:pPr>
              <w:pStyle w:val="35"/>
              <w:bidi w:val="0"/>
              <w:jc w:val="center"/>
              <w:rPr>
                <w:b/>
                <w:bCs/>
                <w:color w:val="auto"/>
              </w:rPr>
            </w:pPr>
            <w:r>
              <w:rPr>
                <w:rFonts w:hint="eastAsia"/>
                <w:b/>
                <w:bCs/>
                <w:color w:val="auto"/>
              </w:rPr>
              <w:t>序号</w:t>
            </w:r>
          </w:p>
        </w:tc>
        <w:tc>
          <w:tcPr>
            <w:tcW w:w="1062" w:type="pct"/>
            <w:tcBorders>
              <w:tl2br w:val="nil"/>
              <w:tr2bl w:val="nil"/>
            </w:tcBorders>
            <w:noWrap w:val="0"/>
            <w:vAlign w:val="center"/>
          </w:tcPr>
          <w:p>
            <w:pPr>
              <w:pStyle w:val="35"/>
              <w:bidi w:val="0"/>
              <w:jc w:val="center"/>
              <w:rPr>
                <w:b/>
                <w:bCs/>
                <w:color w:val="auto"/>
              </w:rPr>
            </w:pPr>
            <w:r>
              <w:rPr>
                <w:rFonts w:hint="eastAsia"/>
                <w:b/>
                <w:bCs/>
                <w:color w:val="auto"/>
              </w:rPr>
              <w:t>产品名称</w:t>
            </w:r>
          </w:p>
        </w:tc>
        <w:tc>
          <w:tcPr>
            <w:tcW w:w="950" w:type="pct"/>
            <w:tcBorders>
              <w:tl2br w:val="nil"/>
              <w:tr2bl w:val="nil"/>
            </w:tcBorders>
            <w:noWrap w:val="0"/>
            <w:vAlign w:val="center"/>
          </w:tcPr>
          <w:p>
            <w:pPr>
              <w:pStyle w:val="35"/>
              <w:bidi w:val="0"/>
              <w:jc w:val="center"/>
              <w:rPr>
                <w:rFonts w:hint="default" w:eastAsia="宋体"/>
                <w:b/>
                <w:bCs/>
                <w:color w:val="auto"/>
                <w:lang w:val="en-US" w:eastAsia="zh-CN"/>
              </w:rPr>
            </w:pPr>
            <w:r>
              <w:rPr>
                <w:rFonts w:hint="eastAsia"/>
                <w:b/>
                <w:bCs/>
                <w:color w:val="auto"/>
                <w:lang w:val="en-US" w:eastAsia="zh-CN"/>
              </w:rPr>
              <w:t>年生产数量</w:t>
            </w:r>
          </w:p>
        </w:tc>
        <w:tc>
          <w:tcPr>
            <w:tcW w:w="720" w:type="pct"/>
            <w:tcBorders>
              <w:tl2br w:val="nil"/>
              <w:tr2bl w:val="nil"/>
            </w:tcBorders>
            <w:noWrap w:val="0"/>
            <w:vAlign w:val="center"/>
          </w:tcPr>
          <w:p>
            <w:pPr>
              <w:pStyle w:val="35"/>
              <w:bidi w:val="0"/>
              <w:jc w:val="center"/>
              <w:rPr>
                <w:b/>
                <w:bCs/>
                <w:color w:val="auto"/>
              </w:rPr>
            </w:pPr>
            <w:r>
              <w:rPr>
                <w:rFonts w:hint="eastAsia"/>
                <w:b/>
                <w:bCs/>
                <w:color w:val="auto"/>
                <w:lang w:val="en-US" w:eastAsia="zh-CN"/>
              </w:rPr>
              <w:t>产品</w:t>
            </w:r>
            <w:r>
              <w:rPr>
                <w:rFonts w:hint="eastAsia"/>
                <w:b/>
                <w:bCs/>
                <w:color w:val="auto"/>
              </w:rPr>
              <w:t>规格</w:t>
            </w:r>
          </w:p>
        </w:tc>
        <w:tc>
          <w:tcPr>
            <w:tcW w:w="1039" w:type="pct"/>
            <w:tcBorders>
              <w:tl2br w:val="nil"/>
              <w:tr2bl w:val="nil"/>
            </w:tcBorders>
            <w:noWrap w:val="0"/>
            <w:vAlign w:val="center"/>
          </w:tcPr>
          <w:p>
            <w:pPr>
              <w:pStyle w:val="35"/>
              <w:bidi w:val="0"/>
              <w:jc w:val="center"/>
              <w:rPr>
                <w:rFonts w:hint="default" w:eastAsia="宋体"/>
                <w:b/>
                <w:bCs/>
                <w:color w:val="auto"/>
                <w:lang w:val="en-US" w:eastAsia="zh-CN"/>
              </w:rPr>
            </w:pPr>
            <w:r>
              <w:rPr>
                <w:rFonts w:hint="eastAsia"/>
                <w:b/>
                <w:bCs/>
                <w:color w:val="auto"/>
                <w:lang w:val="en-US" w:eastAsia="zh-CN"/>
              </w:rPr>
              <w:t>常温下物理状态</w:t>
            </w:r>
          </w:p>
        </w:tc>
        <w:tc>
          <w:tcPr>
            <w:tcW w:w="824" w:type="pct"/>
            <w:tcBorders>
              <w:tl2br w:val="nil"/>
              <w:tr2bl w:val="nil"/>
            </w:tcBorders>
            <w:noWrap w:val="0"/>
            <w:vAlign w:val="center"/>
          </w:tcPr>
          <w:p>
            <w:pPr>
              <w:pStyle w:val="35"/>
              <w:bidi w:val="0"/>
              <w:jc w:val="center"/>
              <w:rPr>
                <w:rFonts w:hint="default" w:eastAsia="宋体"/>
                <w:b/>
                <w:bCs/>
                <w:color w:val="auto"/>
                <w:lang w:val="en-US" w:eastAsia="zh-CN"/>
              </w:rPr>
            </w:pPr>
            <w:r>
              <w:rPr>
                <w:rFonts w:hint="eastAsia"/>
                <w:b/>
                <w:bCs/>
                <w:color w:val="auto"/>
                <w:lang w:val="en-US" w:eastAsia="zh-CN"/>
              </w:rPr>
              <w:t>包装储存方式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9" w:hRule="atLeast"/>
        </w:trPr>
        <w:tc>
          <w:tcPr>
            <w:tcW w:w="401" w:type="pct"/>
            <w:tcBorders>
              <w:tl2br w:val="nil"/>
              <w:tr2bl w:val="nil"/>
            </w:tcBorders>
            <w:noWrap w:val="0"/>
            <w:vAlign w:val="center"/>
          </w:tcPr>
          <w:p>
            <w:pPr>
              <w:pStyle w:val="35"/>
              <w:bidi w:val="0"/>
              <w:jc w:val="center"/>
              <w:rPr>
                <w:color w:val="auto"/>
              </w:rPr>
            </w:pPr>
            <w:r>
              <w:rPr>
                <w:rFonts w:hint="eastAsia"/>
                <w:color w:val="auto"/>
              </w:rPr>
              <w:t>1</w:t>
            </w:r>
          </w:p>
        </w:tc>
        <w:tc>
          <w:tcPr>
            <w:tcW w:w="1062" w:type="pct"/>
            <w:tcBorders>
              <w:tl2br w:val="nil"/>
              <w:tr2bl w:val="nil"/>
            </w:tcBorders>
            <w:noWrap w:val="0"/>
            <w:vAlign w:val="center"/>
          </w:tcPr>
          <w:p>
            <w:pPr>
              <w:pStyle w:val="35"/>
              <w:bidi w:val="0"/>
              <w:jc w:val="center"/>
              <w:rPr>
                <w:rFonts w:hint="eastAsia"/>
                <w:color w:val="auto"/>
              </w:rPr>
            </w:pPr>
            <w:r>
              <w:rPr>
                <w:rFonts w:hint="eastAsia"/>
                <w:color w:val="auto"/>
              </w:rPr>
              <w:t>碳酸二甲酯</w:t>
            </w:r>
          </w:p>
        </w:tc>
        <w:tc>
          <w:tcPr>
            <w:tcW w:w="950" w:type="pct"/>
            <w:tcBorders>
              <w:tl2br w:val="nil"/>
              <w:tr2bl w:val="nil"/>
            </w:tcBorders>
            <w:noWrap w:val="0"/>
            <w:vAlign w:val="center"/>
          </w:tcPr>
          <w:p>
            <w:pPr>
              <w:pStyle w:val="35"/>
              <w:bidi w:val="0"/>
              <w:jc w:val="center"/>
              <w:rPr>
                <w:rFonts w:hint="eastAsia" w:eastAsia="宋体"/>
                <w:color w:val="auto"/>
                <w:lang w:val="en-US" w:eastAsia="zh-CN"/>
              </w:rPr>
            </w:pPr>
            <w:r>
              <w:rPr>
                <w:rFonts w:hint="eastAsia"/>
                <w:color w:val="auto"/>
              </w:rPr>
              <w:t>15000</w:t>
            </w:r>
            <w:r>
              <w:rPr>
                <w:rFonts w:hint="eastAsia"/>
                <w:color w:val="auto"/>
                <w:lang w:val="en-US" w:eastAsia="zh-CN"/>
              </w:rPr>
              <w:t>t</w:t>
            </w:r>
          </w:p>
        </w:tc>
        <w:tc>
          <w:tcPr>
            <w:tcW w:w="720" w:type="pct"/>
            <w:tcBorders>
              <w:tl2br w:val="nil"/>
              <w:tr2bl w:val="nil"/>
            </w:tcBorders>
            <w:noWrap w:val="0"/>
            <w:vAlign w:val="center"/>
          </w:tcPr>
          <w:p>
            <w:pPr>
              <w:pStyle w:val="35"/>
              <w:bidi w:val="0"/>
              <w:jc w:val="center"/>
              <w:rPr>
                <w:color w:val="auto"/>
              </w:rPr>
            </w:pPr>
            <w:r>
              <w:rPr>
                <w:rFonts w:hint="eastAsia"/>
                <w:color w:val="auto"/>
              </w:rPr>
              <w:t>99</w:t>
            </w:r>
            <w:r>
              <w:rPr>
                <w:rFonts w:hint="eastAsia"/>
                <w:color w:val="auto"/>
                <w:lang w:val="en-US" w:eastAsia="zh-CN"/>
              </w:rPr>
              <w:t>.5</w:t>
            </w:r>
            <w:r>
              <w:rPr>
                <w:rFonts w:hint="eastAsia"/>
                <w:color w:val="auto"/>
              </w:rPr>
              <w:t>％</w:t>
            </w:r>
          </w:p>
        </w:tc>
        <w:tc>
          <w:tcPr>
            <w:tcW w:w="1039" w:type="pct"/>
            <w:tcBorders>
              <w:tl2br w:val="nil"/>
              <w:tr2bl w:val="nil"/>
            </w:tcBorders>
            <w:noWrap w:val="0"/>
            <w:vAlign w:val="center"/>
          </w:tcPr>
          <w:p>
            <w:pPr>
              <w:pStyle w:val="35"/>
              <w:bidi w:val="0"/>
              <w:jc w:val="center"/>
              <w:rPr>
                <w:color w:val="auto"/>
              </w:rPr>
            </w:pPr>
            <w:r>
              <w:rPr>
                <w:rFonts w:hint="eastAsia"/>
                <w:color w:val="auto"/>
              </w:rPr>
              <w:t>无色透明液体</w:t>
            </w:r>
          </w:p>
        </w:tc>
        <w:tc>
          <w:tcPr>
            <w:tcW w:w="824" w:type="pct"/>
            <w:tcBorders>
              <w:tl2br w:val="nil"/>
              <w:tr2bl w:val="nil"/>
            </w:tcBorders>
            <w:noWrap w:val="0"/>
            <w:vAlign w:val="center"/>
          </w:tcPr>
          <w:p>
            <w:pPr>
              <w:pStyle w:val="35"/>
              <w:bidi w:val="0"/>
              <w:jc w:val="center"/>
              <w:rPr>
                <w:rFonts w:hint="eastAsia" w:eastAsia="宋体"/>
                <w:color w:val="auto"/>
                <w:lang w:val="en-US" w:eastAsia="zh-CN"/>
              </w:rPr>
            </w:pPr>
            <w:r>
              <w:rPr>
                <w:rFonts w:hint="eastAsia"/>
                <w:color w:val="auto"/>
                <w:lang w:val="en-US" w:eastAsia="zh-CN"/>
              </w:rPr>
              <w:t>储罐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8" w:hRule="atLeast"/>
        </w:trPr>
        <w:tc>
          <w:tcPr>
            <w:tcW w:w="401" w:type="pct"/>
            <w:tcBorders>
              <w:tl2br w:val="nil"/>
              <w:tr2bl w:val="nil"/>
            </w:tcBorders>
            <w:noWrap w:val="0"/>
            <w:vAlign w:val="center"/>
          </w:tcPr>
          <w:p>
            <w:pPr>
              <w:pStyle w:val="35"/>
              <w:bidi w:val="0"/>
              <w:jc w:val="center"/>
              <w:rPr>
                <w:color w:val="auto"/>
              </w:rPr>
            </w:pPr>
            <w:r>
              <w:rPr>
                <w:rFonts w:hint="eastAsia"/>
                <w:color w:val="auto"/>
              </w:rPr>
              <w:t>2</w:t>
            </w:r>
          </w:p>
        </w:tc>
        <w:tc>
          <w:tcPr>
            <w:tcW w:w="1062" w:type="pct"/>
            <w:tcBorders>
              <w:tl2br w:val="nil"/>
              <w:tr2bl w:val="nil"/>
            </w:tcBorders>
            <w:noWrap w:val="0"/>
            <w:vAlign w:val="center"/>
          </w:tcPr>
          <w:p>
            <w:pPr>
              <w:pStyle w:val="35"/>
              <w:bidi w:val="0"/>
              <w:jc w:val="center"/>
              <w:rPr>
                <w:rFonts w:hint="eastAsia"/>
                <w:color w:val="auto"/>
              </w:rPr>
            </w:pPr>
            <w:r>
              <w:rPr>
                <w:rFonts w:hint="eastAsia"/>
                <w:color w:val="auto"/>
              </w:rPr>
              <w:t>醋酸甲酯</w:t>
            </w:r>
          </w:p>
        </w:tc>
        <w:tc>
          <w:tcPr>
            <w:tcW w:w="950" w:type="pct"/>
            <w:tcBorders>
              <w:tl2br w:val="nil"/>
              <w:tr2bl w:val="nil"/>
            </w:tcBorders>
            <w:noWrap w:val="0"/>
            <w:vAlign w:val="center"/>
          </w:tcPr>
          <w:p>
            <w:pPr>
              <w:pStyle w:val="35"/>
              <w:bidi w:val="0"/>
              <w:jc w:val="center"/>
              <w:rPr>
                <w:rFonts w:hint="eastAsia" w:eastAsia="宋体"/>
                <w:color w:val="auto"/>
                <w:lang w:val="en-US" w:eastAsia="zh-CN"/>
              </w:rPr>
            </w:pPr>
            <w:r>
              <w:rPr>
                <w:rFonts w:hint="eastAsia"/>
                <w:color w:val="auto"/>
              </w:rPr>
              <w:t>10000</w:t>
            </w:r>
            <w:r>
              <w:rPr>
                <w:rFonts w:hint="eastAsia"/>
                <w:color w:val="auto"/>
                <w:lang w:val="en-US" w:eastAsia="zh-CN"/>
              </w:rPr>
              <w:t>t</w:t>
            </w:r>
          </w:p>
        </w:tc>
        <w:tc>
          <w:tcPr>
            <w:tcW w:w="720" w:type="pct"/>
            <w:tcBorders>
              <w:tl2br w:val="nil"/>
              <w:tr2bl w:val="nil"/>
            </w:tcBorders>
            <w:noWrap w:val="0"/>
            <w:vAlign w:val="center"/>
          </w:tcPr>
          <w:p>
            <w:pPr>
              <w:pStyle w:val="35"/>
              <w:bidi w:val="0"/>
              <w:jc w:val="center"/>
              <w:rPr>
                <w:rFonts w:hint="eastAsia"/>
                <w:color w:val="auto"/>
              </w:rPr>
            </w:pPr>
            <w:r>
              <w:rPr>
                <w:rFonts w:hint="eastAsia"/>
                <w:color w:val="auto"/>
              </w:rPr>
              <w:t>99％</w:t>
            </w:r>
          </w:p>
        </w:tc>
        <w:tc>
          <w:tcPr>
            <w:tcW w:w="1039" w:type="pct"/>
            <w:tcBorders>
              <w:tl2br w:val="nil"/>
              <w:tr2bl w:val="nil"/>
            </w:tcBorders>
            <w:noWrap w:val="0"/>
            <w:vAlign w:val="center"/>
          </w:tcPr>
          <w:p>
            <w:pPr>
              <w:pStyle w:val="35"/>
              <w:bidi w:val="0"/>
              <w:jc w:val="center"/>
              <w:rPr>
                <w:rFonts w:hint="eastAsia"/>
                <w:color w:val="auto"/>
              </w:rPr>
            </w:pPr>
            <w:r>
              <w:rPr>
                <w:rFonts w:hint="eastAsia"/>
                <w:color w:val="auto"/>
              </w:rPr>
              <w:t>无色透明液体</w:t>
            </w:r>
          </w:p>
        </w:tc>
        <w:tc>
          <w:tcPr>
            <w:tcW w:w="824" w:type="pct"/>
            <w:tcBorders>
              <w:tl2br w:val="nil"/>
              <w:tr2bl w:val="nil"/>
            </w:tcBorders>
            <w:noWrap w:val="0"/>
            <w:vAlign w:val="center"/>
          </w:tcPr>
          <w:p>
            <w:pPr>
              <w:pStyle w:val="35"/>
              <w:bidi w:val="0"/>
              <w:jc w:val="center"/>
              <w:rPr>
                <w:rFonts w:hint="eastAsia"/>
                <w:color w:val="auto"/>
              </w:rPr>
            </w:pPr>
            <w:r>
              <w:rPr>
                <w:rFonts w:hint="eastAsia"/>
                <w:color w:val="auto"/>
                <w:lang w:val="en-US" w:eastAsia="zh-CN"/>
              </w:rPr>
              <w:t>储罐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8" w:hRule="atLeast"/>
        </w:trPr>
        <w:tc>
          <w:tcPr>
            <w:tcW w:w="401" w:type="pct"/>
            <w:tcBorders>
              <w:tl2br w:val="nil"/>
              <w:tr2bl w:val="nil"/>
            </w:tcBorders>
            <w:noWrap w:val="0"/>
            <w:vAlign w:val="center"/>
          </w:tcPr>
          <w:p>
            <w:pPr>
              <w:pStyle w:val="35"/>
              <w:bidi w:val="0"/>
              <w:jc w:val="center"/>
              <w:rPr>
                <w:rFonts w:hint="eastAsia" w:eastAsia="宋体"/>
                <w:color w:val="auto"/>
                <w:lang w:val="en-US" w:eastAsia="zh-CN"/>
              </w:rPr>
            </w:pPr>
            <w:r>
              <w:rPr>
                <w:rFonts w:hint="eastAsia"/>
                <w:color w:val="auto"/>
                <w:lang w:val="en-US" w:eastAsia="zh-CN"/>
              </w:rPr>
              <w:t>3</w:t>
            </w:r>
          </w:p>
        </w:tc>
        <w:tc>
          <w:tcPr>
            <w:tcW w:w="1062"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草酸二甲酯溶剂</w:t>
            </w:r>
          </w:p>
          <w:p>
            <w:pPr>
              <w:pStyle w:val="35"/>
              <w:bidi w:val="0"/>
              <w:jc w:val="center"/>
              <w:rPr>
                <w:rFonts w:hint="eastAsia" w:eastAsia="宋体"/>
                <w:color w:val="auto"/>
                <w:lang w:val="en-US" w:eastAsia="zh-CN"/>
              </w:rPr>
            </w:pPr>
            <w:r>
              <w:rPr>
                <w:rFonts w:hint="eastAsia"/>
                <w:color w:val="auto"/>
                <w:lang w:val="en-US" w:eastAsia="zh-CN"/>
              </w:rPr>
              <w:t>（副产品）</w:t>
            </w:r>
          </w:p>
        </w:tc>
        <w:tc>
          <w:tcPr>
            <w:tcW w:w="950" w:type="pct"/>
            <w:tcBorders>
              <w:tl2br w:val="nil"/>
              <w:tr2bl w:val="nil"/>
            </w:tcBorders>
            <w:noWrap w:val="0"/>
            <w:vAlign w:val="center"/>
          </w:tcPr>
          <w:p>
            <w:pPr>
              <w:pStyle w:val="35"/>
              <w:bidi w:val="0"/>
              <w:jc w:val="center"/>
              <w:rPr>
                <w:rFonts w:hint="default" w:eastAsia="宋体"/>
                <w:color w:val="auto"/>
                <w:lang w:val="en-US" w:eastAsia="zh-CN"/>
              </w:rPr>
            </w:pPr>
            <w:r>
              <w:rPr>
                <w:rFonts w:hint="eastAsia"/>
                <w:color w:val="auto"/>
                <w:lang w:val="en-US" w:eastAsia="zh-CN"/>
              </w:rPr>
              <w:t>650.8</w:t>
            </w:r>
          </w:p>
        </w:tc>
        <w:tc>
          <w:tcPr>
            <w:tcW w:w="720" w:type="pct"/>
            <w:tcBorders>
              <w:tl2br w:val="nil"/>
              <w:tr2bl w:val="nil"/>
            </w:tcBorders>
            <w:noWrap w:val="0"/>
            <w:vAlign w:val="center"/>
          </w:tcPr>
          <w:p>
            <w:pPr>
              <w:pStyle w:val="35"/>
              <w:bidi w:val="0"/>
              <w:jc w:val="center"/>
              <w:rPr>
                <w:rFonts w:hint="default" w:eastAsia="宋体"/>
                <w:color w:val="auto"/>
                <w:lang w:val="en-US" w:eastAsia="zh-CN"/>
              </w:rPr>
            </w:pPr>
            <w:r>
              <w:rPr>
                <w:rFonts w:hint="eastAsia"/>
                <w:color w:val="auto"/>
                <w:lang w:val="en-US" w:eastAsia="zh-CN"/>
              </w:rPr>
              <w:t>/</w:t>
            </w:r>
          </w:p>
        </w:tc>
        <w:tc>
          <w:tcPr>
            <w:tcW w:w="1039" w:type="pct"/>
            <w:tcBorders>
              <w:tl2br w:val="nil"/>
              <w:tr2bl w:val="nil"/>
            </w:tcBorders>
            <w:noWrap w:val="0"/>
            <w:vAlign w:val="center"/>
          </w:tcPr>
          <w:p>
            <w:pPr>
              <w:pStyle w:val="35"/>
              <w:bidi w:val="0"/>
              <w:jc w:val="center"/>
              <w:rPr>
                <w:rFonts w:hint="default" w:eastAsia="宋体"/>
                <w:color w:val="auto"/>
                <w:lang w:val="en-US" w:eastAsia="zh-CN"/>
              </w:rPr>
            </w:pPr>
            <w:r>
              <w:rPr>
                <w:rFonts w:hint="eastAsia"/>
                <w:color w:val="auto"/>
                <w:lang w:val="en-US" w:eastAsia="zh-CN"/>
              </w:rPr>
              <w:t>/</w:t>
            </w:r>
          </w:p>
        </w:tc>
        <w:tc>
          <w:tcPr>
            <w:tcW w:w="824"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桶装</w:t>
            </w:r>
          </w:p>
        </w:tc>
      </w:tr>
    </w:tbl>
    <w:p>
      <w:pPr>
        <w:pStyle w:val="33"/>
        <w:bidi w:val="0"/>
        <w:rPr>
          <w:rFonts w:hint="eastAsia"/>
          <w:color w:val="auto"/>
          <w:lang w:val="en-US" w:eastAsia="zh-CN"/>
        </w:rPr>
      </w:pPr>
      <w:r>
        <w:rPr>
          <w:rFonts w:hint="eastAsia"/>
          <w:color w:val="auto"/>
          <w:lang w:val="en-US" w:eastAsia="zh-CN"/>
        </w:rPr>
        <w:t>产品质量标准、产品性质及及主要用途见下表。</w:t>
      </w:r>
    </w:p>
    <w:p>
      <w:pPr>
        <w:pStyle w:val="36"/>
        <w:bidi w:val="0"/>
        <w:rPr>
          <w:rFonts w:hint="eastAsia"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表4.2-4本项目产品质量标准</w:t>
      </w: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1902"/>
        <w:gridCol w:w="1903"/>
        <w:gridCol w:w="1903"/>
        <w:gridCol w:w="1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02" w:type="dxa"/>
            <w:tcBorders>
              <w:tl2br w:val="nil"/>
              <w:tr2bl w:val="nil"/>
            </w:tcBorders>
            <w:noWrap w:val="0"/>
            <w:vAlign w:val="center"/>
          </w:tcPr>
          <w:p>
            <w:pPr>
              <w:pStyle w:val="35"/>
              <w:bidi w:val="0"/>
              <w:jc w:val="center"/>
              <w:rPr>
                <w:rFonts w:hint="default" w:ascii="Times New Roman" w:hAnsi="Times New Roman" w:cs="Times New Roman"/>
                <w:b/>
                <w:bCs/>
                <w:color w:val="auto"/>
                <w:u w:val="single"/>
                <w:lang w:val="en-US" w:eastAsia="zh-CN"/>
              </w:rPr>
            </w:pPr>
            <w:r>
              <w:rPr>
                <w:rFonts w:hint="eastAsia" w:ascii="Times New Roman" w:hAnsi="Times New Roman" w:cs="Times New Roman"/>
                <w:b/>
                <w:bCs/>
                <w:color w:val="auto"/>
                <w:u w:val="single"/>
                <w:lang w:val="en-US" w:eastAsia="zh-CN"/>
              </w:rPr>
              <w:t>产品名称</w:t>
            </w:r>
          </w:p>
        </w:tc>
        <w:tc>
          <w:tcPr>
            <w:tcW w:w="1902" w:type="dxa"/>
            <w:tcBorders>
              <w:tl2br w:val="nil"/>
              <w:tr2bl w:val="nil"/>
            </w:tcBorders>
            <w:noWrap w:val="0"/>
            <w:vAlign w:val="center"/>
          </w:tcPr>
          <w:p>
            <w:pPr>
              <w:pStyle w:val="35"/>
              <w:bidi w:val="0"/>
              <w:jc w:val="center"/>
              <w:rPr>
                <w:rFonts w:hint="default" w:ascii="Times New Roman" w:hAnsi="Times New Roman" w:cs="Times New Roman"/>
                <w:b/>
                <w:bCs/>
                <w:color w:val="auto"/>
                <w:u w:val="single"/>
                <w:lang w:val="en-US" w:eastAsia="zh-CN"/>
              </w:rPr>
            </w:pPr>
            <w:r>
              <w:rPr>
                <w:rFonts w:hint="eastAsia" w:ascii="Times New Roman" w:hAnsi="Times New Roman" w:cs="Times New Roman"/>
                <w:b/>
                <w:bCs/>
                <w:color w:val="auto"/>
                <w:u w:val="single"/>
                <w:lang w:val="en-US" w:eastAsia="zh-CN"/>
              </w:rPr>
              <w:t>标准</w:t>
            </w:r>
          </w:p>
        </w:tc>
        <w:tc>
          <w:tcPr>
            <w:tcW w:w="1903" w:type="dxa"/>
            <w:tcBorders>
              <w:tl2br w:val="nil"/>
              <w:tr2bl w:val="nil"/>
            </w:tcBorders>
            <w:noWrap w:val="0"/>
            <w:vAlign w:val="center"/>
          </w:tcPr>
          <w:p>
            <w:pPr>
              <w:pStyle w:val="35"/>
              <w:bidi w:val="0"/>
              <w:jc w:val="center"/>
              <w:rPr>
                <w:rFonts w:hint="default" w:ascii="Times New Roman" w:hAnsi="Times New Roman" w:cs="Times New Roman"/>
                <w:b/>
                <w:bCs/>
                <w:color w:val="auto"/>
                <w:u w:val="single"/>
                <w:lang w:val="en-US" w:eastAsia="zh-CN"/>
              </w:rPr>
            </w:pPr>
            <w:r>
              <w:rPr>
                <w:rFonts w:hint="eastAsia" w:ascii="Times New Roman" w:hAnsi="Times New Roman" w:cs="Times New Roman"/>
                <w:b/>
                <w:bCs/>
                <w:color w:val="auto"/>
                <w:u w:val="single"/>
                <w:lang w:val="en-US" w:eastAsia="zh-CN"/>
              </w:rPr>
              <w:t>等级</w:t>
            </w:r>
          </w:p>
        </w:tc>
        <w:tc>
          <w:tcPr>
            <w:tcW w:w="3806" w:type="dxa"/>
            <w:gridSpan w:val="2"/>
            <w:tcBorders>
              <w:tl2br w:val="nil"/>
              <w:tr2bl w:val="nil"/>
            </w:tcBorders>
            <w:noWrap w:val="0"/>
            <w:vAlign w:val="center"/>
          </w:tcPr>
          <w:p>
            <w:pPr>
              <w:pStyle w:val="35"/>
              <w:bidi w:val="0"/>
              <w:jc w:val="center"/>
              <w:rPr>
                <w:rFonts w:hint="eastAsia" w:ascii="Times New Roman" w:hAnsi="Times New Roman" w:cs="Times New Roman"/>
                <w:b/>
                <w:bCs/>
                <w:color w:val="auto"/>
                <w:u w:val="single"/>
                <w:lang w:val="en-US" w:eastAsia="zh-CN"/>
              </w:rPr>
            </w:pPr>
            <w:r>
              <w:rPr>
                <w:rFonts w:hint="eastAsia" w:ascii="Times New Roman" w:hAnsi="Times New Roman" w:cs="Times New Roman"/>
                <w:b/>
                <w:bCs/>
                <w:color w:val="auto"/>
                <w:u w:val="single"/>
                <w:lang w:val="en-US" w:eastAsia="zh-CN"/>
              </w:rPr>
              <w:t>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4" w:hRule="atLeast"/>
        </w:trPr>
        <w:tc>
          <w:tcPr>
            <w:tcW w:w="1902" w:type="dxa"/>
            <w:vMerge w:val="restart"/>
            <w:tcBorders>
              <w:tl2br w:val="nil"/>
              <w:tr2bl w:val="nil"/>
            </w:tcBorders>
            <w:noWrap w:val="0"/>
            <w:vAlign w:val="center"/>
          </w:tcPr>
          <w:p>
            <w:pPr>
              <w:pStyle w:val="35"/>
              <w:bidi w:val="0"/>
              <w:jc w:val="center"/>
              <w:rPr>
                <w:rFonts w:hint="default" w:ascii="Times New Roman" w:hAnsi="Times New Roman" w:cs="Times New Roman"/>
                <w:b w:val="0"/>
                <w:bCs w:val="0"/>
                <w:color w:val="auto"/>
                <w:u w:val="single"/>
                <w:lang w:val="en-US" w:eastAsia="zh-CN"/>
              </w:rPr>
            </w:pPr>
            <w:r>
              <w:rPr>
                <w:rFonts w:hint="eastAsia" w:ascii="Times New Roman" w:hAnsi="Times New Roman" w:cs="Times New Roman"/>
                <w:b w:val="0"/>
                <w:bCs w:val="0"/>
                <w:color w:val="auto"/>
                <w:u w:val="single"/>
                <w:lang w:val="en-US" w:eastAsia="zh-CN"/>
              </w:rPr>
              <w:t>碳酸二甲酯</w:t>
            </w:r>
          </w:p>
        </w:tc>
        <w:tc>
          <w:tcPr>
            <w:tcW w:w="1902" w:type="dxa"/>
            <w:vMerge w:val="restart"/>
            <w:tcBorders>
              <w:tl2br w:val="nil"/>
              <w:tr2bl w:val="nil"/>
            </w:tcBorders>
            <w:noWrap w:val="0"/>
            <w:vAlign w:val="center"/>
          </w:tcPr>
          <w:p>
            <w:pPr>
              <w:pStyle w:val="35"/>
              <w:bidi w:val="0"/>
              <w:jc w:val="center"/>
              <w:rPr>
                <w:rFonts w:hint="eastAsia" w:ascii="Times New Roman" w:hAnsi="Times New Roman" w:cs="Times New Roman"/>
                <w:b w:val="0"/>
                <w:bCs w:val="0"/>
                <w:color w:val="auto"/>
                <w:u w:val="single"/>
                <w:lang w:val="en-US" w:eastAsia="zh-CN"/>
              </w:rPr>
            </w:pPr>
            <w:r>
              <w:rPr>
                <w:rFonts w:hint="eastAsia" w:ascii="Times New Roman" w:hAnsi="Times New Roman" w:cs="Times New Roman"/>
                <w:b w:val="0"/>
                <w:bCs w:val="0"/>
                <w:color w:val="auto"/>
                <w:u w:val="single"/>
                <w:lang w:val="en-US" w:eastAsia="zh-CN"/>
              </w:rPr>
              <w:t>工业用碳酸二甲酯国家标准（GB∕T 33107-2016）</w:t>
            </w:r>
          </w:p>
        </w:tc>
        <w:tc>
          <w:tcPr>
            <w:tcW w:w="1903" w:type="dxa"/>
            <w:vMerge w:val="restart"/>
            <w:tcBorders>
              <w:tl2br w:val="nil"/>
              <w:tr2bl w:val="nil"/>
            </w:tcBorders>
            <w:noWrap w:val="0"/>
            <w:vAlign w:val="center"/>
          </w:tcPr>
          <w:p>
            <w:pPr>
              <w:pStyle w:val="35"/>
              <w:bidi w:val="0"/>
              <w:jc w:val="center"/>
              <w:rPr>
                <w:rFonts w:hint="default" w:ascii="Times New Roman" w:hAnsi="Times New Roman" w:cs="Times New Roman"/>
                <w:b w:val="0"/>
                <w:bCs w:val="0"/>
                <w:color w:val="auto"/>
                <w:u w:val="single"/>
                <w:lang w:val="en-US" w:eastAsia="zh-CN"/>
              </w:rPr>
            </w:pPr>
            <w:r>
              <w:rPr>
                <w:rFonts w:hint="eastAsia" w:ascii="Times New Roman" w:hAnsi="Times New Roman" w:cs="Times New Roman"/>
                <w:b w:val="0"/>
                <w:bCs w:val="0"/>
                <w:color w:val="auto"/>
                <w:u w:val="single"/>
                <w:lang w:val="en-US" w:eastAsia="zh-CN"/>
              </w:rPr>
              <w:t>一级品</w:t>
            </w:r>
          </w:p>
        </w:tc>
        <w:tc>
          <w:tcPr>
            <w:tcW w:w="1903" w:type="dxa"/>
            <w:tcBorders>
              <w:tl2br w:val="nil"/>
              <w:tr2bl w:val="nil"/>
            </w:tcBorders>
            <w:noWrap w:val="0"/>
            <w:vAlign w:val="center"/>
          </w:tcPr>
          <w:p>
            <w:pPr>
              <w:pStyle w:val="35"/>
              <w:bidi w:val="0"/>
              <w:jc w:val="center"/>
              <w:rPr>
                <w:rFonts w:hint="default" w:ascii="Times New Roman" w:hAnsi="Times New Roman" w:cs="Times New Roman"/>
                <w:b w:val="0"/>
                <w:bCs w:val="0"/>
                <w:color w:val="auto"/>
                <w:u w:val="single"/>
                <w:lang w:val="en-US" w:eastAsia="zh-CN"/>
              </w:rPr>
            </w:pPr>
            <w:r>
              <w:rPr>
                <w:rFonts w:hint="eastAsia" w:ascii="Times New Roman" w:hAnsi="Times New Roman" w:cs="Times New Roman"/>
                <w:b w:val="0"/>
                <w:bCs w:val="0"/>
                <w:color w:val="auto"/>
                <w:u w:val="single"/>
                <w:lang w:val="en-US" w:eastAsia="zh-CN"/>
              </w:rPr>
              <w:t>碳酸二甲酯，</w:t>
            </w:r>
            <w:r>
              <w:rPr>
                <w:rFonts w:hint="eastAsia" w:ascii="Times New Roman" w:hAnsi="Times New Roman" w:cs="Times New Roman"/>
                <w:b w:val="0"/>
                <w:bCs w:val="0"/>
                <w:i/>
                <w:iCs/>
                <w:color w:val="auto"/>
                <w:u w:val="single"/>
                <w:lang w:val="en-US" w:eastAsia="zh-CN"/>
              </w:rPr>
              <w:t>w/</w:t>
            </w:r>
            <w:r>
              <w:rPr>
                <w:rFonts w:hint="eastAsia" w:ascii="Times New Roman" w:hAnsi="Times New Roman" w:cs="Times New Roman"/>
                <w:b w:val="0"/>
                <w:bCs w:val="0"/>
                <w:color w:val="auto"/>
                <w:u w:val="single"/>
                <w:lang w:val="en-US" w:eastAsia="zh-CN"/>
              </w:rPr>
              <w:t>%</w:t>
            </w:r>
          </w:p>
        </w:tc>
        <w:tc>
          <w:tcPr>
            <w:tcW w:w="1903" w:type="dxa"/>
            <w:tcBorders>
              <w:tl2br w:val="nil"/>
              <w:tr2bl w:val="nil"/>
            </w:tcBorders>
            <w:noWrap w:val="0"/>
            <w:vAlign w:val="center"/>
          </w:tcPr>
          <w:p>
            <w:pPr>
              <w:pStyle w:val="35"/>
              <w:bidi w:val="0"/>
              <w:jc w:val="center"/>
              <w:rPr>
                <w:rFonts w:hint="default" w:ascii="Times New Roman" w:hAnsi="Times New Roman" w:cs="Times New Roman"/>
                <w:b w:val="0"/>
                <w:bCs w:val="0"/>
                <w:color w:val="auto"/>
                <w:u w:val="single"/>
                <w:lang w:val="en-US" w:eastAsia="zh-CN"/>
              </w:rPr>
            </w:pPr>
            <w:r>
              <w:rPr>
                <w:rFonts w:hint="eastAsia" w:ascii="Times New Roman" w:hAnsi="Times New Roman" w:cs="Times New Roman"/>
                <w:b w:val="0"/>
                <w:bCs w:val="0"/>
                <w:color w:val="auto"/>
                <w:u w:val="single"/>
                <w:lang w:val="en-US" w:eastAsia="zh-CN"/>
              </w:rPr>
              <w:t>≥99.5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4" w:hRule="atLeast"/>
        </w:trPr>
        <w:tc>
          <w:tcPr>
            <w:tcW w:w="1902" w:type="dxa"/>
            <w:vMerge w:val="continue"/>
            <w:tcBorders>
              <w:tl2br w:val="nil"/>
              <w:tr2bl w:val="nil"/>
            </w:tcBorders>
            <w:noWrap w:val="0"/>
            <w:vAlign w:val="center"/>
          </w:tcPr>
          <w:p>
            <w:pPr>
              <w:pStyle w:val="35"/>
              <w:bidi w:val="0"/>
              <w:jc w:val="center"/>
              <w:rPr>
                <w:rFonts w:hint="eastAsia" w:ascii="Times New Roman" w:hAnsi="Times New Roman" w:cs="Times New Roman"/>
                <w:b w:val="0"/>
                <w:bCs w:val="0"/>
                <w:color w:val="auto"/>
                <w:u w:val="single"/>
                <w:lang w:val="en-US" w:eastAsia="zh-CN"/>
              </w:rPr>
            </w:pPr>
          </w:p>
        </w:tc>
        <w:tc>
          <w:tcPr>
            <w:tcW w:w="1902" w:type="dxa"/>
            <w:vMerge w:val="continue"/>
            <w:tcBorders>
              <w:tl2br w:val="nil"/>
              <w:tr2bl w:val="nil"/>
            </w:tcBorders>
            <w:noWrap w:val="0"/>
            <w:vAlign w:val="center"/>
          </w:tcPr>
          <w:p>
            <w:pPr>
              <w:pStyle w:val="35"/>
              <w:bidi w:val="0"/>
              <w:jc w:val="center"/>
              <w:rPr>
                <w:rFonts w:hint="eastAsia" w:ascii="Times New Roman" w:hAnsi="Times New Roman" w:cs="Times New Roman"/>
                <w:b w:val="0"/>
                <w:bCs w:val="0"/>
                <w:color w:val="auto"/>
                <w:u w:val="single"/>
                <w:lang w:val="en-US" w:eastAsia="zh-CN"/>
              </w:rPr>
            </w:pPr>
          </w:p>
        </w:tc>
        <w:tc>
          <w:tcPr>
            <w:tcW w:w="1903" w:type="dxa"/>
            <w:vMerge w:val="continue"/>
            <w:tcBorders>
              <w:tl2br w:val="nil"/>
              <w:tr2bl w:val="nil"/>
            </w:tcBorders>
            <w:noWrap w:val="0"/>
            <w:vAlign w:val="center"/>
          </w:tcPr>
          <w:p>
            <w:pPr>
              <w:pStyle w:val="35"/>
              <w:bidi w:val="0"/>
              <w:jc w:val="center"/>
              <w:rPr>
                <w:rFonts w:hint="eastAsia" w:ascii="Times New Roman" w:hAnsi="Times New Roman" w:cs="Times New Roman"/>
                <w:b w:val="0"/>
                <w:bCs w:val="0"/>
                <w:color w:val="auto"/>
                <w:u w:val="single"/>
                <w:lang w:val="en-US" w:eastAsia="zh-CN"/>
              </w:rPr>
            </w:pPr>
          </w:p>
        </w:tc>
        <w:tc>
          <w:tcPr>
            <w:tcW w:w="1903" w:type="dxa"/>
            <w:tcBorders>
              <w:tl2br w:val="nil"/>
              <w:tr2bl w:val="nil"/>
            </w:tcBorders>
            <w:noWrap w:val="0"/>
            <w:vAlign w:val="center"/>
          </w:tcPr>
          <w:p>
            <w:pPr>
              <w:pStyle w:val="35"/>
              <w:bidi w:val="0"/>
              <w:jc w:val="center"/>
              <w:rPr>
                <w:rFonts w:hint="default" w:ascii="Times New Roman" w:hAnsi="Times New Roman" w:cs="Times New Roman"/>
                <w:b w:val="0"/>
                <w:bCs w:val="0"/>
                <w:color w:val="auto"/>
                <w:u w:val="single"/>
                <w:lang w:val="en-US" w:eastAsia="zh-CN"/>
              </w:rPr>
            </w:pPr>
            <w:r>
              <w:rPr>
                <w:rFonts w:hint="eastAsia" w:ascii="Times New Roman" w:hAnsi="Times New Roman" w:cs="Times New Roman"/>
                <w:b w:val="0"/>
                <w:bCs w:val="0"/>
                <w:color w:val="auto"/>
                <w:u w:val="single"/>
                <w:lang w:val="en-US" w:eastAsia="zh-CN"/>
              </w:rPr>
              <w:t>甲醇，</w:t>
            </w:r>
            <w:r>
              <w:rPr>
                <w:rFonts w:hint="eastAsia" w:ascii="Times New Roman" w:hAnsi="Times New Roman" w:cs="Times New Roman"/>
                <w:b w:val="0"/>
                <w:bCs w:val="0"/>
                <w:i/>
                <w:iCs/>
                <w:color w:val="auto"/>
                <w:u w:val="single"/>
                <w:lang w:val="en-US" w:eastAsia="zh-CN"/>
              </w:rPr>
              <w:t>w/</w:t>
            </w:r>
            <w:r>
              <w:rPr>
                <w:rFonts w:hint="eastAsia" w:ascii="Times New Roman" w:hAnsi="Times New Roman" w:cs="Times New Roman"/>
                <w:b w:val="0"/>
                <w:bCs w:val="0"/>
                <w:color w:val="auto"/>
                <w:u w:val="single"/>
                <w:lang w:val="en-US" w:eastAsia="zh-CN"/>
              </w:rPr>
              <w:t>%</w:t>
            </w:r>
          </w:p>
        </w:tc>
        <w:tc>
          <w:tcPr>
            <w:tcW w:w="1903" w:type="dxa"/>
            <w:tcBorders>
              <w:tl2br w:val="nil"/>
              <w:tr2bl w:val="nil"/>
            </w:tcBorders>
            <w:noWrap w:val="0"/>
            <w:vAlign w:val="center"/>
          </w:tcPr>
          <w:p>
            <w:pPr>
              <w:pStyle w:val="35"/>
              <w:bidi w:val="0"/>
              <w:jc w:val="center"/>
              <w:rPr>
                <w:rFonts w:hint="default" w:ascii="Times New Roman" w:hAnsi="Times New Roman" w:cs="Times New Roman"/>
                <w:b w:val="0"/>
                <w:bCs w:val="0"/>
                <w:color w:val="auto"/>
                <w:u w:val="single"/>
                <w:lang w:val="en-US" w:eastAsia="zh-CN"/>
              </w:rPr>
            </w:pPr>
            <w:r>
              <w:rPr>
                <w:rFonts w:hint="eastAsia" w:ascii="Times New Roman" w:hAnsi="Times New Roman" w:cs="Times New Roman"/>
                <w:b w:val="0"/>
                <w:bCs w:val="0"/>
                <w:color w:val="auto"/>
                <w:u w:val="singl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4" w:hRule="atLeast"/>
        </w:trPr>
        <w:tc>
          <w:tcPr>
            <w:tcW w:w="1902" w:type="dxa"/>
            <w:vMerge w:val="continue"/>
            <w:tcBorders>
              <w:tl2br w:val="nil"/>
              <w:tr2bl w:val="nil"/>
            </w:tcBorders>
            <w:noWrap w:val="0"/>
            <w:vAlign w:val="center"/>
          </w:tcPr>
          <w:p>
            <w:pPr>
              <w:pStyle w:val="35"/>
              <w:bidi w:val="0"/>
              <w:jc w:val="center"/>
              <w:rPr>
                <w:rFonts w:hint="eastAsia" w:ascii="Times New Roman" w:hAnsi="Times New Roman" w:cs="Times New Roman"/>
                <w:b w:val="0"/>
                <w:bCs w:val="0"/>
                <w:color w:val="auto"/>
                <w:u w:val="single"/>
                <w:lang w:val="en-US" w:eastAsia="zh-CN"/>
              </w:rPr>
            </w:pPr>
          </w:p>
        </w:tc>
        <w:tc>
          <w:tcPr>
            <w:tcW w:w="1902" w:type="dxa"/>
            <w:vMerge w:val="continue"/>
            <w:tcBorders>
              <w:tl2br w:val="nil"/>
              <w:tr2bl w:val="nil"/>
            </w:tcBorders>
            <w:noWrap w:val="0"/>
            <w:vAlign w:val="center"/>
          </w:tcPr>
          <w:p>
            <w:pPr>
              <w:pStyle w:val="35"/>
              <w:bidi w:val="0"/>
              <w:jc w:val="center"/>
              <w:rPr>
                <w:rFonts w:hint="eastAsia" w:ascii="Times New Roman" w:hAnsi="Times New Roman" w:cs="Times New Roman"/>
                <w:b w:val="0"/>
                <w:bCs w:val="0"/>
                <w:color w:val="auto"/>
                <w:u w:val="single"/>
                <w:lang w:val="en-US" w:eastAsia="zh-CN"/>
              </w:rPr>
            </w:pPr>
          </w:p>
        </w:tc>
        <w:tc>
          <w:tcPr>
            <w:tcW w:w="1903" w:type="dxa"/>
            <w:vMerge w:val="continue"/>
            <w:tcBorders>
              <w:tl2br w:val="nil"/>
              <w:tr2bl w:val="nil"/>
            </w:tcBorders>
            <w:noWrap w:val="0"/>
            <w:vAlign w:val="center"/>
          </w:tcPr>
          <w:p>
            <w:pPr>
              <w:pStyle w:val="35"/>
              <w:bidi w:val="0"/>
              <w:jc w:val="center"/>
              <w:rPr>
                <w:rFonts w:hint="eastAsia" w:ascii="Times New Roman" w:hAnsi="Times New Roman" w:cs="Times New Roman"/>
                <w:b w:val="0"/>
                <w:bCs w:val="0"/>
                <w:color w:val="auto"/>
                <w:u w:val="single"/>
                <w:lang w:val="en-US" w:eastAsia="zh-CN"/>
              </w:rPr>
            </w:pPr>
          </w:p>
        </w:tc>
        <w:tc>
          <w:tcPr>
            <w:tcW w:w="1903" w:type="dxa"/>
            <w:tcBorders>
              <w:tl2br w:val="nil"/>
              <w:tr2bl w:val="nil"/>
            </w:tcBorders>
            <w:noWrap w:val="0"/>
            <w:vAlign w:val="center"/>
          </w:tcPr>
          <w:p>
            <w:pPr>
              <w:pStyle w:val="35"/>
              <w:bidi w:val="0"/>
              <w:jc w:val="center"/>
              <w:rPr>
                <w:rFonts w:hint="default" w:ascii="Times New Roman" w:hAnsi="Times New Roman" w:cs="Times New Roman"/>
                <w:b w:val="0"/>
                <w:bCs w:val="0"/>
                <w:color w:val="auto"/>
                <w:u w:val="single"/>
                <w:lang w:val="en-US" w:eastAsia="zh-CN"/>
              </w:rPr>
            </w:pPr>
            <w:r>
              <w:rPr>
                <w:rFonts w:hint="eastAsia" w:ascii="Times New Roman" w:hAnsi="Times New Roman" w:cs="Times New Roman"/>
                <w:b w:val="0"/>
                <w:bCs w:val="0"/>
                <w:color w:val="auto"/>
                <w:u w:val="single"/>
                <w:lang w:val="en-US" w:eastAsia="zh-CN"/>
              </w:rPr>
              <w:t>水，</w:t>
            </w:r>
            <w:r>
              <w:rPr>
                <w:rFonts w:hint="eastAsia" w:ascii="Times New Roman" w:hAnsi="Times New Roman" w:cs="Times New Roman"/>
                <w:b w:val="0"/>
                <w:bCs w:val="0"/>
                <w:i/>
                <w:iCs/>
                <w:color w:val="auto"/>
                <w:u w:val="single"/>
                <w:lang w:val="en-US" w:eastAsia="zh-CN"/>
              </w:rPr>
              <w:t>w/</w:t>
            </w:r>
            <w:r>
              <w:rPr>
                <w:rFonts w:hint="eastAsia" w:ascii="Times New Roman" w:hAnsi="Times New Roman" w:cs="Times New Roman"/>
                <w:b w:val="0"/>
                <w:bCs w:val="0"/>
                <w:color w:val="auto"/>
                <w:u w:val="single"/>
                <w:lang w:val="en-US" w:eastAsia="zh-CN"/>
              </w:rPr>
              <w:t>%</w:t>
            </w:r>
          </w:p>
        </w:tc>
        <w:tc>
          <w:tcPr>
            <w:tcW w:w="1903" w:type="dxa"/>
            <w:tcBorders>
              <w:tl2br w:val="nil"/>
              <w:tr2bl w:val="nil"/>
            </w:tcBorders>
            <w:noWrap w:val="0"/>
            <w:vAlign w:val="center"/>
          </w:tcPr>
          <w:p>
            <w:pPr>
              <w:pStyle w:val="35"/>
              <w:bidi w:val="0"/>
              <w:jc w:val="center"/>
              <w:rPr>
                <w:rFonts w:hint="default" w:ascii="Times New Roman" w:hAnsi="Times New Roman" w:cs="Times New Roman"/>
                <w:b w:val="0"/>
                <w:bCs w:val="0"/>
                <w:color w:val="auto"/>
                <w:u w:val="single"/>
                <w:lang w:val="en-US" w:eastAsia="zh-CN"/>
              </w:rPr>
            </w:pPr>
            <w:r>
              <w:rPr>
                <w:rFonts w:hint="eastAsia" w:ascii="Times New Roman" w:hAnsi="Times New Roman" w:cs="Times New Roman"/>
                <w:b w:val="0"/>
                <w:bCs w:val="0"/>
                <w:color w:val="auto"/>
                <w:u w:val="single"/>
                <w:lang w:val="en-US" w:eastAsia="zh-CN"/>
              </w:rPr>
              <w:t>≤0.1</w:t>
            </w:r>
          </w:p>
        </w:tc>
      </w:tr>
    </w:tbl>
    <w:p>
      <w:pPr>
        <w:pStyle w:val="36"/>
        <w:bidi w:val="0"/>
        <w:rPr>
          <w:rFonts w:hint="eastAsia"/>
          <w:color w:val="auto"/>
          <w:lang w:val="en-US" w:eastAsia="zh-CN"/>
        </w:rPr>
      </w:pPr>
      <w:r>
        <w:rPr>
          <w:rFonts w:hint="eastAsia"/>
          <w:color w:val="auto"/>
          <w:lang w:val="en-US" w:eastAsia="zh-CN"/>
        </w:rPr>
        <w:t>表4.2-5  产品性质及用途一览表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051"/>
        <w:gridCol w:w="4557"/>
        <w:gridCol w:w="26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35"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产品名称</w:t>
            </w:r>
          </w:p>
        </w:tc>
        <w:tc>
          <w:tcPr>
            <w:tcW w:w="552"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形态</w:t>
            </w:r>
          </w:p>
        </w:tc>
        <w:tc>
          <w:tcPr>
            <w:tcW w:w="2394"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理化性质及毒理资料</w:t>
            </w:r>
          </w:p>
        </w:tc>
        <w:tc>
          <w:tcPr>
            <w:tcW w:w="1417"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主要用途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35"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rPr>
              <w:t>碳酸二甲酯</w:t>
            </w:r>
          </w:p>
        </w:tc>
        <w:tc>
          <w:tcPr>
            <w:tcW w:w="552"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rPr>
              <w:t>无色透明液体</w:t>
            </w:r>
          </w:p>
        </w:tc>
        <w:tc>
          <w:tcPr>
            <w:tcW w:w="2394" w:type="pct"/>
            <w:tcBorders>
              <w:tl2br w:val="nil"/>
              <w:tr2bl w:val="nil"/>
            </w:tcBorders>
            <w:noWrap w:val="0"/>
            <w:vAlign w:val="center"/>
          </w:tcPr>
          <w:p>
            <w:pPr>
              <w:pStyle w:val="35"/>
              <w:bidi w:val="0"/>
              <w:jc w:val="center"/>
              <w:rPr>
                <w:rFonts w:hint="eastAsia"/>
                <w:color w:val="auto"/>
                <w:lang w:val="en-US" w:eastAsia="zh-CN"/>
              </w:rPr>
            </w:pPr>
            <w:r>
              <w:rPr>
                <w:rFonts w:hint="default"/>
                <w:color w:val="auto"/>
                <w:lang w:val="en-US" w:eastAsia="zh-CN"/>
              </w:rPr>
              <w:t>碳酸二甲酯(dimethylcarbonate，DMC)是一种无色透明、有刺激性气味的液体，相对密度为1.0694，折射率为1.3687，熔点为2-4℃，沸点90-91℃，可燃，微溶于水，略带香味，无毒。与水可形成共沸物，能以任何比例与有机溶剂醇、酮、酯等混合</w:t>
            </w:r>
            <w:r>
              <w:rPr>
                <w:rFonts w:hint="eastAsia"/>
                <w:color w:val="auto"/>
                <w:lang w:val="en-US" w:eastAsia="zh-CN"/>
              </w:rPr>
              <w:t>。</w:t>
            </w:r>
          </w:p>
          <w:p>
            <w:pPr>
              <w:pStyle w:val="35"/>
              <w:bidi w:val="0"/>
              <w:jc w:val="center"/>
              <w:rPr>
                <w:rFonts w:hint="eastAsia"/>
                <w:color w:val="auto"/>
                <w:lang w:val="en-US" w:eastAsia="zh-CN"/>
              </w:rPr>
            </w:pPr>
            <w:r>
              <w:rPr>
                <w:rFonts w:hint="eastAsia"/>
                <w:b/>
                <w:bCs/>
                <w:color w:val="auto"/>
                <w:lang w:val="en-US" w:eastAsia="zh-CN"/>
              </w:rPr>
              <w:t>危险特性：</w:t>
            </w:r>
            <w:r>
              <w:rPr>
                <w:rFonts w:hint="eastAsia"/>
                <w:b w:val="0"/>
                <w:bCs w:val="0"/>
                <w:color w:val="auto"/>
                <w:lang w:val="en-US" w:eastAsia="zh-CN"/>
              </w:rPr>
              <w:t>易燃，遇明火、高热易燃。在火场中，受热的容器有爆炸危险。</w:t>
            </w:r>
            <w:r>
              <w:rPr>
                <w:rFonts w:hint="eastAsia"/>
                <w:b/>
                <w:bCs/>
                <w:color w:val="auto"/>
                <w:lang w:val="en-US" w:eastAsia="zh-CN"/>
              </w:rPr>
              <w:t>危险类别：</w:t>
            </w:r>
            <w:r>
              <w:rPr>
                <w:rFonts w:hint="eastAsia"/>
                <w:color w:val="auto"/>
                <w:lang w:val="en-US" w:eastAsia="zh-CN"/>
              </w:rPr>
              <w:t>第3.2类 中闪点易燃液体</w:t>
            </w:r>
          </w:p>
          <w:p>
            <w:pPr>
              <w:pStyle w:val="35"/>
              <w:bidi w:val="0"/>
              <w:jc w:val="center"/>
              <w:rPr>
                <w:rFonts w:hint="default"/>
                <w:color w:val="auto"/>
                <w:lang w:val="en-US" w:eastAsia="zh-CN"/>
              </w:rPr>
            </w:pPr>
            <w:r>
              <w:rPr>
                <w:rFonts w:hint="eastAsia"/>
                <w:b/>
                <w:bCs/>
                <w:color w:val="auto"/>
                <w:lang w:val="en-US" w:eastAsia="zh-CN"/>
              </w:rPr>
              <w:t>毒理特征</w:t>
            </w:r>
            <w:r>
              <w:rPr>
                <w:rFonts w:hint="default"/>
                <w:b/>
                <w:bCs/>
                <w:color w:val="auto"/>
                <w:lang w:val="en-US" w:eastAsia="zh-CN"/>
              </w:rPr>
              <w:t>：</w:t>
            </w:r>
            <w:r>
              <w:rPr>
                <w:rFonts w:hint="default"/>
                <w:color w:val="auto"/>
                <w:lang w:val="en-US" w:eastAsia="zh-CN"/>
              </w:rPr>
              <w:t>属微毒类LD50：13000mg／kg(大鼠经口)；6000mg／kg(小鼠经口)LC50：</w:t>
            </w:r>
          </w:p>
        </w:tc>
        <w:tc>
          <w:tcPr>
            <w:tcW w:w="1417" w:type="pct"/>
            <w:tcBorders>
              <w:tl2br w:val="nil"/>
              <w:tr2bl w:val="nil"/>
            </w:tcBorders>
            <w:noWrap w:val="0"/>
            <w:vAlign w:val="center"/>
          </w:tcPr>
          <w:p>
            <w:pPr>
              <w:pStyle w:val="35"/>
              <w:bidi w:val="0"/>
              <w:jc w:val="center"/>
              <w:rPr>
                <w:rFonts w:hint="default"/>
                <w:color w:val="auto"/>
                <w:lang w:val="en-US" w:eastAsia="zh-CN"/>
              </w:rPr>
            </w:pPr>
            <w:r>
              <w:rPr>
                <w:rFonts w:hint="default"/>
                <w:color w:val="auto"/>
                <w:lang w:val="en-US" w:eastAsia="zh-CN"/>
              </w:rPr>
              <w:t>碳酸二甲酯（DMC）是迅速发展起来的环境调和型绿色化工产品，它是可用于替代毒性较大的光气、氯甲烷、氯甲酸甲酯等物质的有机化工基本原料，</w:t>
            </w:r>
          </w:p>
          <w:p>
            <w:pPr>
              <w:pStyle w:val="35"/>
              <w:bidi w:val="0"/>
              <w:jc w:val="center"/>
              <w:rPr>
                <w:rFonts w:hint="default"/>
                <w:color w:val="auto"/>
                <w:lang w:val="en-US" w:eastAsia="zh-CN"/>
              </w:rPr>
            </w:pPr>
            <w:r>
              <w:rPr>
                <w:rFonts w:hint="default"/>
                <w:color w:val="auto"/>
                <w:lang w:val="en-US" w:eastAsia="zh-CN"/>
              </w:rPr>
              <w:t>另外，它在制取高性能树脂、溶剂、染料中间体、药物、增香剂、食品防腐剂等领域内的应用</w:t>
            </w:r>
            <w:r>
              <w:rPr>
                <w:rFonts w:hint="eastAsia"/>
                <w:color w:val="auto"/>
                <w:lang w:val="en-US" w:eastAsia="zh-CN"/>
              </w:rPr>
              <w:t>也</w:t>
            </w:r>
            <w:r>
              <w:rPr>
                <w:rFonts w:hint="default"/>
                <w:color w:val="auto"/>
                <w:lang w:val="en-US" w:eastAsia="zh-CN"/>
              </w:rPr>
              <w:t>越来越广泛</w:t>
            </w: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35"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rPr>
              <w:t>醋酸甲酯</w:t>
            </w:r>
          </w:p>
        </w:tc>
        <w:tc>
          <w:tcPr>
            <w:tcW w:w="552"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rPr>
              <w:t>无色透明液体</w:t>
            </w:r>
          </w:p>
        </w:tc>
        <w:tc>
          <w:tcPr>
            <w:tcW w:w="2394" w:type="pct"/>
            <w:tcBorders>
              <w:tl2br w:val="nil"/>
              <w:tr2bl w:val="nil"/>
            </w:tcBorders>
            <w:noWrap w:val="0"/>
            <w:vAlign w:val="center"/>
          </w:tcPr>
          <w:p>
            <w:pPr>
              <w:pStyle w:val="35"/>
              <w:bidi w:val="0"/>
              <w:jc w:val="center"/>
              <w:rPr>
                <w:rFonts w:hint="default"/>
                <w:color w:val="auto"/>
                <w:lang w:val="en-US" w:eastAsia="zh-CN"/>
              </w:rPr>
            </w:pPr>
            <w:r>
              <w:rPr>
                <w:rFonts w:hint="default"/>
                <w:color w:val="auto"/>
                <w:lang w:val="en-US" w:eastAsia="zh-CN"/>
              </w:rPr>
              <w:t>无色透明液体，具有芳香味。熔点-98.1℃，沸点57℃，相对密度0.93，闪点-10℃，折射率1.3594，汽化热410.8J/g，比热容2.1J/（g·℃），蒸气压（20℃）22.64kPa。与醇、醚互溶，在水中溶解度为31.9g/100ml（20℃）。易水解。易燃。</w:t>
            </w:r>
            <w:r>
              <w:rPr>
                <w:rFonts w:hint="eastAsia"/>
                <w:b/>
                <w:bCs/>
                <w:color w:val="auto"/>
                <w:lang w:val="en-US" w:eastAsia="zh-CN"/>
              </w:rPr>
              <w:t>危险特性：</w:t>
            </w:r>
            <w:r>
              <w:rPr>
                <w:rFonts w:hint="eastAsia"/>
                <w:color w:val="auto"/>
                <w:lang w:val="en-US" w:eastAsia="zh-CN"/>
              </w:rPr>
              <w:t>易燃，其蒸气与空气可形成爆炸性混合物，遇明火、高热能引起燃烧爆炸。与氧化剂接触猛烈反应。其蒸气比空气重，能在较低处扩散到相当远的地方，遇火源会着火回燃。</w:t>
            </w:r>
            <w:r>
              <w:rPr>
                <w:rFonts w:hint="eastAsia"/>
                <w:b/>
                <w:bCs/>
                <w:color w:val="auto"/>
                <w:lang w:val="en-US" w:eastAsia="zh-CN"/>
              </w:rPr>
              <w:t>危险类别：</w:t>
            </w:r>
            <w:r>
              <w:rPr>
                <w:rFonts w:hint="default"/>
                <w:b w:val="0"/>
                <w:bCs w:val="0"/>
                <w:color w:val="auto"/>
                <w:lang w:val="en-US" w:eastAsia="zh-CN"/>
              </w:rPr>
              <w:t>第3.2类 中闪点易燃液体</w:t>
            </w:r>
            <w:r>
              <w:rPr>
                <w:rFonts w:hint="eastAsia"/>
                <w:b w:val="0"/>
                <w:bCs w:val="0"/>
                <w:color w:val="auto"/>
                <w:lang w:val="en-US" w:eastAsia="zh-CN"/>
              </w:rPr>
              <w:t>。</w:t>
            </w:r>
            <w:r>
              <w:rPr>
                <w:rFonts w:hint="eastAsia"/>
                <w:b/>
                <w:bCs/>
                <w:color w:val="auto"/>
                <w:lang w:val="en-US" w:eastAsia="zh-CN"/>
              </w:rPr>
              <w:t>毒理特征</w:t>
            </w:r>
            <w:r>
              <w:rPr>
                <w:rFonts w:hint="default"/>
                <w:b/>
                <w:bCs/>
                <w:color w:val="auto"/>
                <w:lang w:val="en-US" w:eastAsia="zh-CN"/>
              </w:rPr>
              <w:t>：</w:t>
            </w:r>
            <w:r>
              <w:rPr>
                <w:rFonts w:hint="default"/>
                <w:color w:val="auto"/>
                <w:lang w:val="en-US" w:eastAsia="zh-CN"/>
              </w:rPr>
              <w:t>LD50：5450mg／kg(大鼠经口)；3700mg／kg(兔经口)</w:t>
            </w:r>
          </w:p>
        </w:tc>
        <w:tc>
          <w:tcPr>
            <w:tcW w:w="1417" w:type="pct"/>
            <w:tcBorders>
              <w:tl2br w:val="nil"/>
              <w:tr2bl w:val="nil"/>
            </w:tcBorders>
            <w:noWrap w:val="0"/>
            <w:vAlign w:val="center"/>
          </w:tcPr>
          <w:p>
            <w:pPr>
              <w:pStyle w:val="35"/>
              <w:bidi w:val="0"/>
              <w:jc w:val="center"/>
              <w:rPr>
                <w:rFonts w:hint="default"/>
                <w:color w:val="auto"/>
                <w:lang w:val="en-US" w:eastAsia="zh-CN"/>
              </w:rPr>
            </w:pPr>
            <w:r>
              <w:rPr>
                <w:rFonts w:hint="default"/>
                <w:color w:val="auto"/>
                <w:lang w:val="en-US" w:eastAsia="zh-CN"/>
              </w:rPr>
              <w:t>醋酸甲酯主要用作树脂、涂料、油墨、油漆、胶粘剂、皮革生产过程所需的有机溶剂，聚氨酯泡沫发泡剂，天那水等。</w:t>
            </w:r>
          </w:p>
        </w:tc>
      </w:tr>
    </w:tbl>
    <w:p>
      <w:pPr>
        <w:pStyle w:val="33"/>
        <w:bidi w:val="0"/>
        <w:rPr>
          <w:color w:val="auto"/>
        </w:rPr>
      </w:pPr>
      <w:r>
        <w:rPr>
          <w:rFonts w:hint="eastAsia"/>
          <w:color w:val="auto"/>
          <w:lang w:val="en-US" w:eastAsia="zh-CN"/>
        </w:rPr>
        <w:t>本次技改生产碳酸二甲酯、醋酸甲酯主要利用现有原料油蒸馏生产</w:t>
      </w:r>
      <w:r>
        <w:rPr>
          <w:rFonts w:hint="eastAsia"/>
          <w:color w:val="auto"/>
        </w:rPr>
        <w:t>苯乙烯</w:t>
      </w:r>
      <w:r>
        <w:rPr>
          <w:rFonts w:hint="eastAsia"/>
          <w:color w:val="auto"/>
          <w:lang w:eastAsia="zh-CN"/>
        </w:rPr>
        <w:t>、</w:t>
      </w:r>
      <w:r>
        <w:rPr>
          <w:rFonts w:hint="eastAsia"/>
          <w:color w:val="auto"/>
        </w:rPr>
        <w:t>环己烷</w:t>
      </w:r>
      <w:r>
        <w:rPr>
          <w:rFonts w:hint="eastAsia"/>
          <w:color w:val="auto"/>
          <w:lang w:eastAsia="zh-CN"/>
        </w:rPr>
        <w:t>、</w:t>
      </w:r>
      <w:r>
        <w:rPr>
          <w:rFonts w:hint="eastAsia"/>
          <w:color w:val="auto"/>
        </w:rPr>
        <w:t>环己酮</w:t>
      </w:r>
      <w:r>
        <w:rPr>
          <w:rFonts w:hint="eastAsia"/>
          <w:color w:val="auto"/>
          <w:lang w:val="en-US" w:eastAsia="zh-CN"/>
        </w:rPr>
        <w:t>生产装置，碳酸二甲酯、醋酸甲酯新增15000t和10000t。根据市场行情，本项目与现有原料油蒸馏生产</w:t>
      </w:r>
      <w:r>
        <w:rPr>
          <w:rFonts w:hint="eastAsia"/>
          <w:color w:val="auto"/>
        </w:rPr>
        <w:t>苯乙烯</w:t>
      </w:r>
      <w:r>
        <w:rPr>
          <w:rFonts w:hint="eastAsia"/>
          <w:color w:val="auto"/>
          <w:lang w:eastAsia="zh-CN"/>
        </w:rPr>
        <w:t>、</w:t>
      </w:r>
      <w:r>
        <w:rPr>
          <w:rFonts w:hint="eastAsia"/>
          <w:color w:val="auto"/>
        </w:rPr>
        <w:t>环己烷</w:t>
      </w:r>
      <w:r>
        <w:rPr>
          <w:rFonts w:hint="eastAsia"/>
          <w:color w:val="auto"/>
          <w:lang w:eastAsia="zh-CN"/>
        </w:rPr>
        <w:t>、</w:t>
      </w:r>
      <w:r>
        <w:rPr>
          <w:rFonts w:hint="eastAsia"/>
          <w:color w:val="auto"/>
        </w:rPr>
        <w:t>环己酮</w:t>
      </w:r>
      <w:r>
        <w:rPr>
          <w:rFonts w:hint="eastAsia"/>
          <w:color w:val="auto"/>
          <w:lang w:val="en-US" w:eastAsia="zh-CN"/>
        </w:rPr>
        <w:t>交替生产。技改</w:t>
      </w:r>
      <w:r>
        <w:rPr>
          <w:rFonts w:hint="eastAsia"/>
          <w:color w:val="auto"/>
        </w:rPr>
        <w:t>前后产品对照一览表见表</w:t>
      </w:r>
      <w:r>
        <w:rPr>
          <w:rFonts w:hint="eastAsia"/>
          <w:color w:val="auto"/>
          <w:lang w:val="en-US" w:eastAsia="zh-CN"/>
        </w:rPr>
        <w:t>4.2-6</w:t>
      </w:r>
      <w:r>
        <w:rPr>
          <w:rFonts w:hint="eastAsia"/>
          <w:color w:val="auto"/>
        </w:rPr>
        <w:t>。</w:t>
      </w:r>
    </w:p>
    <w:p>
      <w:pPr>
        <w:pStyle w:val="36"/>
        <w:bidi w:val="0"/>
        <w:rPr>
          <w:rFonts w:hint="eastAsia"/>
          <w:color w:val="auto"/>
        </w:rPr>
      </w:pPr>
      <w:r>
        <w:rPr>
          <w:color w:val="auto"/>
        </w:rPr>
        <w:t>表</w:t>
      </w:r>
      <w:r>
        <w:rPr>
          <w:rFonts w:hint="eastAsia"/>
          <w:color w:val="auto"/>
          <w:lang w:val="en-US" w:eastAsia="zh-CN"/>
        </w:rPr>
        <w:t xml:space="preserve">4.2-6 </w:t>
      </w:r>
      <w:r>
        <w:rPr>
          <w:color w:val="auto"/>
        </w:rPr>
        <w:t xml:space="preserve"> </w:t>
      </w:r>
      <w:r>
        <w:rPr>
          <w:rFonts w:hint="eastAsia"/>
          <w:color w:val="auto"/>
          <w:lang w:val="en-US" w:eastAsia="zh-CN"/>
        </w:rPr>
        <w:t>技改</w:t>
      </w:r>
      <w:r>
        <w:rPr>
          <w:rFonts w:hint="eastAsia"/>
          <w:color w:val="auto"/>
        </w:rPr>
        <w:t>前后</w:t>
      </w:r>
      <w:r>
        <w:rPr>
          <w:color w:val="auto"/>
        </w:rPr>
        <w:t>产品方案</w:t>
      </w:r>
      <w:r>
        <w:rPr>
          <w:rFonts w:hint="eastAsia"/>
          <w:color w:val="auto"/>
        </w:rPr>
        <w:t>一览</w:t>
      </w:r>
      <w:r>
        <w:rPr>
          <w:color w:val="auto"/>
        </w:rPr>
        <w:t>表</w:t>
      </w:r>
    </w:p>
    <w:tbl>
      <w:tblPr>
        <w:tblStyle w:val="27"/>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926"/>
        <w:gridCol w:w="973"/>
        <w:gridCol w:w="1158"/>
        <w:gridCol w:w="999"/>
        <w:gridCol w:w="774"/>
        <w:gridCol w:w="775"/>
        <w:gridCol w:w="21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3" w:hRule="atLeast"/>
          <w:tblHeader/>
          <w:jc w:val="center"/>
        </w:trPr>
        <w:tc>
          <w:tcPr>
            <w:tcW w:w="369" w:type="pct"/>
            <w:vMerge w:val="restart"/>
            <w:tcBorders>
              <w:tl2br w:val="nil"/>
              <w:tr2bl w:val="nil"/>
            </w:tcBorders>
            <w:noWrap w:val="0"/>
            <w:vAlign w:val="center"/>
          </w:tcPr>
          <w:p>
            <w:pPr>
              <w:pStyle w:val="35"/>
              <w:bidi w:val="0"/>
              <w:rPr>
                <w:rFonts w:hint="eastAsia"/>
                <w:b/>
                <w:bCs/>
                <w:color w:val="auto"/>
                <w:lang w:eastAsia="zh-CN"/>
              </w:rPr>
            </w:pPr>
            <w:r>
              <w:rPr>
                <w:rFonts w:hint="eastAsia"/>
                <w:b/>
                <w:bCs/>
                <w:color w:val="auto"/>
                <w:lang w:eastAsia="zh-CN"/>
              </w:rPr>
              <w:t>序号</w:t>
            </w:r>
          </w:p>
        </w:tc>
        <w:tc>
          <w:tcPr>
            <w:tcW w:w="1013" w:type="pct"/>
            <w:vMerge w:val="restart"/>
            <w:tcBorders>
              <w:tl2br w:val="nil"/>
              <w:tr2bl w:val="nil"/>
            </w:tcBorders>
            <w:noWrap w:val="0"/>
            <w:vAlign w:val="center"/>
          </w:tcPr>
          <w:p>
            <w:pPr>
              <w:pStyle w:val="35"/>
              <w:bidi w:val="0"/>
              <w:rPr>
                <w:b/>
                <w:bCs/>
                <w:color w:val="auto"/>
              </w:rPr>
            </w:pPr>
            <w:r>
              <w:rPr>
                <w:b/>
                <w:bCs/>
                <w:color w:val="auto"/>
              </w:rPr>
              <w:t>名 称</w:t>
            </w:r>
          </w:p>
        </w:tc>
        <w:tc>
          <w:tcPr>
            <w:tcW w:w="2461" w:type="pct"/>
            <w:gridSpan w:val="5"/>
            <w:tcBorders>
              <w:tl2br w:val="nil"/>
              <w:tr2bl w:val="nil"/>
            </w:tcBorders>
            <w:noWrap w:val="0"/>
            <w:vAlign w:val="center"/>
          </w:tcPr>
          <w:p>
            <w:pPr>
              <w:pStyle w:val="35"/>
              <w:bidi w:val="0"/>
              <w:rPr>
                <w:b/>
                <w:bCs/>
                <w:color w:val="auto"/>
              </w:rPr>
            </w:pPr>
            <w:r>
              <w:rPr>
                <w:rFonts w:hint="eastAsia"/>
                <w:b/>
                <w:bCs/>
                <w:color w:val="auto"/>
                <w:lang w:eastAsia="zh-CN"/>
              </w:rPr>
              <w:t>设计规模</w:t>
            </w:r>
            <w:r>
              <w:rPr>
                <w:rFonts w:hint="eastAsia"/>
                <w:b/>
                <w:bCs/>
                <w:color w:val="auto"/>
              </w:rPr>
              <w:t>（</w:t>
            </w:r>
            <w:r>
              <w:rPr>
                <w:b/>
                <w:bCs/>
                <w:color w:val="auto"/>
              </w:rPr>
              <w:t>t/a</w:t>
            </w:r>
            <w:r>
              <w:rPr>
                <w:rFonts w:hint="eastAsia"/>
                <w:b/>
                <w:bCs/>
                <w:color w:val="auto"/>
              </w:rPr>
              <w:t>）</w:t>
            </w:r>
          </w:p>
        </w:tc>
        <w:tc>
          <w:tcPr>
            <w:tcW w:w="1154" w:type="pct"/>
            <w:vMerge w:val="restart"/>
            <w:tcBorders>
              <w:tl2br w:val="nil"/>
              <w:tr2bl w:val="nil"/>
            </w:tcBorders>
            <w:noWrap w:val="0"/>
            <w:vAlign w:val="center"/>
          </w:tcPr>
          <w:p>
            <w:pPr>
              <w:pStyle w:val="35"/>
              <w:bidi w:val="0"/>
              <w:rPr>
                <w:b/>
                <w:bCs/>
                <w:color w:val="auto"/>
              </w:rPr>
            </w:pPr>
            <w:r>
              <w:rPr>
                <w:rFonts w:hint="eastAsia"/>
                <w:b/>
                <w:bCs/>
                <w:color w:val="auto"/>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7" w:hRule="atLeast"/>
          <w:tblHeader/>
          <w:jc w:val="center"/>
        </w:trPr>
        <w:tc>
          <w:tcPr>
            <w:tcW w:w="369" w:type="pct"/>
            <w:vMerge w:val="continue"/>
            <w:tcBorders>
              <w:tl2br w:val="nil"/>
              <w:tr2bl w:val="nil"/>
            </w:tcBorders>
            <w:noWrap w:val="0"/>
            <w:vAlign w:val="center"/>
          </w:tcPr>
          <w:p>
            <w:pPr>
              <w:pStyle w:val="35"/>
              <w:bidi w:val="0"/>
              <w:rPr>
                <w:b/>
                <w:bCs/>
                <w:color w:val="auto"/>
              </w:rPr>
            </w:pPr>
          </w:p>
        </w:tc>
        <w:tc>
          <w:tcPr>
            <w:tcW w:w="1013" w:type="pct"/>
            <w:vMerge w:val="continue"/>
            <w:tcBorders>
              <w:tl2br w:val="nil"/>
              <w:tr2bl w:val="nil"/>
            </w:tcBorders>
            <w:noWrap w:val="0"/>
            <w:vAlign w:val="center"/>
          </w:tcPr>
          <w:p>
            <w:pPr>
              <w:pStyle w:val="35"/>
              <w:bidi w:val="0"/>
              <w:rPr>
                <w:b/>
                <w:bCs/>
                <w:color w:val="auto"/>
              </w:rPr>
            </w:pPr>
          </w:p>
        </w:tc>
        <w:tc>
          <w:tcPr>
            <w:tcW w:w="511" w:type="pct"/>
            <w:tcBorders>
              <w:tl2br w:val="nil"/>
              <w:tr2bl w:val="nil"/>
            </w:tcBorders>
            <w:noWrap w:val="0"/>
            <w:vAlign w:val="center"/>
          </w:tcPr>
          <w:p>
            <w:pPr>
              <w:pStyle w:val="35"/>
              <w:bidi w:val="0"/>
              <w:rPr>
                <w:rFonts w:hint="eastAsia"/>
                <w:b/>
                <w:bCs/>
                <w:color w:val="auto"/>
                <w:lang w:val="en-US" w:eastAsia="zh-CN"/>
              </w:rPr>
            </w:pPr>
            <w:r>
              <w:rPr>
                <w:rFonts w:hint="eastAsia"/>
                <w:b/>
                <w:bCs/>
                <w:color w:val="auto"/>
                <w:lang w:val="en-US" w:eastAsia="zh-CN"/>
              </w:rPr>
              <w:t>一期</w:t>
            </w:r>
          </w:p>
          <w:p>
            <w:pPr>
              <w:pStyle w:val="35"/>
              <w:bidi w:val="0"/>
              <w:rPr>
                <w:rFonts w:hint="eastAsia"/>
                <w:b/>
                <w:bCs/>
                <w:color w:val="auto"/>
                <w:lang w:eastAsia="zh-CN"/>
              </w:rPr>
            </w:pPr>
            <w:r>
              <w:rPr>
                <w:rFonts w:hint="eastAsia"/>
                <w:b/>
                <w:bCs/>
                <w:color w:val="auto"/>
                <w:lang w:val="en-US" w:eastAsia="zh-CN"/>
              </w:rPr>
              <w:t>（已建）</w:t>
            </w:r>
          </w:p>
        </w:tc>
        <w:tc>
          <w:tcPr>
            <w:tcW w:w="609" w:type="pct"/>
            <w:tcBorders>
              <w:tl2br w:val="nil"/>
              <w:tr2bl w:val="nil"/>
            </w:tcBorders>
            <w:noWrap w:val="0"/>
            <w:vAlign w:val="center"/>
          </w:tcPr>
          <w:p>
            <w:pPr>
              <w:pStyle w:val="35"/>
              <w:bidi w:val="0"/>
              <w:rPr>
                <w:rFonts w:hint="eastAsia"/>
                <w:b/>
                <w:bCs/>
                <w:color w:val="auto"/>
                <w:lang w:val="en-US" w:eastAsia="zh-CN"/>
              </w:rPr>
            </w:pPr>
            <w:r>
              <w:rPr>
                <w:rFonts w:hint="eastAsia"/>
                <w:b/>
                <w:bCs/>
                <w:color w:val="auto"/>
                <w:lang w:val="en-US" w:eastAsia="zh-CN"/>
              </w:rPr>
              <w:t>二期</w:t>
            </w:r>
          </w:p>
          <w:p>
            <w:pPr>
              <w:pStyle w:val="35"/>
              <w:bidi w:val="0"/>
              <w:rPr>
                <w:rFonts w:hint="eastAsia"/>
                <w:b/>
                <w:bCs/>
                <w:color w:val="auto"/>
                <w:lang w:eastAsia="zh-CN"/>
              </w:rPr>
            </w:pPr>
            <w:r>
              <w:rPr>
                <w:rFonts w:hint="eastAsia"/>
                <w:b/>
                <w:bCs/>
                <w:color w:val="auto"/>
                <w:lang w:val="en-US" w:eastAsia="zh-CN"/>
              </w:rPr>
              <w:t>（在建）</w:t>
            </w:r>
          </w:p>
        </w:tc>
        <w:tc>
          <w:tcPr>
            <w:tcW w:w="525" w:type="pct"/>
            <w:tcBorders>
              <w:tl2br w:val="nil"/>
              <w:tr2bl w:val="nil"/>
            </w:tcBorders>
            <w:noWrap w:val="0"/>
            <w:vAlign w:val="center"/>
          </w:tcPr>
          <w:p>
            <w:pPr>
              <w:pStyle w:val="35"/>
              <w:bidi w:val="0"/>
              <w:rPr>
                <w:rFonts w:hint="default"/>
                <w:b/>
                <w:bCs/>
                <w:color w:val="auto"/>
                <w:lang w:val="en-US" w:eastAsia="zh-CN"/>
              </w:rPr>
            </w:pPr>
            <w:r>
              <w:rPr>
                <w:rFonts w:hint="eastAsia"/>
                <w:b/>
                <w:bCs/>
                <w:color w:val="auto"/>
                <w:lang w:val="en-US" w:eastAsia="zh-CN"/>
              </w:rPr>
              <w:t>本次技改</w:t>
            </w:r>
          </w:p>
        </w:tc>
        <w:tc>
          <w:tcPr>
            <w:tcW w:w="815" w:type="pct"/>
            <w:gridSpan w:val="2"/>
            <w:tcBorders>
              <w:tl2br w:val="nil"/>
              <w:tr2bl w:val="nil"/>
            </w:tcBorders>
            <w:noWrap w:val="0"/>
            <w:vAlign w:val="center"/>
          </w:tcPr>
          <w:p>
            <w:pPr>
              <w:pStyle w:val="35"/>
              <w:bidi w:val="0"/>
              <w:rPr>
                <w:rFonts w:hint="default"/>
                <w:b/>
                <w:bCs/>
                <w:color w:val="auto"/>
                <w:lang w:val="en-US" w:eastAsia="zh-CN"/>
              </w:rPr>
            </w:pPr>
            <w:r>
              <w:rPr>
                <w:rFonts w:hint="eastAsia"/>
                <w:b/>
                <w:bCs/>
                <w:color w:val="auto"/>
                <w:lang w:val="en-US" w:eastAsia="zh-CN"/>
              </w:rPr>
              <w:t>技改后全厂产品方案</w:t>
            </w:r>
          </w:p>
        </w:tc>
        <w:tc>
          <w:tcPr>
            <w:tcW w:w="1154" w:type="pct"/>
            <w:vMerge w:val="continue"/>
            <w:tcBorders>
              <w:tl2br w:val="nil"/>
              <w:tr2bl w:val="nil"/>
            </w:tcBorders>
            <w:noWrap w:val="0"/>
            <w:vAlign w:val="center"/>
          </w:tcPr>
          <w:p>
            <w:pPr>
              <w:pStyle w:val="35"/>
              <w:bidi w:val="0"/>
              <w:rPr>
                <w:rFonts w:hint="eastAsia"/>
                <w:b/>
                <w:bCs/>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7" w:hRule="atLeast"/>
          <w:jc w:val="center"/>
        </w:trPr>
        <w:tc>
          <w:tcPr>
            <w:tcW w:w="369"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1</w:t>
            </w:r>
          </w:p>
        </w:tc>
        <w:tc>
          <w:tcPr>
            <w:tcW w:w="1013" w:type="pct"/>
            <w:tcBorders>
              <w:tl2br w:val="nil"/>
              <w:tr2bl w:val="nil"/>
            </w:tcBorders>
            <w:noWrap w:val="0"/>
            <w:vAlign w:val="center"/>
          </w:tcPr>
          <w:p>
            <w:pPr>
              <w:pStyle w:val="35"/>
              <w:bidi w:val="0"/>
              <w:rPr>
                <w:color w:val="auto"/>
                <w:u w:val="single"/>
              </w:rPr>
            </w:pPr>
            <w:r>
              <w:rPr>
                <w:rFonts w:hint="eastAsia"/>
                <w:color w:val="auto"/>
                <w:u w:val="single"/>
              </w:rPr>
              <w:t>二氯丙烷</w:t>
            </w:r>
          </w:p>
        </w:tc>
        <w:tc>
          <w:tcPr>
            <w:tcW w:w="511" w:type="pct"/>
            <w:tcBorders>
              <w:tl2br w:val="nil"/>
              <w:tr2bl w:val="nil"/>
            </w:tcBorders>
            <w:noWrap w:val="0"/>
            <w:vAlign w:val="center"/>
          </w:tcPr>
          <w:p>
            <w:pPr>
              <w:pStyle w:val="35"/>
              <w:bidi w:val="0"/>
              <w:rPr>
                <w:color w:val="auto"/>
                <w:u w:val="single"/>
              </w:rPr>
            </w:pPr>
            <w:r>
              <w:rPr>
                <w:rFonts w:hint="eastAsia"/>
                <w:color w:val="auto"/>
                <w:u w:val="single"/>
              </w:rPr>
              <w:t>1000</w:t>
            </w:r>
          </w:p>
        </w:tc>
        <w:tc>
          <w:tcPr>
            <w:tcW w:w="609" w:type="pct"/>
            <w:tcBorders>
              <w:tl2br w:val="nil"/>
              <w:tr2bl w:val="nil"/>
            </w:tcBorders>
            <w:noWrap w:val="0"/>
            <w:vAlign w:val="center"/>
          </w:tcPr>
          <w:p>
            <w:pPr>
              <w:pStyle w:val="35"/>
              <w:bidi w:val="0"/>
              <w:rPr>
                <w:color w:val="auto"/>
                <w:u w:val="single"/>
              </w:rPr>
            </w:pPr>
            <w:r>
              <w:rPr>
                <w:rFonts w:hint="eastAsia"/>
                <w:color w:val="auto"/>
                <w:u w:val="single"/>
                <w:lang w:val="en-US" w:eastAsia="zh-CN"/>
              </w:rPr>
              <w:t>2</w:t>
            </w:r>
            <w:r>
              <w:rPr>
                <w:rFonts w:hint="eastAsia"/>
                <w:color w:val="auto"/>
                <w:u w:val="single"/>
              </w:rPr>
              <w:t>000</w:t>
            </w:r>
          </w:p>
        </w:tc>
        <w:tc>
          <w:tcPr>
            <w:tcW w:w="525"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w:t>
            </w:r>
          </w:p>
        </w:tc>
        <w:tc>
          <w:tcPr>
            <w:tcW w:w="815" w:type="pct"/>
            <w:gridSpan w:val="2"/>
            <w:tcBorders>
              <w:tl2br w:val="nil"/>
              <w:tr2bl w:val="nil"/>
            </w:tcBorders>
            <w:noWrap w:val="0"/>
            <w:vAlign w:val="center"/>
          </w:tcPr>
          <w:p>
            <w:pPr>
              <w:pStyle w:val="35"/>
              <w:bidi w:val="0"/>
              <w:rPr>
                <w:rFonts w:hint="default"/>
                <w:color w:val="auto"/>
                <w:u w:val="single"/>
                <w:lang w:val="en-US"/>
              </w:rPr>
            </w:pPr>
            <w:r>
              <w:rPr>
                <w:rFonts w:hint="eastAsia"/>
                <w:color w:val="auto"/>
                <w:u w:val="single"/>
                <w:lang w:val="en-US" w:eastAsia="zh-CN"/>
              </w:rPr>
              <w:t>3000</w:t>
            </w:r>
          </w:p>
        </w:tc>
        <w:tc>
          <w:tcPr>
            <w:tcW w:w="1154" w:type="pct"/>
            <w:vMerge w:val="restart"/>
            <w:tcBorders>
              <w:tl2br w:val="nil"/>
              <w:tr2bl w:val="nil"/>
            </w:tcBorders>
            <w:noWrap w:val="0"/>
            <w:vAlign w:val="center"/>
          </w:tcPr>
          <w:p>
            <w:pPr>
              <w:pStyle w:val="35"/>
              <w:bidi w:val="0"/>
              <w:rPr>
                <w:rFonts w:hint="eastAsia"/>
                <w:color w:val="auto"/>
              </w:rPr>
            </w:pPr>
            <w:r>
              <w:rPr>
                <w:rFonts w:hint="eastAsia"/>
                <w:color w:val="auto"/>
                <w:lang w:val="en-US" w:eastAsia="zh-CN"/>
              </w:rPr>
              <w:t>1#</w:t>
            </w:r>
            <w:r>
              <w:rPr>
                <w:rFonts w:hint="eastAsia"/>
                <w:color w:val="auto"/>
                <w:lang w:eastAsia="zh-CN"/>
              </w:rPr>
              <w:t>生产车间</w:t>
            </w:r>
          </w:p>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1" w:hRule="atLeast"/>
          <w:jc w:val="center"/>
        </w:trPr>
        <w:tc>
          <w:tcPr>
            <w:tcW w:w="369"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2</w:t>
            </w:r>
          </w:p>
        </w:tc>
        <w:tc>
          <w:tcPr>
            <w:tcW w:w="1013" w:type="pct"/>
            <w:tcBorders>
              <w:tl2br w:val="nil"/>
              <w:tr2bl w:val="nil"/>
            </w:tcBorders>
            <w:noWrap w:val="0"/>
            <w:vAlign w:val="center"/>
          </w:tcPr>
          <w:p>
            <w:pPr>
              <w:pStyle w:val="35"/>
              <w:bidi w:val="0"/>
              <w:rPr>
                <w:color w:val="auto"/>
                <w:u w:val="single"/>
              </w:rPr>
            </w:pPr>
            <w:r>
              <w:rPr>
                <w:rFonts w:hint="eastAsia"/>
                <w:color w:val="auto"/>
                <w:u w:val="single"/>
              </w:rPr>
              <w:t>苯乙烯</w:t>
            </w:r>
          </w:p>
        </w:tc>
        <w:tc>
          <w:tcPr>
            <w:tcW w:w="511" w:type="pct"/>
            <w:tcBorders>
              <w:tl2br w:val="nil"/>
              <w:tr2bl w:val="nil"/>
            </w:tcBorders>
            <w:noWrap w:val="0"/>
            <w:vAlign w:val="center"/>
          </w:tcPr>
          <w:p>
            <w:pPr>
              <w:pStyle w:val="35"/>
              <w:bidi w:val="0"/>
              <w:rPr>
                <w:color w:val="auto"/>
                <w:highlight w:val="none"/>
                <w:u w:val="single"/>
              </w:rPr>
            </w:pPr>
            <w:r>
              <w:rPr>
                <w:rFonts w:hint="eastAsia"/>
                <w:color w:val="auto"/>
                <w:highlight w:val="none"/>
                <w:u w:val="single"/>
              </w:rPr>
              <w:t>1000</w:t>
            </w:r>
          </w:p>
        </w:tc>
        <w:tc>
          <w:tcPr>
            <w:tcW w:w="609" w:type="pct"/>
            <w:tcBorders>
              <w:tl2br w:val="nil"/>
              <w:tr2bl w:val="nil"/>
            </w:tcBorders>
            <w:noWrap w:val="0"/>
            <w:vAlign w:val="center"/>
          </w:tcPr>
          <w:p>
            <w:pPr>
              <w:pStyle w:val="35"/>
              <w:bidi w:val="0"/>
              <w:rPr>
                <w:color w:val="auto"/>
                <w:highlight w:val="none"/>
                <w:u w:val="single"/>
              </w:rPr>
            </w:pPr>
          </w:p>
        </w:tc>
        <w:tc>
          <w:tcPr>
            <w:tcW w:w="525" w:type="pct"/>
            <w:tcBorders>
              <w:tl2br w:val="nil"/>
              <w:tr2bl w:val="nil"/>
            </w:tcBorders>
            <w:noWrap w:val="0"/>
            <w:vAlign w:val="center"/>
          </w:tcPr>
          <w:p>
            <w:pPr>
              <w:pStyle w:val="35"/>
              <w:bidi w:val="0"/>
              <w:rPr>
                <w:rFonts w:hint="default"/>
                <w:color w:val="auto"/>
                <w:highlight w:val="none"/>
                <w:u w:val="single"/>
                <w:lang w:val="en-US" w:eastAsia="zh-CN"/>
              </w:rPr>
            </w:pPr>
          </w:p>
        </w:tc>
        <w:tc>
          <w:tcPr>
            <w:tcW w:w="407" w:type="pct"/>
            <w:tcBorders>
              <w:tl2br w:val="nil"/>
              <w:tr2bl w:val="nil"/>
            </w:tcBorders>
            <w:noWrap w:val="0"/>
            <w:vAlign w:val="center"/>
          </w:tcPr>
          <w:p>
            <w:pPr>
              <w:pStyle w:val="35"/>
              <w:bidi w:val="0"/>
              <w:ind w:firstLine="0" w:firstLineChars="0"/>
              <w:rPr>
                <w:rFonts w:hint="eastAsia" w:eastAsia="宋体"/>
                <w:color w:val="auto"/>
                <w:highlight w:val="none"/>
                <w:u w:val="single"/>
                <w:lang w:val="en-US" w:eastAsia="zh-CN"/>
              </w:rPr>
            </w:pPr>
            <w:r>
              <w:rPr>
                <w:rFonts w:hint="eastAsia"/>
                <w:color w:val="auto"/>
                <w:highlight w:val="none"/>
                <w:u w:val="single"/>
              </w:rPr>
              <w:t>1000</w:t>
            </w:r>
          </w:p>
        </w:tc>
        <w:tc>
          <w:tcPr>
            <w:tcW w:w="407" w:type="pct"/>
            <w:vMerge w:val="restart"/>
            <w:tcBorders>
              <w:tl2br w:val="nil"/>
              <w:tr2bl w:val="nil"/>
            </w:tcBorders>
            <w:noWrap w:val="0"/>
            <w:vAlign w:val="center"/>
          </w:tcPr>
          <w:p>
            <w:pPr>
              <w:pStyle w:val="35"/>
              <w:bidi w:val="0"/>
              <w:ind w:firstLine="0" w:firstLineChars="0"/>
              <w:rPr>
                <w:rFonts w:hint="default" w:eastAsia="宋体"/>
                <w:color w:val="auto"/>
                <w:highlight w:val="none"/>
                <w:u w:val="single"/>
                <w:lang w:val="en-US" w:eastAsia="zh-CN"/>
              </w:rPr>
            </w:pPr>
            <w:r>
              <w:rPr>
                <w:rFonts w:hint="eastAsia"/>
                <w:color w:val="auto"/>
                <w:highlight w:val="none"/>
                <w:u w:val="single"/>
                <w:lang w:val="en-US" w:eastAsia="zh-CN"/>
              </w:rPr>
              <w:t>与碳酸二甲酯交替生产</w:t>
            </w:r>
          </w:p>
        </w:tc>
        <w:tc>
          <w:tcPr>
            <w:tcW w:w="1154" w:type="pct"/>
            <w:vMerge w:val="continue"/>
            <w:tcBorders>
              <w:tl2br w:val="nil"/>
              <w:tr2bl w:val="nil"/>
            </w:tcBorders>
            <w:noWrap w:val="0"/>
            <w:vAlign w:val="center"/>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1" w:hRule="atLeast"/>
          <w:jc w:val="center"/>
        </w:trPr>
        <w:tc>
          <w:tcPr>
            <w:tcW w:w="369"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3</w:t>
            </w:r>
          </w:p>
        </w:tc>
        <w:tc>
          <w:tcPr>
            <w:tcW w:w="1013" w:type="pct"/>
            <w:tcBorders>
              <w:tl2br w:val="nil"/>
              <w:tr2bl w:val="nil"/>
            </w:tcBorders>
            <w:noWrap w:val="0"/>
            <w:vAlign w:val="center"/>
          </w:tcPr>
          <w:p>
            <w:pPr>
              <w:pStyle w:val="35"/>
              <w:bidi w:val="0"/>
              <w:rPr>
                <w:color w:val="auto"/>
                <w:u w:val="single"/>
              </w:rPr>
            </w:pPr>
            <w:r>
              <w:rPr>
                <w:rFonts w:hint="eastAsia"/>
                <w:color w:val="auto"/>
                <w:u w:val="single"/>
              </w:rPr>
              <w:t>环己烷</w:t>
            </w:r>
          </w:p>
        </w:tc>
        <w:tc>
          <w:tcPr>
            <w:tcW w:w="511" w:type="pct"/>
            <w:tcBorders>
              <w:tl2br w:val="nil"/>
              <w:tr2bl w:val="nil"/>
            </w:tcBorders>
            <w:noWrap w:val="0"/>
            <w:vAlign w:val="center"/>
          </w:tcPr>
          <w:p>
            <w:pPr>
              <w:pStyle w:val="35"/>
              <w:bidi w:val="0"/>
              <w:rPr>
                <w:color w:val="auto"/>
                <w:highlight w:val="none"/>
                <w:u w:val="single"/>
              </w:rPr>
            </w:pPr>
            <w:r>
              <w:rPr>
                <w:rFonts w:hint="eastAsia"/>
                <w:color w:val="auto"/>
                <w:highlight w:val="none"/>
                <w:u w:val="single"/>
              </w:rPr>
              <w:t>1000</w:t>
            </w:r>
          </w:p>
        </w:tc>
        <w:tc>
          <w:tcPr>
            <w:tcW w:w="609" w:type="pct"/>
            <w:tcBorders>
              <w:tl2br w:val="nil"/>
              <w:tr2bl w:val="nil"/>
            </w:tcBorders>
            <w:noWrap w:val="0"/>
            <w:vAlign w:val="center"/>
          </w:tcPr>
          <w:p>
            <w:pPr>
              <w:pStyle w:val="35"/>
              <w:bidi w:val="0"/>
              <w:rPr>
                <w:color w:val="auto"/>
                <w:highlight w:val="none"/>
                <w:u w:val="single"/>
              </w:rPr>
            </w:pPr>
          </w:p>
        </w:tc>
        <w:tc>
          <w:tcPr>
            <w:tcW w:w="525" w:type="pct"/>
            <w:tcBorders>
              <w:tl2br w:val="nil"/>
              <w:tr2bl w:val="nil"/>
            </w:tcBorders>
            <w:noWrap w:val="0"/>
            <w:vAlign w:val="center"/>
          </w:tcPr>
          <w:p>
            <w:pPr>
              <w:pStyle w:val="35"/>
              <w:bidi w:val="0"/>
              <w:rPr>
                <w:rFonts w:hint="default"/>
                <w:color w:val="auto"/>
                <w:highlight w:val="none"/>
                <w:u w:val="single"/>
                <w:lang w:val="en-US" w:eastAsia="zh-CN"/>
              </w:rPr>
            </w:pPr>
          </w:p>
        </w:tc>
        <w:tc>
          <w:tcPr>
            <w:tcW w:w="407" w:type="pct"/>
            <w:tcBorders>
              <w:tl2br w:val="nil"/>
              <w:tr2bl w:val="nil"/>
            </w:tcBorders>
            <w:noWrap w:val="0"/>
            <w:vAlign w:val="center"/>
          </w:tcPr>
          <w:p>
            <w:pPr>
              <w:pStyle w:val="35"/>
              <w:bidi w:val="0"/>
              <w:ind w:firstLine="0" w:firstLineChars="0"/>
              <w:rPr>
                <w:rFonts w:hint="default"/>
                <w:color w:val="auto"/>
                <w:highlight w:val="none"/>
                <w:u w:val="single"/>
                <w:lang w:val="en-US"/>
              </w:rPr>
            </w:pPr>
            <w:r>
              <w:rPr>
                <w:rFonts w:hint="eastAsia"/>
                <w:color w:val="auto"/>
                <w:highlight w:val="none"/>
                <w:u w:val="single"/>
              </w:rPr>
              <w:t>1000</w:t>
            </w:r>
          </w:p>
        </w:tc>
        <w:tc>
          <w:tcPr>
            <w:tcW w:w="407" w:type="pct"/>
            <w:vMerge w:val="continue"/>
            <w:tcBorders>
              <w:tl2br w:val="nil"/>
              <w:tr2bl w:val="nil"/>
            </w:tcBorders>
            <w:noWrap w:val="0"/>
            <w:vAlign w:val="center"/>
          </w:tcPr>
          <w:p>
            <w:pPr>
              <w:pStyle w:val="35"/>
              <w:bidi w:val="0"/>
              <w:ind w:firstLine="0" w:firstLineChars="0"/>
              <w:rPr>
                <w:rFonts w:hint="eastAsia"/>
                <w:color w:val="auto"/>
                <w:highlight w:val="none"/>
                <w:u w:val="single"/>
              </w:rPr>
            </w:pPr>
          </w:p>
        </w:tc>
        <w:tc>
          <w:tcPr>
            <w:tcW w:w="1154" w:type="pct"/>
            <w:vMerge w:val="continue"/>
            <w:tcBorders>
              <w:tl2br w:val="nil"/>
              <w:tr2bl w:val="nil"/>
            </w:tcBorders>
            <w:noWrap w:val="0"/>
            <w:vAlign w:val="center"/>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1" w:hRule="atLeast"/>
          <w:jc w:val="center"/>
        </w:trPr>
        <w:tc>
          <w:tcPr>
            <w:tcW w:w="369"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4</w:t>
            </w:r>
          </w:p>
        </w:tc>
        <w:tc>
          <w:tcPr>
            <w:tcW w:w="1013" w:type="pct"/>
            <w:tcBorders>
              <w:tl2br w:val="nil"/>
              <w:tr2bl w:val="nil"/>
            </w:tcBorders>
            <w:noWrap w:val="0"/>
            <w:vAlign w:val="center"/>
          </w:tcPr>
          <w:p>
            <w:pPr>
              <w:pStyle w:val="35"/>
              <w:bidi w:val="0"/>
              <w:rPr>
                <w:color w:val="auto"/>
                <w:u w:val="single"/>
              </w:rPr>
            </w:pPr>
            <w:r>
              <w:rPr>
                <w:rFonts w:hint="eastAsia"/>
                <w:color w:val="auto"/>
                <w:u w:val="single"/>
              </w:rPr>
              <w:t>环己酮</w:t>
            </w:r>
          </w:p>
        </w:tc>
        <w:tc>
          <w:tcPr>
            <w:tcW w:w="511" w:type="pct"/>
            <w:tcBorders>
              <w:tl2br w:val="nil"/>
              <w:tr2bl w:val="nil"/>
            </w:tcBorders>
            <w:noWrap w:val="0"/>
            <w:vAlign w:val="center"/>
          </w:tcPr>
          <w:p>
            <w:pPr>
              <w:pStyle w:val="35"/>
              <w:bidi w:val="0"/>
              <w:rPr>
                <w:color w:val="auto"/>
                <w:highlight w:val="none"/>
                <w:u w:val="single"/>
              </w:rPr>
            </w:pPr>
            <w:r>
              <w:rPr>
                <w:rFonts w:hint="eastAsia"/>
                <w:color w:val="auto"/>
                <w:highlight w:val="none"/>
                <w:u w:val="single"/>
                <w:lang w:val="en-US" w:eastAsia="zh-CN"/>
              </w:rPr>
              <w:t>2</w:t>
            </w:r>
            <w:r>
              <w:rPr>
                <w:rFonts w:hint="eastAsia"/>
                <w:color w:val="auto"/>
                <w:highlight w:val="none"/>
                <w:u w:val="single"/>
              </w:rPr>
              <w:t>000</w:t>
            </w:r>
          </w:p>
        </w:tc>
        <w:tc>
          <w:tcPr>
            <w:tcW w:w="609" w:type="pct"/>
            <w:tcBorders>
              <w:tl2br w:val="nil"/>
              <w:tr2bl w:val="nil"/>
            </w:tcBorders>
            <w:noWrap w:val="0"/>
            <w:vAlign w:val="center"/>
          </w:tcPr>
          <w:p>
            <w:pPr>
              <w:pStyle w:val="35"/>
              <w:bidi w:val="0"/>
              <w:rPr>
                <w:rFonts w:hint="eastAsia"/>
                <w:color w:val="auto"/>
                <w:highlight w:val="none"/>
                <w:u w:val="single"/>
                <w:lang w:val="en-US" w:eastAsia="zh-CN"/>
              </w:rPr>
            </w:pPr>
          </w:p>
        </w:tc>
        <w:tc>
          <w:tcPr>
            <w:tcW w:w="525" w:type="pct"/>
            <w:tcBorders>
              <w:tl2br w:val="nil"/>
              <w:tr2bl w:val="nil"/>
            </w:tcBorders>
            <w:noWrap w:val="0"/>
            <w:vAlign w:val="center"/>
          </w:tcPr>
          <w:p>
            <w:pPr>
              <w:pStyle w:val="35"/>
              <w:bidi w:val="0"/>
              <w:rPr>
                <w:rFonts w:hint="default"/>
                <w:color w:val="auto"/>
                <w:highlight w:val="none"/>
                <w:u w:val="single"/>
                <w:lang w:val="en-US" w:eastAsia="zh-CN"/>
              </w:rPr>
            </w:pPr>
          </w:p>
        </w:tc>
        <w:tc>
          <w:tcPr>
            <w:tcW w:w="407" w:type="pct"/>
            <w:tcBorders>
              <w:tl2br w:val="nil"/>
              <w:tr2bl w:val="nil"/>
            </w:tcBorders>
            <w:noWrap w:val="0"/>
            <w:vAlign w:val="center"/>
          </w:tcPr>
          <w:p>
            <w:pPr>
              <w:pStyle w:val="35"/>
              <w:bidi w:val="0"/>
              <w:ind w:firstLine="0" w:firstLineChars="0"/>
              <w:rPr>
                <w:rFonts w:hint="default"/>
                <w:color w:val="auto"/>
                <w:highlight w:val="none"/>
                <w:u w:val="single"/>
                <w:lang w:val="en-US"/>
              </w:rPr>
            </w:pPr>
            <w:r>
              <w:rPr>
                <w:rFonts w:hint="eastAsia"/>
                <w:color w:val="auto"/>
                <w:highlight w:val="none"/>
                <w:u w:val="single"/>
                <w:lang w:val="en-US" w:eastAsia="zh-CN"/>
              </w:rPr>
              <w:t>2</w:t>
            </w:r>
            <w:r>
              <w:rPr>
                <w:rFonts w:hint="eastAsia"/>
                <w:color w:val="auto"/>
                <w:highlight w:val="none"/>
                <w:u w:val="single"/>
              </w:rPr>
              <w:t>000</w:t>
            </w:r>
          </w:p>
        </w:tc>
        <w:tc>
          <w:tcPr>
            <w:tcW w:w="407" w:type="pct"/>
            <w:vMerge w:val="continue"/>
            <w:tcBorders>
              <w:tl2br w:val="nil"/>
              <w:tr2bl w:val="nil"/>
            </w:tcBorders>
            <w:noWrap w:val="0"/>
            <w:vAlign w:val="center"/>
          </w:tcPr>
          <w:p>
            <w:pPr>
              <w:pStyle w:val="35"/>
              <w:bidi w:val="0"/>
              <w:ind w:firstLine="0" w:firstLineChars="0"/>
              <w:rPr>
                <w:rFonts w:hint="eastAsia"/>
                <w:color w:val="auto"/>
                <w:highlight w:val="none"/>
                <w:u w:val="single"/>
                <w:lang w:val="en-US" w:eastAsia="zh-CN"/>
              </w:rPr>
            </w:pPr>
          </w:p>
        </w:tc>
        <w:tc>
          <w:tcPr>
            <w:tcW w:w="1154" w:type="pct"/>
            <w:vMerge w:val="continue"/>
            <w:tcBorders>
              <w:tl2br w:val="nil"/>
              <w:tr2bl w:val="nil"/>
            </w:tcBorders>
            <w:noWrap w:val="0"/>
            <w:vAlign w:val="center"/>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12" w:hRule="atLeast"/>
          <w:jc w:val="center"/>
        </w:trPr>
        <w:tc>
          <w:tcPr>
            <w:tcW w:w="369"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5</w:t>
            </w:r>
          </w:p>
        </w:tc>
        <w:tc>
          <w:tcPr>
            <w:tcW w:w="1013" w:type="pct"/>
            <w:tcBorders>
              <w:tl2br w:val="nil"/>
              <w:tr2bl w:val="nil"/>
            </w:tcBorders>
            <w:noWrap w:val="0"/>
            <w:vAlign w:val="center"/>
          </w:tcPr>
          <w:p>
            <w:pPr>
              <w:pStyle w:val="35"/>
              <w:bidi w:val="0"/>
              <w:rPr>
                <w:color w:val="auto"/>
                <w:u w:val="single"/>
              </w:rPr>
            </w:pPr>
            <w:r>
              <w:rPr>
                <w:rFonts w:hint="eastAsia"/>
                <w:color w:val="auto"/>
                <w:u w:val="single"/>
              </w:rPr>
              <w:t>工业原料油</w:t>
            </w:r>
          </w:p>
        </w:tc>
        <w:tc>
          <w:tcPr>
            <w:tcW w:w="511" w:type="pct"/>
            <w:tcBorders>
              <w:tl2br w:val="nil"/>
              <w:tr2bl w:val="nil"/>
            </w:tcBorders>
            <w:noWrap w:val="0"/>
            <w:vAlign w:val="center"/>
          </w:tcPr>
          <w:p>
            <w:pPr>
              <w:pStyle w:val="35"/>
              <w:bidi w:val="0"/>
              <w:rPr>
                <w:color w:val="auto"/>
                <w:u w:val="single"/>
              </w:rPr>
            </w:pPr>
            <w:r>
              <w:rPr>
                <w:rFonts w:hint="eastAsia"/>
                <w:color w:val="auto"/>
                <w:u w:val="single"/>
              </w:rPr>
              <w:t>8000</w:t>
            </w:r>
          </w:p>
        </w:tc>
        <w:tc>
          <w:tcPr>
            <w:tcW w:w="609" w:type="pct"/>
            <w:tcBorders>
              <w:tl2br w:val="nil"/>
              <w:tr2bl w:val="nil"/>
            </w:tcBorders>
            <w:noWrap w:val="0"/>
            <w:vAlign w:val="center"/>
          </w:tcPr>
          <w:p>
            <w:pPr>
              <w:pStyle w:val="35"/>
              <w:bidi w:val="0"/>
              <w:rPr>
                <w:color w:val="auto"/>
                <w:u w:val="single"/>
              </w:rPr>
            </w:pPr>
          </w:p>
        </w:tc>
        <w:tc>
          <w:tcPr>
            <w:tcW w:w="525" w:type="pct"/>
            <w:tcBorders>
              <w:tl2br w:val="nil"/>
              <w:tr2bl w:val="nil"/>
            </w:tcBorders>
            <w:noWrap w:val="0"/>
            <w:vAlign w:val="center"/>
          </w:tcPr>
          <w:p>
            <w:pPr>
              <w:pStyle w:val="35"/>
              <w:bidi w:val="0"/>
              <w:rPr>
                <w:rFonts w:hint="default"/>
                <w:color w:val="auto"/>
                <w:u w:val="single"/>
                <w:lang w:val="en-US" w:eastAsia="zh-CN"/>
              </w:rPr>
            </w:pPr>
          </w:p>
        </w:tc>
        <w:tc>
          <w:tcPr>
            <w:tcW w:w="815" w:type="pct"/>
            <w:gridSpan w:val="2"/>
            <w:tcBorders>
              <w:tl2br w:val="nil"/>
              <w:tr2bl w:val="nil"/>
            </w:tcBorders>
            <w:noWrap w:val="0"/>
            <w:vAlign w:val="center"/>
          </w:tcPr>
          <w:p>
            <w:pPr>
              <w:pStyle w:val="35"/>
              <w:bidi w:val="0"/>
              <w:rPr>
                <w:rFonts w:hint="default"/>
                <w:color w:val="auto"/>
                <w:u w:val="single"/>
                <w:lang w:val="en-US"/>
              </w:rPr>
            </w:pPr>
            <w:r>
              <w:rPr>
                <w:rFonts w:hint="eastAsia"/>
                <w:color w:val="auto"/>
                <w:u w:val="single"/>
                <w:lang w:val="en-US" w:eastAsia="zh-CN"/>
              </w:rPr>
              <w:t>8000</w:t>
            </w:r>
          </w:p>
        </w:tc>
        <w:tc>
          <w:tcPr>
            <w:tcW w:w="1154" w:type="pct"/>
            <w:vMerge w:val="continue"/>
            <w:tcBorders>
              <w:tl2br w:val="nil"/>
              <w:tr2bl w:val="nil"/>
            </w:tcBorders>
            <w:noWrap w:val="0"/>
            <w:vAlign w:val="center"/>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55" w:hRule="atLeast"/>
          <w:jc w:val="center"/>
        </w:trPr>
        <w:tc>
          <w:tcPr>
            <w:tcW w:w="369"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6</w:t>
            </w:r>
          </w:p>
        </w:tc>
        <w:tc>
          <w:tcPr>
            <w:tcW w:w="1013" w:type="pct"/>
            <w:tcBorders>
              <w:tl2br w:val="nil"/>
              <w:tr2bl w:val="nil"/>
            </w:tcBorders>
            <w:noWrap w:val="0"/>
            <w:vAlign w:val="center"/>
          </w:tcPr>
          <w:p>
            <w:pPr>
              <w:pStyle w:val="35"/>
              <w:bidi w:val="0"/>
              <w:rPr>
                <w:rFonts w:hint="eastAsia"/>
                <w:color w:val="auto"/>
                <w:u w:val="single"/>
                <w:lang w:eastAsia="zh-CN"/>
              </w:rPr>
            </w:pPr>
            <w:r>
              <w:rPr>
                <w:rFonts w:hint="eastAsia"/>
                <w:color w:val="auto"/>
                <w:u w:val="single"/>
                <w:lang w:eastAsia="zh-CN"/>
              </w:rPr>
              <w:t>对甲苯磺酸巴马丁</w:t>
            </w:r>
          </w:p>
        </w:tc>
        <w:tc>
          <w:tcPr>
            <w:tcW w:w="511" w:type="pct"/>
            <w:tcBorders>
              <w:tl2br w:val="nil"/>
              <w:tr2bl w:val="nil"/>
            </w:tcBorders>
            <w:noWrap w:val="0"/>
            <w:vAlign w:val="center"/>
          </w:tcPr>
          <w:p>
            <w:pPr>
              <w:pStyle w:val="35"/>
              <w:bidi w:val="0"/>
              <w:rPr>
                <w:rFonts w:hint="eastAsia"/>
                <w:color w:val="auto"/>
                <w:u w:val="single"/>
                <w:lang w:eastAsia="zh-CN"/>
              </w:rPr>
            </w:pPr>
            <w:r>
              <w:rPr>
                <w:rFonts w:hint="eastAsia"/>
                <w:color w:val="auto"/>
                <w:u w:val="single"/>
                <w:lang w:val="en-US" w:eastAsia="zh-CN"/>
              </w:rPr>
              <w:t>60</w:t>
            </w:r>
          </w:p>
        </w:tc>
        <w:tc>
          <w:tcPr>
            <w:tcW w:w="609" w:type="pct"/>
            <w:tcBorders>
              <w:tl2br w:val="nil"/>
              <w:tr2bl w:val="nil"/>
            </w:tcBorders>
            <w:noWrap w:val="0"/>
            <w:vAlign w:val="center"/>
          </w:tcPr>
          <w:p>
            <w:pPr>
              <w:pStyle w:val="35"/>
              <w:bidi w:val="0"/>
              <w:rPr>
                <w:rFonts w:hint="eastAsia"/>
                <w:color w:val="auto"/>
                <w:u w:val="single"/>
                <w:lang w:eastAsia="zh-CN"/>
              </w:rPr>
            </w:pPr>
            <w:r>
              <w:rPr>
                <w:rFonts w:hint="eastAsia"/>
                <w:color w:val="auto"/>
                <w:u w:val="single"/>
                <w:lang w:val="en-US" w:eastAsia="zh-CN"/>
              </w:rPr>
              <w:t>-60</w:t>
            </w:r>
          </w:p>
        </w:tc>
        <w:tc>
          <w:tcPr>
            <w:tcW w:w="525"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w:t>
            </w:r>
          </w:p>
        </w:tc>
        <w:tc>
          <w:tcPr>
            <w:tcW w:w="815" w:type="pct"/>
            <w:gridSpan w:val="2"/>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w:t>
            </w:r>
          </w:p>
        </w:tc>
        <w:tc>
          <w:tcPr>
            <w:tcW w:w="1154" w:type="pct"/>
            <w:vMerge w:val="continue"/>
            <w:tcBorders>
              <w:tl2br w:val="nil"/>
              <w:tr2bl w:val="nil"/>
            </w:tcBorders>
            <w:noWrap w:val="0"/>
            <w:vAlign w:val="center"/>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1" w:hRule="atLeast"/>
          <w:jc w:val="center"/>
        </w:trPr>
        <w:tc>
          <w:tcPr>
            <w:tcW w:w="369"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7</w:t>
            </w:r>
          </w:p>
        </w:tc>
        <w:tc>
          <w:tcPr>
            <w:tcW w:w="1013" w:type="pct"/>
            <w:tcBorders>
              <w:tl2br w:val="nil"/>
              <w:tr2bl w:val="nil"/>
            </w:tcBorders>
            <w:noWrap w:val="0"/>
            <w:vAlign w:val="center"/>
          </w:tcPr>
          <w:p>
            <w:pPr>
              <w:pStyle w:val="35"/>
              <w:bidi w:val="0"/>
              <w:rPr>
                <w:color w:val="auto"/>
                <w:u w:val="single"/>
              </w:rPr>
            </w:pPr>
            <w:r>
              <w:rPr>
                <w:rFonts w:hint="eastAsia"/>
                <w:color w:val="auto"/>
                <w:u w:val="single"/>
              </w:rPr>
              <w:t>环氧固化剂</w:t>
            </w:r>
          </w:p>
        </w:tc>
        <w:tc>
          <w:tcPr>
            <w:tcW w:w="511" w:type="pct"/>
            <w:tcBorders>
              <w:tl2br w:val="nil"/>
              <w:tr2bl w:val="nil"/>
            </w:tcBorders>
            <w:noWrap w:val="0"/>
            <w:vAlign w:val="center"/>
          </w:tcPr>
          <w:p>
            <w:pPr>
              <w:pStyle w:val="35"/>
              <w:bidi w:val="0"/>
              <w:rPr>
                <w:color w:val="auto"/>
                <w:u w:val="single"/>
              </w:rPr>
            </w:pPr>
            <w:r>
              <w:rPr>
                <w:rFonts w:hint="eastAsia"/>
                <w:color w:val="auto"/>
                <w:u w:val="single"/>
              </w:rPr>
              <w:t>0</w:t>
            </w:r>
          </w:p>
        </w:tc>
        <w:tc>
          <w:tcPr>
            <w:tcW w:w="609" w:type="pct"/>
            <w:tcBorders>
              <w:tl2br w:val="nil"/>
              <w:tr2bl w:val="nil"/>
            </w:tcBorders>
            <w:noWrap w:val="0"/>
            <w:vAlign w:val="center"/>
          </w:tcPr>
          <w:p>
            <w:pPr>
              <w:pStyle w:val="35"/>
              <w:bidi w:val="0"/>
              <w:rPr>
                <w:color w:val="auto"/>
                <w:u w:val="single"/>
              </w:rPr>
            </w:pPr>
            <w:r>
              <w:rPr>
                <w:rFonts w:hint="eastAsia"/>
                <w:color w:val="auto"/>
                <w:u w:val="single"/>
                <w:lang w:val="en-US" w:eastAsia="zh-CN"/>
              </w:rPr>
              <w:t>6</w:t>
            </w:r>
            <w:r>
              <w:rPr>
                <w:rFonts w:hint="eastAsia"/>
                <w:color w:val="auto"/>
                <w:u w:val="single"/>
              </w:rPr>
              <w:t>100</w:t>
            </w:r>
          </w:p>
        </w:tc>
        <w:tc>
          <w:tcPr>
            <w:tcW w:w="525" w:type="pct"/>
            <w:tcBorders>
              <w:tl2br w:val="nil"/>
              <w:tr2bl w:val="nil"/>
            </w:tcBorders>
            <w:noWrap w:val="0"/>
            <w:vAlign w:val="center"/>
          </w:tcPr>
          <w:p>
            <w:pPr>
              <w:pStyle w:val="35"/>
              <w:bidi w:val="0"/>
              <w:rPr>
                <w:rFonts w:hint="eastAsia"/>
                <w:color w:val="auto"/>
                <w:u w:val="single"/>
                <w:lang w:val="en-US" w:eastAsia="zh-CN"/>
              </w:rPr>
            </w:pPr>
          </w:p>
        </w:tc>
        <w:tc>
          <w:tcPr>
            <w:tcW w:w="815" w:type="pct"/>
            <w:gridSpan w:val="2"/>
            <w:tcBorders>
              <w:tl2br w:val="nil"/>
              <w:tr2bl w:val="nil"/>
            </w:tcBorders>
            <w:noWrap w:val="0"/>
            <w:vAlign w:val="center"/>
          </w:tcPr>
          <w:p>
            <w:pPr>
              <w:pStyle w:val="35"/>
              <w:bidi w:val="0"/>
              <w:rPr>
                <w:color w:val="auto"/>
                <w:u w:val="single"/>
              </w:rPr>
            </w:pPr>
            <w:r>
              <w:rPr>
                <w:rFonts w:hint="eastAsia"/>
                <w:color w:val="auto"/>
                <w:u w:val="single"/>
                <w:lang w:val="en-US" w:eastAsia="zh-CN"/>
              </w:rPr>
              <w:t>6</w:t>
            </w:r>
            <w:r>
              <w:rPr>
                <w:rFonts w:hint="eastAsia"/>
                <w:color w:val="auto"/>
                <w:u w:val="single"/>
              </w:rPr>
              <w:t>100</w:t>
            </w:r>
          </w:p>
        </w:tc>
        <w:tc>
          <w:tcPr>
            <w:tcW w:w="1154" w:type="pct"/>
            <w:vMerge w:val="continue"/>
            <w:tcBorders>
              <w:tl2br w:val="nil"/>
              <w:tr2bl w:val="nil"/>
            </w:tcBorders>
            <w:noWrap w:val="0"/>
            <w:vAlign w:val="center"/>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1" w:hRule="atLeast"/>
          <w:jc w:val="center"/>
        </w:trPr>
        <w:tc>
          <w:tcPr>
            <w:tcW w:w="369"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8</w:t>
            </w:r>
          </w:p>
        </w:tc>
        <w:tc>
          <w:tcPr>
            <w:tcW w:w="1013"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碳酸二甲酯</w:t>
            </w:r>
          </w:p>
        </w:tc>
        <w:tc>
          <w:tcPr>
            <w:tcW w:w="511" w:type="pct"/>
            <w:tcBorders>
              <w:tl2br w:val="nil"/>
              <w:tr2bl w:val="nil"/>
            </w:tcBorders>
            <w:noWrap w:val="0"/>
            <w:vAlign w:val="center"/>
          </w:tcPr>
          <w:p>
            <w:pPr>
              <w:pStyle w:val="35"/>
              <w:bidi w:val="0"/>
              <w:rPr>
                <w:rFonts w:hint="eastAsia" w:eastAsia="宋体"/>
                <w:color w:val="auto"/>
                <w:u w:val="single"/>
                <w:lang w:val="en-US" w:eastAsia="zh-CN"/>
              </w:rPr>
            </w:pPr>
            <w:r>
              <w:rPr>
                <w:rFonts w:hint="eastAsia"/>
                <w:color w:val="auto"/>
                <w:u w:val="single"/>
                <w:lang w:val="en-US" w:eastAsia="zh-CN"/>
              </w:rPr>
              <w:t>0</w:t>
            </w:r>
          </w:p>
        </w:tc>
        <w:tc>
          <w:tcPr>
            <w:tcW w:w="609"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w:t>
            </w:r>
          </w:p>
        </w:tc>
        <w:tc>
          <w:tcPr>
            <w:tcW w:w="525"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+15000</w:t>
            </w:r>
          </w:p>
        </w:tc>
        <w:tc>
          <w:tcPr>
            <w:tcW w:w="815" w:type="pct"/>
            <w:gridSpan w:val="2"/>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15000</w:t>
            </w:r>
          </w:p>
        </w:tc>
        <w:tc>
          <w:tcPr>
            <w:tcW w:w="1154" w:type="pct"/>
            <w:vMerge w:val="continue"/>
            <w:tcBorders>
              <w:tl2br w:val="nil"/>
              <w:tr2bl w:val="nil"/>
            </w:tcBorders>
            <w:noWrap w:val="0"/>
            <w:vAlign w:val="center"/>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1" w:hRule="atLeast"/>
          <w:jc w:val="center"/>
        </w:trPr>
        <w:tc>
          <w:tcPr>
            <w:tcW w:w="369"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9</w:t>
            </w:r>
          </w:p>
        </w:tc>
        <w:tc>
          <w:tcPr>
            <w:tcW w:w="1013"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醋酸甲酯</w:t>
            </w:r>
          </w:p>
        </w:tc>
        <w:tc>
          <w:tcPr>
            <w:tcW w:w="511" w:type="pct"/>
            <w:tcBorders>
              <w:tl2br w:val="nil"/>
              <w:tr2bl w:val="nil"/>
            </w:tcBorders>
            <w:noWrap w:val="0"/>
            <w:vAlign w:val="center"/>
          </w:tcPr>
          <w:p>
            <w:pPr>
              <w:pStyle w:val="35"/>
              <w:bidi w:val="0"/>
              <w:rPr>
                <w:rFonts w:hint="eastAsia"/>
                <w:color w:val="auto"/>
                <w:u w:val="single"/>
              </w:rPr>
            </w:pPr>
          </w:p>
        </w:tc>
        <w:tc>
          <w:tcPr>
            <w:tcW w:w="609" w:type="pct"/>
            <w:tcBorders>
              <w:tl2br w:val="nil"/>
              <w:tr2bl w:val="nil"/>
            </w:tcBorders>
            <w:noWrap w:val="0"/>
            <w:vAlign w:val="center"/>
          </w:tcPr>
          <w:p>
            <w:pPr>
              <w:pStyle w:val="35"/>
              <w:bidi w:val="0"/>
              <w:rPr>
                <w:rFonts w:hint="eastAsia"/>
                <w:color w:val="auto"/>
                <w:u w:val="single"/>
                <w:lang w:val="en-US" w:eastAsia="zh-CN"/>
              </w:rPr>
            </w:pPr>
          </w:p>
        </w:tc>
        <w:tc>
          <w:tcPr>
            <w:tcW w:w="525"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+10000</w:t>
            </w:r>
          </w:p>
        </w:tc>
        <w:tc>
          <w:tcPr>
            <w:tcW w:w="815" w:type="pct"/>
            <w:gridSpan w:val="2"/>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10000</w:t>
            </w:r>
          </w:p>
        </w:tc>
        <w:tc>
          <w:tcPr>
            <w:tcW w:w="1154" w:type="pct"/>
            <w:vMerge w:val="continue"/>
            <w:tcBorders>
              <w:tl2br w:val="nil"/>
              <w:tr2bl w:val="nil"/>
            </w:tcBorders>
            <w:noWrap w:val="0"/>
            <w:vAlign w:val="center"/>
          </w:tcPr>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1" w:hRule="atLeast"/>
          <w:jc w:val="center"/>
        </w:trPr>
        <w:tc>
          <w:tcPr>
            <w:tcW w:w="369"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10</w:t>
            </w:r>
          </w:p>
        </w:tc>
        <w:tc>
          <w:tcPr>
            <w:tcW w:w="1013" w:type="pct"/>
            <w:tcBorders>
              <w:tl2br w:val="nil"/>
              <w:tr2bl w:val="nil"/>
            </w:tcBorders>
            <w:noWrap w:val="0"/>
            <w:vAlign w:val="center"/>
          </w:tcPr>
          <w:p>
            <w:pPr>
              <w:pStyle w:val="35"/>
              <w:bidi w:val="0"/>
              <w:rPr>
                <w:color w:val="auto"/>
                <w:u w:val="single"/>
              </w:rPr>
            </w:pPr>
            <w:r>
              <w:rPr>
                <w:rFonts w:hint="eastAsia"/>
                <w:color w:val="auto"/>
                <w:u w:val="single"/>
              </w:rPr>
              <w:t>涂料助剂</w:t>
            </w:r>
          </w:p>
        </w:tc>
        <w:tc>
          <w:tcPr>
            <w:tcW w:w="511" w:type="pct"/>
            <w:tcBorders>
              <w:tl2br w:val="nil"/>
              <w:tr2bl w:val="nil"/>
            </w:tcBorders>
            <w:noWrap w:val="0"/>
            <w:vAlign w:val="center"/>
          </w:tcPr>
          <w:p>
            <w:pPr>
              <w:pStyle w:val="35"/>
              <w:bidi w:val="0"/>
              <w:rPr>
                <w:color w:val="auto"/>
                <w:u w:val="single"/>
              </w:rPr>
            </w:pPr>
            <w:r>
              <w:rPr>
                <w:rFonts w:hint="eastAsia"/>
                <w:color w:val="auto"/>
                <w:u w:val="single"/>
              </w:rPr>
              <w:t>0</w:t>
            </w:r>
          </w:p>
        </w:tc>
        <w:tc>
          <w:tcPr>
            <w:tcW w:w="609" w:type="pct"/>
            <w:tcBorders>
              <w:tl2br w:val="nil"/>
              <w:tr2bl w:val="nil"/>
            </w:tcBorders>
            <w:noWrap w:val="0"/>
            <w:vAlign w:val="center"/>
          </w:tcPr>
          <w:p>
            <w:pPr>
              <w:pStyle w:val="35"/>
              <w:bidi w:val="0"/>
              <w:rPr>
                <w:color w:val="auto"/>
                <w:u w:val="single"/>
              </w:rPr>
            </w:pPr>
            <w:r>
              <w:rPr>
                <w:rFonts w:hint="eastAsia"/>
                <w:color w:val="auto"/>
                <w:u w:val="single"/>
              </w:rPr>
              <w:t>900</w:t>
            </w:r>
          </w:p>
        </w:tc>
        <w:tc>
          <w:tcPr>
            <w:tcW w:w="525" w:type="pct"/>
            <w:tcBorders>
              <w:tl2br w:val="nil"/>
              <w:tr2bl w:val="nil"/>
            </w:tcBorders>
            <w:noWrap w:val="0"/>
            <w:vAlign w:val="center"/>
          </w:tcPr>
          <w:p>
            <w:pPr>
              <w:pStyle w:val="35"/>
              <w:bidi w:val="0"/>
              <w:rPr>
                <w:rFonts w:hint="eastAsia"/>
                <w:color w:val="auto"/>
                <w:u w:val="single"/>
              </w:rPr>
            </w:pPr>
          </w:p>
        </w:tc>
        <w:tc>
          <w:tcPr>
            <w:tcW w:w="815" w:type="pct"/>
            <w:gridSpan w:val="2"/>
            <w:tcBorders>
              <w:tl2br w:val="nil"/>
              <w:tr2bl w:val="nil"/>
            </w:tcBorders>
            <w:noWrap w:val="0"/>
            <w:vAlign w:val="center"/>
          </w:tcPr>
          <w:p>
            <w:pPr>
              <w:pStyle w:val="35"/>
              <w:bidi w:val="0"/>
              <w:rPr>
                <w:color w:val="auto"/>
                <w:u w:val="single"/>
              </w:rPr>
            </w:pPr>
            <w:r>
              <w:rPr>
                <w:rFonts w:hint="eastAsia"/>
                <w:color w:val="auto"/>
                <w:u w:val="single"/>
              </w:rPr>
              <w:t>900</w:t>
            </w:r>
          </w:p>
        </w:tc>
        <w:tc>
          <w:tcPr>
            <w:tcW w:w="1154" w:type="pct"/>
            <w:vMerge w:val="restart"/>
            <w:tcBorders>
              <w:tl2br w:val="nil"/>
              <w:tr2bl w:val="nil"/>
            </w:tcBorders>
            <w:noWrap w:val="0"/>
            <w:vAlign w:val="center"/>
          </w:tcPr>
          <w:p>
            <w:pPr>
              <w:pStyle w:val="35"/>
              <w:bidi w:val="0"/>
              <w:rPr>
                <w:rFonts w:hint="eastAsia"/>
                <w:color w:val="auto"/>
              </w:rPr>
            </w:pPr>
            <w:r>
              <w:rPr>
                <w:rFonts w:hint="eastAsia"/>
                <w:color w:val="auto"/>
                <w:lang w:val="en-US" w:eastAsia="zh-CN"/>
              </w:rPr>
              <w:t>2#</w:t>
            </w:r>
            <w:r>
              <w:rPr>
                <w:rFonts w:hint="eastAsia"/>
                <w:color w:val="auto"/>
              </w:rPr>
              <w:t>生产车间</w:t>
            </w:r>
          </w:p>
          <w:p>
            <w:pPr>
              <w:pStyle w:val="35"/>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1" w:hRule="atLeast"/>
          <w:jc w:val="center"/>
        </w:trPr>
        <w:tc>
          <w:tcPr>
            <w:tcW w:w="369"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11</w:t>
            </w:r>
          </w:p>
        </w:tc>
        <w:tc>
          <w:tcPr>
            <w:tcW w:w="1013" w:type="pct"/>
            <w:tcBorders>
              <w:tl2br w:val="nil"/>
              <w:tr2bl w:val="nil"/>
            </w:tcBorders>
            <w:noWrap w:val="0"/>
            <w:vAlign w:val="center"/>
          </w:tcPr>
          <w:p>
            <w:pPr>
              <w:pStyle w:val="35"/>
              <w:bidi w:val="0"/>
              <w:rPr>
                <w:color w:val="auto"/>
                <w:u w:val="single"/>
              </w:rPr>
            </w:pPr>
            <w:r>
              <w:rPr>
                <w:rFonts w:hint="eastAsia"/>
                <w:color w:val="auto"/>
                <w:u w:val="single"/>
              </w:rPr>
              <w:t>环氧地坪涂料</w:t>
            </w:r>
          </w:p>
        </w:tc>
        <w:tc>
          <w:tcPr>
            <w:tcW w:w="511" w:type="pct"/>
            <w:tcBorders>
              <w:tl2br w:val="nil"/>
              <w:tr2bl w:val="nil"/>
            </w:tcBorders>
            <w:noWrap w:val="0"/>
            <w:vAlign w:val="center"/>
          </w:tcPr>
          <w:p>
            <w:pPr>
              <w:pStyle w:val="35"/>
              <w:bidi w:val="0"/>
              <w:rPr>
                <w:color w:val="auto"/>
                <w:u w:val="single"/>
              </w:rPr>
            </w:pPr>
            <w:r>
              <w:rPr>
                <w:rFonts w:hint="eastAsia"/>
                <w:color w:val="auto"/>
                <w:u w:val="single"/>
              </w:rPr>
              <w:t>0</w:t>
            </w:r>
          </w:p>
        </w:tc>
        <w:tc>
          <w:tcPr>
            <w:tcW w:w="609" w:type="pct"/>
            <w:tcBorders>
              <w:tl2br w:val="nil"/>
              <w:tr2bl w:val="nil"/>
            </w:tcBorders>
            <w:noWrap w:val="0"/>
            <w:vAlign w:val="center"/>
          </w:tcPr>
          <w:p>
            <w:pPr>
              <w:pStyle w:val="35"/>
              <w:bidi w:val="0"/>
              <w:rPr>
                <w:color w:val="auto"/>
                <w:u w:val="single"/>
              </w:rPr>
            </w:pPr>
            <w:r>
              <w:rPr>
                <w:rFonts w:hint="eastAsia"/>
                <w:color w:val="auto"/>
                <w:u w:val="single"/>
              </w:rPr>
              <w:t>3000</w:t>
            </w:r>
          </w:p>
        </w:tc>
        <w:tc>
          <w:tcPr>
            <w:tcW w:w="525" w:type="pct"/>
            <w:tcBorders>
              <w:tl2br w:val="nil"/>
              <w:tr2bl w:val="nil"/>
            </w:tcBorders>
            <w:noWrap w:val="0"/>
            <w:vAlign w:val="center"/>
          </w:tcPr>
          <w:p>
            <w:pPr>
              <w:pStyle w:val="35"/>
              <w:bidi w:val="0"/>
              <w:rPr>
                <w:rFonts w:hint="eastAsia"/>
                <w:color w:val="auto"/>
                <w:u w:val="single"/>
              </w:rPr>
            </w:pPr>
          </w:p>
        </w:tc>
        <w:tc>
          <w:tcPr>
            <w:tcW w:w="815" w:type="pct"/>
            <w:gridSpan w:val="2"/>
            <w:tcBorders>
              <w:tl2br w:val="nil"/>
              <w:tr2bl w:val="nil"/>
            </w:tcBorders>
            <w:noWrap w:val="0"/>
            <w:vAlign w:val="center"/>
          </w:tcPr>
          <w:p>
            <w:pPr>
              <w:pStyle w:val="35"/>
              <w:bidi w:val="0"/>
              <w:rPr>
                <w:color w:val="auto"/>
                <w:u w:val="single"/>
              </w:rPr>
            </w:pPr>
            <w:r>
              <w:rPr>
                <w:rFonts w:hint="eastAsia"/>
                <w:color w:val="auto"/>
                <w:u w:val="single"/>
                <w:lang w:val="en-US" w:eastAsia="zh-CN"/>
              </w:rPr>
              <w:t>3</w:t>
            </w:r>
            <w:r>
              <w:rPr>
                <w:rFonts w:hint="eastAsia"/>
                <w:color w:val="auto"/>
                <w:u w:val="single"/>
              </w:rPr>
              <w:t>000</w:t>
            </w:r>
          </w:p>
        </w:tc>
        <w:tc>
          <w:tcPr>
            <w:tcW w:w="1154" w:type="pct"/>
            <w:vMerge w:val="continue"/>
            <w:tcBorders>
              <w:tl2br w:val="nil"/>
              <w:tr2bl w:val="nil"/>
            </w:tcBorders>
            <w:noWrap w:val="0"/>
            <w:vAlign w:val="center"/>
          </w:tcPr>
          <w:p>
            <w:pPr>
              <w:pStyle w:val="35"/>
              <w:bidi w:val="0"/>
              <w:rPr>
                <w:color w:val="auto"/>
              </w:rPr>
            </w:pPr>
          </w:p>
        </w:tc>
      </w:tr>
    </w:tbl>
    <w:p>
      <w:pPr>
        <w:pStyle w:val="31"/>
        <w:bidi w:val="0"/>
        <w:rPr>
          <w:rFonts w:hint="eastAsia"/>
          <w:color w:val="auto"/>
          <w:lang w:val="en-US" w:eastAsia="zh-CN"/>
        </w:rPr>
      </w:pPr>
      <w:bookmarkStart w:id="69" w:name="_Toc31424"/>
      <w:bookmarkStart w:id="70" w:name="_Toc24048"/>
      <w:r>
        <w:rPr>
          <w:rFonts w:hint="eastAsia"/>
          <w:color w:val="auto"/>
          <w:lang w:val="en-US" w:eastAsia="zh-CN"/>
        </w:rPr>
        <w:t>4.3原辅材料消耗</w:t>
      </w:r>
      <w:bookmarkEnd w:id="69"/>
      <w:bookmarkEnd w:id="70"/>
    </w:p>
    <w:p>
      <w:pPr>
        <w:pStyle w:val="32"/>
        <w:bidi w:val="0"/>
        <w:rPr>
          <w:rFonts w:hint="default"/>
          <w:color w:val="auto"/>
          <w:lang w:val="en-US" w:eastAsia="zh-CN"/>
        </w:rPr>
      </w:pPr>
      <w:bookmarkStart w:id="71" w:name="_Toc23100"/>
      <w:r>
        <w:rPr>
          <w:rFonts w:hint="eastAsia"/>
          <w:color w:val="auto"/>
          <w:lang w:val="en-US" w:eastAsia="zh-CN"/>
        </w:rPr>
        <w:t>4.3.1原辅材料消耗</w:t>
      </w:r>
      <w:bookmarkEnd w:id="71"/>
    </w:p>
    <w:p>
      <w:pPr>
        <w:pStyle w:val="33"/>
        <w:bidi w:val="0"/>
        <w:rPr>
          <w:rFonts w:hint="eastAsia"/>
          <w:color w:val="auto"/>
          <w:lang w:val="en-US" w:eastAsia="zh-CN"/>
        </w:rPr>
      </w:pPr>
      <w:r>
        <w:rPr>
          <w:rFonts w:hint="eastAsia"/>
          <w:color w:val="auto"/>
          <w:lang w:val="en-US" w:eastAsia="zh-CN"/>
        </w:rPr>
        <w:t>本建设项目生产中的原辅料为粗品碳酸二甲酯、醋酸。本项目主要原辅料详细情况见表4.3-1。</w:t>
      </w:r>
    </w:p>
    <w:p>
      <w:pPr>
        <w:pStyle w:val="36"/>
        <w:bidi w:val="0"/>
        <w:rPr>
          <w:rFonts w:hint="eastAsia"/>
          <w:color w:val="auto"/>
          <w:lang w:val="en-US" w:eastAsia="zh-CN"/>
        </w:rPr>
      </w:pPr>
      <w:r>
        <w:rPr>
          <w:rFonts w:hint="eastAsia"/>
          <w:color w:val="auto"/>
          <w:lang w:val="en-US" w:eastAsia="zh-CN"/>
        </w:rPr>
        <w:t>表4.3-1  原辅料材料消耗及储存情况一览表</w:t>
      </w:r>
    </w:p>
    <w:tbl>
      <w:tblPr>
        <w:tblStyle w:val="2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551"/>
        <w:gridCol w:w="1697"/>
        <w:gridCol w:w="1623"/>
        <w:gridCol w:w="1884"/>
        <w:gridCol w:w="1884"/>
      </w:tblGrid>
      <w:tr>
        <w:tc>
          <w:tcPr>
            <w:tcW w:w="457"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序号</w:t>
            </w:r>
          </w:p>
        </w:tc>
        <w:tc>
          <w:tcPr>
            <w:tcW w:w="815"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名称</w:t>
            </w:r>
          </w:p>
        </w:tc>
        <w:tc>
          <w:tcPr>
            <w:tcW w:w="892"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形态</w:t>
            </w:r>
          </w:p>
        </w:tc>
        <w:tc>
          <w:tcPr>
            <w:tcW w:w="853"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规格</w:t>
            </w:r>
          </w:p>
        </w:tc>
        <w:tc>
          <w:tcPr>
            <w:tcW w:w="990"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年消耗量</w:t>
            </w:r>
          </w:p>
        </w:tc>
        <w:tc>
          <w:tcPr>
            <w:tcW w:w="990"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储存方式</w:t>
            </w:r>
          </w:p>
        </w:tc>
      </w:tr>
      <w:tr>
        <w:tc>
          <w:tcPr>
            <w:tcW w:w="45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w:t>
            </w:r>
          </w:p>
        </w:tc>
        <w:tc>
          <w:tcPr>
            <w:tcW w:w="815" w:type="pct"/>
            <w:tcBorders>
              <w:tl2br w:val="nil"/>
              <w:tr2bl w:val="nil"/>
            </w:tcBorders>
            <w:noWrap w:val="0"/>
            <w:vAlign w:val="center"/>
          </w:tcPr>
          <w:p>
            <w:pPr>
              <w:pStyle w:val="35"/>
              <w:bidi w:val="0"/>
              <w:jc w:val="center"/>
              <w:rPr>
                <w:rFonts w:hint="default"/>
                <w:color w:val="auto"/>
                <w:lang w:val="en-US" w:eastAsia="zh-CN"/>
              </w:rPr>
            </w:pPr>
            <w:r>
              <w:rPr>
                <w:rFonts w:hint="default"/>
                <w:color w:val="auto"/>
                <w:lang w:val="en-US" w:eastAsia="zh-CN"/>
              </w:rPr>
              <w:t>粗碳酸二甲酯</w:t>
            </w:r>
          </w:p>
        </w:tc>
        <w:tc>
          <w:tcPr>
            <w:tcW w:w="89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液态</w:t>
            </w:r>
          </w:p>
        </w:tc>
        <w:tc>
          <w:tcPr>
            <w:tcW w:w="853" w:type="pct"/>
            <w:tcBorders>
              <w:tl2br w:val="nil"/>
              <w:tr2bl w:val="nil"/>
            </w:tcBorders>
            <w:noWrap w:val="0"/>
            <w:vAlign w:val="center"/>
          </w:tcPr>
          <w:p>
            <w:pPr>
              <w:pStyle w:val="35"/>
              <w:bidi w:val="0"/>
              <w:jc w:val="center"/>
              <w:rPr>
                <w:rFonts w:hint="default"/>
                <w:color w:val="auto"/>
                <w:lang w:val="en-US" w:eastAsia="zh-CN"/>
              </w:rPr>
            </w:pPr>
            <w:r>
              <w:rPr>
                <w:rFonts w:hint="default"/>
                <w:color w:val="auto"/>
                <w:lang w:val="en-US" w:eastAsia="zh-CN"/>
              </w:rPr>
              <w:t>甲醇（40.2%）</w:t>
            </w:r>
          </w:p>
          <w:p>
            <w:pPr>
              <w:pStyle w:val="35"/>
              <w:bidi w:val="0"/>
              <w:jc w:val="center"/>
              <w:rPr>
                <w:rFonts w:hint="default"/>
                <w:color w:val="auto"/>
                <w:lang w:val="en-US" w:eastAsia="zh-CN"/>
              </w:rPr>
            </w:pPr>
            <w:r>
              <w:rPr>
                <w:rFonts w:hint="default"/>
                <w:color w:val="auto"/>
                <w:lang w:val="en-US" w:eastAsia="zh-CN"/>
              </w:rPr>
              <w:t>碳酸二甲酯（57.5%）</w:t>
            </w:r>
          </w:p>
          <w:p>
            <w:pPr>
              <w:pStyle w:val="35"/>
              <w:bidi w:val="0"/>
              <w:jc w:val="center"/>
              <w:rPr>
                <w:rFonts w:hint="default"/>
                <w:color w:val="auto"/>
                <w:lang w:val="en-US" w:eastAsia="zh-CN"/>
              </w:rPr>
            </w:pPr>
            <w:r>
              <w:rPr>
                <w:rFonts w:hint="default"/>
                <w:color w:val="auto"/>
                <w:lang w:val="en-US" w:eastAsia="zh-CN"/>
              </w:rPr>
              <w:t>乙醛酸（0.4%）</w:t>
            </w:r>
          </w:p>
          <w:p>
            <w:pPr>
              <w:pStyle w:val="35"/>
              <w:bidi w:val="0"/>
              <w:jc w:val="center"/>
              <w:rPr>
                <w:rFonts w:hint="default"/>
                <w:color w:val="auto"/>
                <w:lang w:val="en-US" w:eastAsia="zh-CN"/>
              </w:rPr>
            </w:pPr>
            <w:r>
              <w:rPr>
                <w:rFonts w:hint="default"/>
                <w:color w:val="auto"/>
                <w:lang w:val="en-US" w:eastAsia="zh-CN"/>
              </w:rPr>
              <w:t>草酸二甲酯（0.6%）</w:t>
            </w:r>
          </w:p>
          <w:p>
            <w:pPr>
              <w:pStyle w:val="35"/>
              <w:bidi w:val="0"/>
              <w:jc w:val="center"/>
              <w:rPr>
                <w:rFonts w:hint="default"/>
                <w:color w:val="auto"/>
                <w:lang w:val="en-US" w:eastAsia="zh-CN"/>
              </w:rPr>
            </w:pPr>
            <w:r>
              <w:rPr>
                <w:rFonts w:hint="default"/>
                <w:color w:val="auto"/>
                <w:lang w:val="en-US" w:eastAsia="zh-CN"/>
              </w:rPr>
              <w:t>水（0.6%）</w:t>
            </w:r>
          </w:p>
          <w:p>
            <w:pPr>
              <w:pStyle w:val="35"/>
              <w:bidi w:val="0"/>
              <w:jc w:val="center"/>
              <w:rPr>
                <w:rFonts w:hint="default"/>
                <w:color w:val="auto"/>
                <w:lang w:val="en-US" w:eastAsia="zh-CN"/>
              </w:rPr>
            </w:pPr>
            <w:r>
              <w:rPr>
                <w:rFonts w:hint="default"/>
                <w:color w:val="auto"/>
                <w:lang w:val="en-US" w:eastAsia="zh-CN"/>
              </w:rPr>
              <w:t>其他（0.7%）</w:t>
            </w:r>
          </w:p>
        </w:tc>
        <w:tc>
          <w:tcPr>
            <w:tcW w:w="990"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20450.7t</w:t>
            </w:r>
          </w:p>
        </w:tc>
        <w:tc>
          <w:tcPr>
            <w:tcW w:w="990"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固定储罐</w:t>
            </w:r>
          </w:p>
        </w:tc>
      </w:tr>
      <w:tr>
        <w:tc>
          <w:tcPr>
            <w:tcW w:w="45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2</w:t>
            </w:r>
          </w:p>
        </w:tc>
        <w:tc>
          <w:tcPr>
            <w:tcW w:w="815"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醋酸</w:t>
            </w:r>
          </w:p>
        </w:tc>
        <w:tc>
          <w:tcPr>
            <w:tcW w:w="89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液态</w:t>
            </w:r>
          </w:p>
        </w:tc>
        <w:tc>
          <w:tcPr>
            <w:tcW w:w="85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w:t>
            </w:r>
          </w:p>
        </w:tc>
        <w:tc>
          <w:tcPr>
            <w:tcW w:w="990"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7689t</w:t>
            </w:r>
          </w:p>
        </w:tc>
        <w:tc>
          <w:tcPr>
            <w:tcW w:w="990"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固定储罐</w:t>
            </w:r>
          </w:p>
        </w:tc>
      </w:tr>
      <w:tr>
        <w:tc>
          <w:tcPr>
            <w:tcW w:w="45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3</w:t>
            </w:r>
          </w:p>
        </w:tc>
        <w:tc>
          <w:tcPr>
            <w:tcW w:w="815"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萃取剂（58%NaCl溶液）</w:t>
            </w:r>
          </w:p>
        </w:tc>
        <w:tc>
          <w:tcPr>
            <w:tcW w:w="89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液态</w:t>
            </w:r>
          </w:p>
        </w:tc>
        <w:tc>
          <w:tcPr>
            <w:tcW w:w="85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58%盐水</w:t>
            </w:r>
          </w:p>
        </w:tc>
        <w:tc>
          <w:tcPr>
            <w:tcW w:w="990"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8t（循环使用，一次填充量）</w:t>
            </w:r>
          </w:p>
        </w:tc>
        <w:tc>
          <w:tcPr>
            <w:tcW w:w="990"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卧式储罐</w:t>
            </w:r>
          </w:p>
        </w:tc>
      </w:tr>
      <w:tr>
        <w:tc>
          <w:tcPr>
            <w:tcW w:w="45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4</w:t>
            </w:r>
          </w:p>
        </w:tc>
        <w:tc>
          <w:tcPr>
            <w:tcW w:w="815"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对甲苯磺酸</w:t>
            </w:r>
          </w:p>
        </w:tc>
        <w:tc>
          <w:tcPr>
            <w:tcW w:w="892" w:type="pct"/>
            <w:tcBorders>
              <w:tl2br w:val="nil"/>
              <w:tr2bl w:val="nil"/>
            </w:tcBorders>
            <w:noWrap w:val="0"/>
            <w:vAlign w:val="center"/>
          </w:tcPr>
          <w:p>
            <w:pPr>
              <w:pStyle w:val="35"/>
              <w:bidi w:val="0"/>
              <w:jc w:val="center"/>
              <w:rPr>
                <w:rFonts w:hint="default"/>
                <w:color w:val="auto"/>
                <w:lang w:val="en-US" w:eastAsia="zh-CN"/>
              </w:rPr>
            </w:pPr>
            <w:r>
              <w:rPr>
                <w:rFonts w:hint="default"/>
                <w:color w:val="auto"/>
                <w:lang w:val="en-US" w:eastAsia="zh-CN"/>
              </w:rPr>
              <w:t>白色叶状或柱状结晶</w:t>
            </w:r>
          </w:p>
        </w:tc>
        <w:tc>
          <w:tcPr>
            <w:tcW w:w="85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w:t>
            </w:r>
          </w:p>
        </w:tc>
        <w:tc>
          <w:tcPr>
            <w:tcW w:w="990"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76t</w:t>
            </w:r>
          </w:p>
        </w:tc>
        <w:tc>
          <w:tcPr>
            <w:tcW w:w="990"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袋装</w:t>
            </w:r>
          </w:p>
        </w:tc>
      </w:tr>
      <w:tr>
        <w:tc>
          <w:tcPr>
            <w:tcW w:w="45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5</w:t>
            </w:r>
          </w:p>
        </w:tc>
        <w:tc>
          <w:tcPr>
            <w:tcW w:w="815"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氢氧化钠</w:t>
            </w:r>
          </w:p>
        </w:tc>
        <w:tc>
          <w:tcPr>
            <w:tcW w:w="892" w:type="pct"/>
            <w:tcBorders>
              <w:tl2br w:val="nil"/>
              <w:tr2bl w:val="nil"/>
            </w:tcBorders>
            <w:noWrap w:val="0"/>
            <w:vAlign w:val="center"/>
          </w:tcPr>
          <w:p>
            <w:pPr>
              <w:pStyle w:val="35"/>
              <w:bidi w:val="0"/>
              <w:jc w:val="center"/>
              <w:rPr>
                <w:rFonts w:hint="default"/>
                <w:color w:val="auto"/>
                <w:lang w:val="en-US" w:eastAsia="zh-CN"/>
              </w:rPr>
            </w:pPr>
            <w:r>
              <w:rPr>
                <w:rFonts w:hint="default"/>
                <w:color w:val="auto"/>
                <w:lang w:val="en-US" w:eastAsia="zh-CN"/>
              </w:rPr>
              <w:t>.白色半透明块状或粒状固体</w:t>
            </w:r>
          </w:p>
        </w:tc>
        <w:tc>
          <w:tcPr>
            <w:tcW w:w="85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99%</w:t>
            </w:r>
          </w:p>
        </w:tc>
        <w:tc>
          <w:tcPr>
            <w:tcW w:w="990"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8t</w:t>
            </w:r>
          </w:p>
        </w:tc>
        <w:tc>
          <w:tcPr>
            <w:tcW w:w="990"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袋装</w:t>
            </w:r>
          </w:p>
        </w:tc>
      </w:tr>
      <w:tr>
        <w:tc>
          <w:tcPr>
            <w:tcW w:w="457"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6</w:t>
            </w:r>
          </w:p>
        </w:tc>
        <w:tc>
          <w:tcPr>
            <w:tcW w:w="815"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等离子树脂</w:t>
            </w:r>
          </w:p>
        </w:tc>
        <w:tc>
          <w:tcPr>
            <w:tcW w:w="892"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固体</w:t>
            </w:r>
          </w:p>
        </w:tc>
        <w:tc>
          <w:tcPr>
            <w:tcW w:w="853"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w:t>
            </w:r>
          </w:p>
        </w:tc>
        <w:tc>
          <w:tcPr>
            <w:tcW w:w="990"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10t</w:t>
            </w:r>
          </w:p>
        </w:tc>
        <w:tc>
          <w:tcPr>
            <w:tcW w:w="990" w:type="pct"/>
            <w:tcBorders>
              <w:tl2br w:val="nil"/>
              <w:tr2bl w:val="nil"/>
            </w:tcBorders>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袋装</w:t>
            </w:r>
          </w:p>
        </w:tc>
      </w:tr>
      <w:tr>
        <w:tc>
          <w:tcPr>
            <w:tcW w:w="457"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7</w:t>
            </w:r>
          </w:p>
        </w:tc>
        <w:tc>
          <w:tcPr>
            <w:tcW w:w="815"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活性炭</w:t>
            </w:r>
          </w:p>
        </w:tc>
        <w:tc>
          <w:tcPr>
            <w:tcW w:w="892" w:type="pct"/>
            <w:tcBorders>
              <w:tl2br w:val="nil"/>
              <w:tr2bl w:val="nil"/>
            </w:tcBorders>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固体</w:t>
            </w:r>
          </w:p>
        </w:tc>
        <w:tc>
          <w:tcPr>
            <w:tcW w:w="853" w:type="pct"/>
            <w:tcBorders>
              <w:tl2br w:val="nil"/>
              <w:tr2bl w:val="nil"/>
            </w:tcBorders>
            <w:noWrap w:val="0"/>
            <w:vAlign w:val="center"/>
          </w:tcPr>
          <w:p>
            <w:pPr>
              <w:pStyle w:val="35"/>
              <w:bidi w:val="0"/>
              <w:jc w:val="center"/>
              <w:rPr>
                <w:rFonts w:hint="eastAsia"/>
                <w:color w:val="auto"/>
                <w:u w:val="single"/>
                <w:lang w:val="en-US" w:eastAsia="zh-CN"/>
              </w:rPr>
            </w:pPr>
          </w:p>
        </w:tc>
        <w:tc>
          <w:tcPr>
            <w:tcW w:w="990"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72.1t</w:t>
            </w:r>
          </w:p>
        </w:tc>
        <w:tc>
          <w:tcPr>
            <w:tcW w:w="990" w:type="pct"/>
            <w:tcBorders>
              <w:tl2br w:val="nil"/>
              <w:tr2bl w:val="nil"/>
            </w:tcBorders>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袋装</w:t>
            </w:r>
          </w:p>
        </w:tc>
      </w:tr>
    </w:tbl>
    <w:p>
      <w:pPr>
        <w:pStyle w:val="33"/>
        <w:bidi w:val="0"/>
        <w:rPr>
          <w:rFonts w:hint="eastAsia"/>
          <w:color w:val="auto"/>
          <w:lang w:val="en-US" w:eastAsia="zh-CN"/>
        </w:rPr>
      </w:pPr>
      <w:r>
        <w:rPr>
          <w:rFonts w:hint="eastAsia"/>
          <w:color w:val="auto"/>
          <w:lang w:val="en-US" w:eastAsia="zh-CN"/>
        </w:rPr>
        <w:t>项目所需要的主要原料为粗碳酸二甲酯，主要来自山西阳煤集团、安徽红四方集团，山西阳煤集团拥有5000吨/日粗碳酸二甲酯生产装置、安徽红四方集团拥有4000吨/日粗碳酸二甲酯生产装置，可提供丰富、优质且廉价的原料。</w:t>
      </w:r>
    </w:p>
    <w:p>
      <w:pPr>
        <w:pStyle w:val="32"/>
        <w:bidi w:val="0"/>
        <w:rPr>
          <w:rFonts w:hint="default"/>
          <w:color w:val="auto"/>
          <w:lang w:val="en-US" w:eastAsia="zh-CN"/>
        </w:rPr>
      </w:pPr>
      <w:bookmarkStart w:id="72" w:name="_Toc2828"/>
      <w:r>
        <w:rPr>
          <w:rFonts w:hint="eastAsia"/>
          <w:color w:val="auto"/>
          <w:lang w:val="en-US" w:eastAsia="zh-CN"/>
        </w:rPr>
        <w:t>4.3.2主要原辅材料理化性质</w:t>
      </w:r>
      <w:bookmarkEnd w:id="72"/>
    </w:p>
    <w:p>
      <w:pPr>
        <w:pStyle w:val="33"/>
        <w:bidi w:val="0"/>
        <w:rPr>
          <w:rFonts w:hint="default"/>
          <w:color w:val="auto"/>
          <w:lang w:val="en-US" w:eastAsia="zh-CN"/>
        </w:rPr>
      </w:pPr>
      <w:r>
        <w:rPr>
          <w:rFonts w:hint="eastAsia"/>
          <w:color w:val="auto"/>
          <w:lang w:val="en-US" w:eastAsia="zh-CN"/>
        </w:rPr>
        <w:t>本项目原料主要为粗碳酸二甲酯和醋酸，粗碳酸二甲酯主要成分为碳酸二甲酯和甲醇，原辅料性质见下表。</w:t>
      </w:r>
    </w:p>
    <w:p>
      <w:pPr>
        <w:pStyle w:val="36"/>
        <w:bidi w:val="0"/>
        <w:rPr>
          <w:rFonts w:hint="eastAsia"/>
          <w:color w:val="auto"/>
          <w:lang w:val="en-US" w:eastAsia="zh-CN"/>
        </w:rPr>
      </w:pPr>
      <w:r>
        <w:rPr>
          <w:rFonts w:hint="eastAsia"/>
          <w:color w:val="auto"/>
          <w:lang w:val="en-US" w:eastAsia="zh-CN"/>
        </w:rPr>
        <w:t>表4.3-2  原辅料性质一览表</w:t>
      </w:r>
    </w:p>
    <w:tbl>
      <w:tblPr>
        <w:tblStyle w:val="28"/>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1464"/>
        <w:gridCol w:w="63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8" w:hRule="atLeast"/>
        </w:trPr>
        <w:tc>
          <w:tcPr>
            <w:tcW w:w="885"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原料名称</w:t>
            </w:r>
          </w:p>
        </w:tc>
        <w:tc>
          <w:tcPr>
            <w:tcW w:w="769"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形态</w:t>
            </w:r>
          </w:p>
        </w:tc>
        <w:tc>
          <w:tcPr>
            <w:tcW w:w="3344"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理化性质及毒理资料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42" w:hRule="atLeast"/>
        </w:trPr>
        <w:tc>
          <w:tcPr>
            <w:tcW w:w="885" w:type="pct"/>
            <w:tcBorders>
              <w:tl2br w:val="nil"/>
              <w:tr2bl w:val="nil"/>
            </w:tcBorders>
            <w:noWrap w:val="0"/>
            <w:vAlign w:val="center"/>
          </w:tcPr>
          <w:p>
            <w:pPr>
              <w:pStyle w:val="35"/>
              <w:bidi w:val="0"/>
              <w:ind w:firstLine="0" w:firstLineChars="0"/>
              <w:jc w:val="center"/>
              <w:rPr>
                <w:rFonts w:hint="eastAsia" w:eastAsia="宋体"/>
                <w:color w:val="auto"/>
                <w:lang w:val="en-US" w:eastAsia="zh-CN"/>
              </w:rPr>
            </w:pPr>
            <w:r>
              <w:rPr>
                <w:rFonts w:hint="eastAsia"/>
                <w:color w:val="auto"/>
                <w:lang w:val="en-US" w:eastAsia="zh-CN"/>
              </w:rPr>
              <w:t>甲醇</w:t>
            </w:r>
          </w:p>
        </w:tc>
        <w:tc>
          <w:tcPr>
            <w:tcW w:w="769"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rPr>
              <w:t>无色透明液体</w:t>
            </w:r>
          </w:p>
        </w:tc>
        <w:tc>
          <w:tcPr>
            <w:tcW w:w="3344" w:type="pct"/>
            <w:tcBorders>
              <w:tl2br w:val="nil"/>
              <w:tr2bl w:val="nil"/>
            </w:tcBorders>
            <w:noWrap w:val="0"/>
            <w:vAlign w:val="center"/>
          </w:tcPr>
          <w:p>
            <w:pPr>
              <w:pStyle w:val="35"/>
              <w:bidi w:val="0"/>
              <w:jc w:val="center"/>
              <w:rPr>
                <w:rFonts w:hint="default"/>
                <w:color w:val="auto"/>
                <w:lang w:val="en-US" w:eastAsia="zh-CN"/>
              </w:rPr>
            </w:pPr>
            <w:r>
              <w:rPr>
                <w:rFonts w:hint="eastAsia"/>
                <w:b/>
                <w:bCs/>
                <w:color w:val="auto"/>
                <w:lang w:val="en-US" w:eastAsia="zh-CN"/>
              </w:rPr>
              <w:t>理化性质：</w:t>
            </w:r>
            <w:r>
              <w:rPr>
                <w:rFonts w:hint="default"/>
                <w:color w:val="auto"/>
                <w:lang w:val="en-US" w:eastAsia="zh-CN"/>
              </w:rPr>
              <w:t>纯品略带乙醇气味，粗品刺鼻难闻。熔点-97.8℃。沸点64.7℃。相以密度为0.7915（20/4℃），蒸气相对密度1.11（空气＝1），折射率为1.3287，闪点（开杯）16℃，自燃点473℃，表面张力（25℃）45.05mN/m，蒸气压（20℃）12.265kPa，粘度（20℃）0.5945mPa·s。能与水、乙醇、乙醚、苯、酮类和其他许多有机溶剂混溶。甲醇的溶解性能比乙醇好，能溶解多种无机盐，例如磺化钠、氯化钙、硝醇胺、硫酸铜、硝酸银、氯化铵和氯化钠等。蒸气与空气形成爆炸性混合物，爆炸极限6.0-36.5（体积）。</w:t>
            </w:r>
          </w:p>
          <w:p>
            <w:pPr>
              <w:pStyle w:val="35"/>
              <w:bidi w:val="0"/>
              <w:jc w:val="center"/>
              <w:rPr>
                <w:rFonts w:hint="default"/>
                <w:color w:val="auto"/>
                <w:lang w:val="en-US" w:eastAsia="zh-CN"/>
              </w:rPr>
            </w:pPr>
            <w:r>
              <w:rPr>
                <w:rFonts w:hint="default"/>
                <w:b/>
                <w:bCs/>
                <w:color w:val="auto"/>
                <w:lang w:val="en-US" w:eastAsia="zh-CN"/>
              </w:rPr>
              <w:t>危险特性：</w:t>
            </w:r>
            <w:r>
              <w:rPr>
                <w:rFonts w:hint="default"/>
                <w:color w:val="auto"/>
                <w:lang w:val="en-US" w:eastAsia="zh-CN"/>
              </w:rPr>
              <w:t>易燃，其蒸气与空气可形成爆炸性混合物，遇明火、高热能引起燃烧爆炸。与氧化剂接触发生化学反应或引起燃烧。在火场中，受热的容器有爆炸危险。其蒸气比空气重，能在较低处扩散到相当远的地方，遇火源会着火回燃。</w:t>
            </w:r>
          </w:p>
          <w:p>
            <w:pPr>
              <w:pStyle w:val="35"/>
              <w:bidi w:val="0"/>
              <w:jc w:val="center"/>
              <w:rPr>
                <w:rFonts w:hint="default"/>
                <w:color w:val="auto"/>
                <w:lang w:val="en-US" w:eastAsia="zh-CN"/>
              </w:rPr>
            </w:pPr>
            <w:r>
              <w:rPr>
                <w:rFonts w:hint="default"/>
                <w:color w:val="auto"/>
                <w:lang w:val="en-US" w:eastAsia="zh-CN"/>
              </w:rPr>
              <w:t>LD50：5628 mg/kg(大鼠经口)；15800 mg/kg(兔经皮)，LC50：83776mg/m</w:t>
            </w:r>
            <w:r>
              <w:rPr>
                <w:rFonts w:hint="default"/>
                <w:color w:val="auto"/>
                <w:vertAlign w:val="superscript"/>
                <w:lang w:val="en-US" w:eastAsia="zh-CN"/>
              </w:rPr>
              <w:t>3</w:t>
            </w:r>
            <w:r>
              <w:rPr>
                <w:rFonts w:hint="default"/>
                <w:color w:val="auto"/>
                <w:lang w:val="en-US" w:eastAsia="zh-CN"/>
              </w:rPr>
              <w:t>，4小时(大鼠吸入)。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53" w:hRule="atLeast"/>
        </w:trPr>
        <w:tc>
          <w:tcPr>
            <w:tcW w:w="885"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醋酸</w:t>
            </w:r>
          </w:p>
        </w:tc>
        <w:tc>
          <w:tcPr>
            <w:tcW w:w="769"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rPr>
              <w:t>无色透明液体</w:t>
            </w:r>
          </w:p>
        </w:tc>
        <w:tc>
          <w:tcPr>
            <w:tcW w:w="3344" w:type="pct"/>
            <w:tcBorders>
              <w:tl2br w:val="nil"/>
              <w:tr2bl w:val="nil"/>
            </w:tcBorders>
            <w:noWrap w:val="0"/>
            <w:vAlign w:val="center"/>
          </w:tcPr>
          <w:p>
            <w:pPr>
              <w:pStyle w:val="35"/>
              <w:bidi w:val="0"/>
              <w:jc w:val="center"/>
              <w:rPr>
                <w:rFonts w:hint="default"/>
                <w:color w:val="auto"/>
                <w:lang w:val="en-US" w:eastAsia="zh-CN"/>
              </w:rPr>
            </w:pPr>
            <w:r>
              <w:rPr>
                <w:rFonts w:hint="default"/>
                <w:b/>
                <w:bCs/>
                <w:color w:val="auto"/>
                <w:lang w:val="en-US" w:eastAsia="zh-CN"/>
              </w:rPr>
              <w:t>理化性质：</w:t>
            </w:r>
            <w:r>
              <w:rPr>
                <w:rFonts w:hint="default"/>
                <w:color w:val="auto"/>
                <w:lang w:val="en-US" w:eastAsia="zh-CN"/>
              </w:rPr>
              <w:t>无色透明液体。熔点16.635℃，沸点117.9℃，相对密度1.0492(20/4℃)折射率1.3716，闪点（开杯）57℃，自燃点465℃，粘度11.83mPa·s（20℃）。纯乙酸在16℃以下时，能结成冰状固体，故称冰醋酸。与水、乙醇、苯和乙醚混溶，不溶于二硫化碳。当水加到乙酸中，混合后的总体积变小，密度增加。分子比为1：1，进一步稀释，不再发生上述体积的改变。有刺激性气味。</w:t>
            </w:r>
          </w:p>
          <w:p>
            <w:pPr>
              <w:pStyle w:val="35"/>
              <w:bidi w:val="0"/>
              <w:jc w:val="center"/>
              <w:rPr>
                <w:rFonts w:hint="default"/>
                <w:color w:val="auto"/>
                <w:lang w:val="en-US" w:eastAsia="zh-CN"/>
              </w:rPr>
            </w:pPr>
            <w:r>
              <w:rPr>
                <w:rFonts w:hint="default"/>
                <w:b/>
                <w:bCs/>
                <w:color w:val="auto"/>
                <w:lang w:val="en-US" w:eastAsia="zh-CN"/>
              </w:rPr>
              <w:t>危险特性：</w:t>
            </w:r>
            <w:r>
              <w:rPr>
                <w:rFonts w:hint="default"/>
                <w:color w:val="auto"/>
                <w:lang w:val="en-US" w:eastAsia="zh-CN"/>
              </w:rPr>
              <w:t>易燃，其蒸气与空气可形成爆炸性混合物，遇明火、高热能引起燃烧爆炸。与铬酸、过氧化钠、硝酸或其它氧化剂接触，有爆炸危险。具有腐蚀性。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53" w:hRule="atLeast"/>
        </w:trPr>
        <w:tc>
          <w:tcPr>
            <w:tcW w:w="885"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default" w:eastAsia="宋体"/>
                <w:color w:val="auto"/>
                <w:lang w:val="en-US" w:eastAsia="zh-CN"/>
              </w:rPr>
              <w:t>氢氧化钠</w:t>
            </w:r>
          </w:p>
        </w:tc>
        <w:tc>
          <w:tcPr>
            <w:tcW w:w="769" w:type="pct"/>
            <w:tcBorders>
              <w:tl2br w:val="nil"/>
              <w:tr2bl w:val="nil"/>
            </w:tcBorders>
            <w:noWrap w:val="0"/>
            <w:vAlign w:val="center"/>
          </w:tcPr>
          <w:p>
            <w:pPr>
              <w:pStyle w:val="35"/>
              <w:bidi w:val="0"/>
              <w:ind w:firstLine="0" w:firstLineChars="0"/>
              <w:jc w:val="center"/>
              <w:rPr>
                <w:rFonts w:hint="eastAsia"/>
                <w:color w:val="auto"/>
              </w:rPr>
            </w:pPr>
            <w:r>
              <w:rPr>
                <w:rFonts w:hint="default" w:eastAsia="宋体"/>
                <w:color w:val="auto"/>
                <w:lang w:val="en-US" w:eastAsia="zh-CN"/>
              </w:rPr>
              <w:t>白色半透明，结晶状固体</w:t>
            </w:r>
          </w:p>
        </w:tc>
        <w:tc>
          <w:tcPr>
            <w:tcW w:w="3344" w:type="pct"/>
            <w:tcBorders>
              <w:tl2br w:val="nil"/>
              <w:tr2bl w:val="nil"/>
            </w:tcBorders>
            <w:noWrap w:val="0"/>
            <w:vAlign w:val="center"/>
          </w:tcPr>
          <w:p>
            <w:pPr>
              <w:pStyle w:val="35"/>
              <w:bidi w:val="0"/>
              <w:jc w:val="center"/>
              <w:rPr>
                <w:rFonts w:hint="default" w:eastAsia="宋体"/>
                <w:color w:val="auto"/>
                <w:lang w:val="en-US" w:eastAsia="zh-CN"/>
              </w:rPr>
            </w:pPr>
            <w:r>
              <w:rPr>
                <w:rFonts w:hint="default" w:eastAsia="宋体"/>
                <w:b/>
                <w:bCs/>
                <w:color w:val="auto"/>
                <w:lang w:val="en-US" w:eastAsia="zh-CN"/>
              </w:rPr>
              <w:t>理化性质：</w:t>
            </w:r>
            <w:r>
              <w:rPr>
                <w:rFonts w:hint="default" w:eastAsia="宋体"/>
                <w:color w:val="auto"/>
                <w:lang w:val="en-US" w:eastAsia="zh-CN"/>
              </w:rPr>
              <w:t>氢氧化钠为白色半透明，结晶状固体。氢氧化钠极易溶于水，溶解度随温度的升高而增大，溶解时能放出大量的热，288K时其饱和溶液浓度可达16.4mol/L(1:1)。它的水溶液有涩味和滑腻感，溶液呈强碱性，具备碱的一切通性。市售烧碱有固态和液态两种：纯固体烧碱呈白色，有块状、片状、棒状、粒状，质脆；纯液体烧碱为无色透明液体。氢氧化钠还易溶于乙醇、甘油；但不溶于乙醚、丙酮、液氨。对纤维、皮肤、玻璃、陶瓷等有腐蚀作用，溶解或浓溶液稀释时会放出热量；与无机酸发生中和反应也能产生大量热，生成相应的盐类；与金属铝和锌、非金属硼和硅等反应放出氢；与氯、溴、碘等卤素发生歧化反应。能从水溶液中沉淀金属离子成为氢氧化物；能使油脂发生皂化反应，生成相应的有机酸的钠盐和醇。</w:t>
            </w:r>
          </w:p>
          <w:p>
            <w:pPr>
              <w:pStyle w:val="35"/>
              <w:bidi w:val="0"/>
              <w:jc w:val="center"/>
              <w:rPr>
                <w:rFonts w:hint="default"/>
                <w:b/>
                <w:bCs/>
                <w:color w:val="auto"/>
                <w:lang w:val="en-US" w:eastAsia="zh-CN"/>
              </w:rPr>
            </w:pPr>
            <w:r>
              <w:rPr>
                <w:rFonts w:hint="default" w:eastAsia="宋体"/>
                <w:b/>
                <w:bCs/>
                <w:color w:val="auto"/>
                <w:lang w:val="en-US" w:eastAsia="zh-CN"/>
              </w:rPr>
              <w:t>危险特性：</w:t>
            </w:r>
            <w:r>
              <w:rPr>
                <w:rFonts w:hint="default" w:eastAsia="宋体"/>
                <w:color w:val="auto"/>
                <w:lang w:val="en-US" w:eastAsia="zh-CN"/>
              </w:rPr>
              <w:t>与酸发生中和反应并放热。遇潮时对铝、锌和锡有腐蚀性，并放出易燃易爆的氢气。本品不会燃烧, 遇水和水蒸气大量放热, 形成腐蚀性溶液。具有强腐蚀性。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70" w:hRule="atLeast"/>
        </w:trPr>
        <w:tc>
          <w:tcPr>
            <w:tcW w:w="885" w:type="pct"/>
            <w:tcBorders>
              <w:tl2br w:val="nil"/>
              <w:tr2bl w:val="nil"/>
            </w:tcBorders>
            <w:noWrap w:val="0"/>
            <w:vAlign w:val="center"/>
          </w:tcPr>
          <w:p>
            <w:pPr>
              <w:pStyle w:val="35"/>
              <w:bidi w:val="0"/>
              <w:ind w:firstLine="0" w:firstLineChars="0"/>
              <w:jc w:val="center"/>
              <w:rPr>
                <w:rFonts w:hint="default" w:eastAsia="宋体"/>
                <w:color w:val="auto"/>
                <w:lang w:val="en-US" w:eastAsia="zh-CN"/>
              </w:rPr>
            </w:pPr>
            <w:r>
              <w:rPr>
                <w:rFonts w:hint="default" w:eastAsia="宋体"/>
                <w:color w:val="auto"/>
                <w:lang w:val="en-US" w:eastAsia="zh-CN"/>
              </w:rPr>
              <w:t>对甲苯磺酸</w:t>
            </w:r>
          </w:p>
        </w:tc>
        <w:tc>
          <w:tcPr>
            <w:tcW w:w="769" w:type="pct"/>
            <w:tcBorders>
              <w:tl2br w:val="nil"/>
              <w:tr2bl w:val="nil"/>
            </w:tcBorders>
            <w:noWrap w:val="0"/>
            <w:vAlign w:val="center"/>
          </w:tcPr>
          <w:p>
            <w:pPr>
              <w:pStyle w:val="35"/>
              <w:bidi w:val="0"/>
              <w:ind w:firstLine="0" w:firstLineChars="0"/>
              <w:jc w:val="center"/>
              <w:rPr>
                <w:rFonts w:hint="default" w:eastAsia="宋体"/>
                <w:color w:val="auto"/>
                <w:lang w:val="en-US" w:eastAsia="zh-CN"/>
              </w:rPr>
            </w:pPr>
            <w:r>
              <w:rPr>
                <w:rFonts w:hint="default" w:eastAsia="宋体"/>
                <w:b w:val="0"/>
                <w:bCs w:val="0"/>
                <w:color w:val="auto"/>
                <w:lang w:val="en-US" w:eastAsia="zh-CN"/>
              </w:rPr>
              <w:t>白色叶状或柱状结晶</w:t>
            </w:r>
          </w:p>
        </w:tc>
        <w:tc>
          <w:tcPr>
            <w:tcW w:w="3344" w:type="pct"/>
            <w:tcBorders>
              <w:tl2br w:val="nil"/>
              <w:tr2bl w:val="nil"/>
            </w:tcBorders>
            <w:noWrap w:val="0"/>
            <w:vAlign w:val="center"/>
          </w:tcPr>
          <w:p>
            <w:pPr>
              <w:pStyle w:val="35"/>
              <w:bidi w:val="0"/>
              <w:jc w:val="left"/>
              <w:rPr>
                <w:rFonts w:hint="default" w:eastAsia="宋体"/>
                <w:b w:val="0"/>
                <w:bCs w:val="0"/>
                <w:color w:val="auto"/>
                <w:lang w:val="en-US" w:eastAsia="zh-CN"/>
              </w:rPr>
            </w:pPr>
            <w:r>
              <w:rPr>
                <w:rFonts w:hint="default" w:eastAsia="宋体"/>
                <w:b/>
                <w:bCs/>
                <w:color w:val="auto"/>
                <w:lang w:val="en-US" w:eastAsia="zh-CN"/>
              </w:rPr>
              <w:t>理化性质：</w:t>
            </w:r>
            <w:r>
              <w:rPr>
                <w:rFonts w:hint="default" w:eastAsia="宋体"/>
                <w:b w:val="0"/>
                <w:bCs w:val="0"/>
                <w:color w:val="auto"/>
                <w:lang w:val="en-US" w:eastAsia="zh-CN"/>
              </w:rPr>
              <w:t>白色叶状或柱状结晶。熔点106-107℃，沸点140℃（2.67kPa）。易溶于水，溶于醇和醚，难溶于苯和甲苯。该品有时以含1分子或4分子结晶水的形态存在。</w:t>
            </w:r>
          </w:p>
          <w:p>
            <w:pPr>
              <w:pStyle w:val="35"/>
              <w:bidi w:val="0"/>
              <w:jc w:val="left"/>
              <w:rPr>
                <w:rFonts w:hint="default" w:eastAsia="宋体"/>
                <w:b/>
                <w:bCs/>
                <w:color w:val="auto"/>
                <w:lang w:val="en-US" w:eastAsia="zh-CN"/>
              </w:rPr>
            </w:pPr>
            <w:r>
              <w:rPr>
                <w:rFonts w:hint="default" w:eastAsia="宋体"/>
                <w:b/>
                <w:bCs/>
                <w:color w:val="auto"/>
                <w:lang w:val="en-US" w:eastAsia="zh-CN"/>
              </w:rPr>
              <w:t>危险特性：</w:t>
            </w:r>
            <w:r>
              <w:rPr>
                <w:rFonts w:hint="default" w:eastAsia="宋体"/>
                <w:b w:val="0"/>
                <w:bCs w:val="0"/>
                <w:color w:val="auto"/>
                <w:lang w:val="en-US" w:eastAsia="zh-CN"/>
              </w:rPr>
              <w:t>易燃，具有腐蚀性</w:t>
            </w:r>
          </w:p>
        </w:tc>
      </w:tr>
    </w:tbl>
    <w:p>
      <w:pPr>
        <w:pStyle w:val="31"/>
        <w:bidi w:val="0"/>
        <w:rPr>
          <w:rFonts w:hint="eastAsia"/>
          <w:color w:val="auto"/>
          <w:lang w:val="en-US" w:eastAsia="zh-CN"/>
        </w:rPr>
      </w:pPr>
      <w:bookmarkStart w:id="73" w:name="_Toc22155"/>
      <w:bookmarkStart w:id="74" w:name="_Toc5682"/>
      <w:r>
        <w:rPr>
          <w:rFonts w:hint="eastAsia"/>
          <w:color w:val="auto"/>
          <w:lang w:val="en-US" w:eastAsia="zh-CN"/>
        </w:rPr>
        <w:t>4.4主要生产设备</w:t>
      </w:r>
      <w:bookmarkEnd w:id="73"/>
      <w:bookmarkEnd w:id="74"/>
    </w:p>
    <w:p>
      <w:pPr>
        <w:pStyle w:val="33"/>
        <w:bidi w:val="0"/>
        <w:rPr>
          <w:rFonts w:hint="eastAsia"/>
          <w:color w:val="auto"/>
        </w:rPr>
      </w:pPr>
      <w:r>
        <w:rPr>
          <w:rFonts w:hint="eastAsia"/>
          <w:color w:val="auto"/>
        </w:rPr>
        <w:t>本项目主要利用现有生产设备处理，</w:t>
      </w:r>
      <w:r>
        <w:rPr>
          <w:rFonts w:hint="eastAsia"/>
          <w:color w:val="auto"/>
          <w:lang w:val="en-US" w:eastAsia="zh-CN"/>
        </w:rPr>
        <w:t>新增一套酯化反应及脱水装置</w:t>
      </w:r>
      <w:r>
        <w:rPr>
          <w:rFonts w:hint="eastAsia"/>
          <w:color w:val="auto"/>
        </w:rPr>
        <w:t>局部调整。项目设备方案见下表：</w:t>
      </w:r>
    </w:p>
    <w:p>
      <w:pPr>
        <w:pStyle w:val="36"/>
        <w:bidi w:val="0"/>
        <w:rPr>
          <w:rFonts w:hint="eastAsia"/>
          <w:color w:val="auto"/>
        </w:rPr>
      </w:pPr>
      <w:r>
        <w:rPr>
          <w:rFonts w:hint="eastAsia"/>
          <w:color w:val="auto"/>
        </w:rPr>
        <w:t>表</w:t>
      </w:r>
      <w:r>
        <w:rPr>
          <w:rFonts w:hint="eastAsia"/>
          <w:color w:val="auto"/>
          <w:lang w:val="en-US" w:eastAsia="zh-CN"/>
        </w:rPr>
        <w:t xml:space="preserve">4.4-1 </w:t>
      </w:r>
      <w:r>
        <w:rPr>
          <w:rFonts w:hint="eastAsia"/>
          <w:color w:val="auto"/>
        </w:rPr>
        <w:t xml:space="preserve"> 项目主要设备一览表（利用原设备）</w:t>
      </w:r>
    </w:p>
    <w:tbl>
      <w:tblPr>
        <w:tblStyle w:val="27"/>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2944"/>
        <w:gridCol w:w="3060"/>
        <w:gridCol w:w="815"/>
        <w:gridCol w:w="1215"/>
        <w:gridCol w:w="746"/>
      </w:tblGrid>
      <w:tr>
        <w:trPr>
          <w:trHeight w:val="351"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b/>
                <w:bCs/>
                <w:color w:val="auto"/>
              </w:rPr>
            </w:pPr>
            <w:r>
              <w:rPr>
                <w:rFonts w:hint="eastAsia"/>
                <w:b/>
                <w:bCs/>
                <w:color w:val="auto"/>
              </w:rPr>
              <w:t>序号</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b/>
                <w:bCs/>
                <w:color w:val="auto"/>
              </w:rPr>
            </w:pPr>
            <w:r>
              <w:rPr>
                <w:rFonts w:hint="eastAsia"/>
                <w:b/>
                <w:bCs/>
                <w:color w:val="auto"/>
              </w:rPr>
              <w:t>设备名称</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b/>
                <w:bCs/>
                <w:color w:val="auto"/>
              </w:rPr>
            </w:pPr>
            <w:r>
              <w:rPr>
                <w:rFonts w:hint="eastAsia"/>
                <w:b/>
                <w:bCs/>
                <w:color w:val="auto"/>
              </w:rPr>
              <w:t>规格/材质</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b/>
                <w:bCs/>
                <w:color w:val="auto"/>
              </w:rPr>
            </w:pPr>
            <w:r>
              <w:rPr>
                <w:rFonts w:hint="eastAsia"/>
                <w:b/>
                <w:bCs/>
                <w:color w:val="auto"/>
              </w:rPr>
              <w:t>单位</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eastAsia="宋体"/>
                <w:b/>
                <w:bCs/>
                <w:color w:val="auto"/>
                <w:lang w:eastAsia="zh-CN"/>
              </w:rPr>
            </w:pPr>
            <w:r>
              <w:rPr>
                <w:rFonts w:hint="eastAsia"/>
                <w:b/>
                <w:bCs/>
                <w:color w:val="auto"/>
                <w:lang w:val="en-US" w:eastAsia="zh-CN"/>
              </w:rPr>
              <w:t>厂区生产设施编号</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b/>
                <w:bCs/>
                <w:color w:val="auto"/>
              </w:rPr>
            </w:pPr>
            <w:r>
              <w:rPr>
                <w:rFonts w:hint="eastAsia"/>
                <w:b/>
                <w:bCs/>
                <w:color w:val="auto"/>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48"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1</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原料反应罐</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卧式20m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V-001/A</w:t>
            </w:r>
          </w:p>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V-001/B</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2</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盐水罐</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卧式50m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V-002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2"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3</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甲醇罐</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立式40m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V-007</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217"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4</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DMC罐</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立式40m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V-006、V-008</w:t>
            </w:r>
            <w:r>
              <w:rPr>
                <w:rFonts w:hint="eastAsia"/>
                <w:color w:val="auto"/>
                <w:lang w:eastAsia="zh-CN"/>
              </w:rPr>
              <w:t>、</w:t>
            </w:r>
            <w:r>
              <w:rPr>
                <w:rFonts w:hint="eastAsia"/>
                <w:color w:val="auto"/>
              </w:rPr>
              <w:t>V-009</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5</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萃取槽</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4个卧式搅拌槽</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R-401</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6</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原料蒸馏塔</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400mm*9000mm</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T-404</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7</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低沸精馏塔</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900mm*23000mm</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T-401</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8</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脱甲醇塔</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800mm*23500mm</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T-402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9</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高沸精馏塔</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800mm*34000mm</w:t>
            </w:r>
          </w:p>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Mm</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T-403</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10</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原料反应罐进料泵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IMD65-50-120F</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P-007</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11</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原料反应罐循环泵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80GF-32</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P-008</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12</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原料蒸馏塔进料泵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CQB40-25-120F</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P-005</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13</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萃取槽盐水进料泵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CQB40-25-120F</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P-006</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14</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萃取槽原料进料泵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CQB40-25-120F</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P-003</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15</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脱甲醇塔进料泵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CQB40-25-120F</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P-004</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16</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低沸精馏塔进料泵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CQB40-25-120F</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P-001</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17</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高沸精馏塔进料泵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CQB40-25-120F</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P-002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43"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18</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低沸精馏塔顶回流泵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IMD40-25-160F</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PO-401/1</w:t>
            </w:r>
          </w:p>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PO-401/2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19</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低沸精馏塔顶底泵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IMD32-20-125F</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P-401</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20</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脱甲醇塔底泵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IMD32-20-125F</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P-402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29"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21</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高沸精馏塔顶回流泵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IMD40-25-150F</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PO-403/1</w:t>
            </w:r>
          </w:p>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PO-403/2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22</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高沸精馏塔底档泵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IMD32-20-125F</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P-403</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23</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循环水泵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100-80-160</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P-101</w:t>
            </w:r>
          </w:p>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9-102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13"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24</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脱甲醇塔顶内回流冷凝器</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30m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E-402/1</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6"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25</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脱甲醇塔顶冷凝器</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110m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E-402/2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28"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26</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低沸精馏塔一冷凝器</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90m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E-401/1</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8"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27</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低沸精馏塔二冷凝器</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28m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E-401/2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92"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28</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高沸精馏塔一冷凝器</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28m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E-403/1</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8"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29</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高沸精馏塔二冷凝器</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60m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E-403/2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26"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30</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原料蒸馏塔冷凝器</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90m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E-404</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88"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31</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高沸精馏塔再器</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40m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E-403</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38"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32</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原料蒸馏塔接收罐</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立式3m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V-404/1</w:t>
            </w:r>
          </w:p>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V-404/2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98"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33</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脱甲醇塔接收罐</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立式4.5m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V-402/1</w:t>
            </w:r>
          </w:p>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V-402/2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13"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34</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低沸精馏塔回流罐</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卧式3m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D-401</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38"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35</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低沸精馏塔低沸接收罐</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立式10 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V-401</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98"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36</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高沸精馏塔回流罐</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立式1 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D-403/1</w:t>
            </w:r>
          </w:p>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D-403/2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98"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37</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高沸精馏塔成品接收罐</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立式3 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V-403/1</w:t>
            </w:r>
          </w:p>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V-403/2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75"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38</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高沸精馏塔釜液接收罐</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卧式5 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V-403</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76"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39</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低沸精馏塔釜液接收罐</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立式6 m</w:t>
            </w:r>
            <w:r>
              <w:rPr>
                <w:rFonts w:hint="eastAsia"/>
                <w:color w:val="auto"/>
                <w:vertAlign w:val="superscript"/>
              </w:rPr>
              <w:t>3</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VJ-403</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38"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40</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循环水池补水泵</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80-50-250</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P-103</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540"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41</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脱甲醇塔过滤器</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DN200*300mm</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F-402/1</w:t>
            </w:r>
          </w:p>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f-402/2</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1"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42</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低沸精馏塔过滤器</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DN200*300mm</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F-401</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8"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rPr>
            </w:pPr>
            <w:r>
              <w:rPr>
                <w:rFonts w:hint="eastAsia"/>
                <w:color w:val="auto"/>
              </w:rPr>
              <w:t>43</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高沸精馏塔过滤器</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DN200*300mm</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台</w:t>
            </w: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F-403</w:t>
            </w: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8" w:hRule="atLeast"/>
          <w:tblHeader/>
          <w:jc w:val="center"/>
        </w:trPr>
        <w:tc>
          <w:tcPr>
            <w:tcW w:w="5000" w:type="pct"/>
            <w:gridSpan w:val="6"/>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b/>
                <w:bCs/>
                <w:color w:val="auto"/>
                <w:lang w:val="en-US" w:eastAsia="zh-CN"/>
              </w:rPr>
              <w:t>新增</w:t>
            </w:r>
            <w:r>
              <w:rPr>
                <w:rFonts w:hint="eastAsia"/>
                <w:b/>
                <w:bCs/>
                <w:color w:val="auto"/>
              </w:rPr>
              <w:t>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8" w:hRule="atLeast"/>
          <w:tblHeader/>
          <w:jc w:val="center"/>
        </w:trPr>
        <w:tc>
          <w:tcPr>
            <w:tcW w:w="381"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44</w:t>
            </w:r>
          </w:p>
        </w:tc>
        <w:tc>
          <w:tcPr>
            <w:tcW w:w="154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甲醇与醋酸脂化塔</w:t>
            </w:r>
          </w:p>
        </w:tc>
        <w:tc>
          <w:tcPr>
            <w:tcW w:w="161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前原料蒸馏塔404</w:t>
            </w:r>
          </w:p>
        </w:tc>
        <w:tc>
          <w:tcPr>
            <w:tcW w:w="42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p>
        </w:tc>
        <w:tc>
          <w:tcPr>
            <w:tcW w:w="639"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p>
        </w:tc>
        <w:tc>
          <w:tcPr>
            <w:tcW w:w="390" w:type="pct"/>
            <w:tcBorders>
              <w:tl2br w:val="nil"/>
              <w:tr2bl w:val="nil"/>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rPr>
              <w:t>1</w:t>
            </w:r>
          </w:p>
        </w:tc>
      </w:tr>
    </w:tbl>
    <w:p>
      <w:pPr>
        <w:pStyle w:val="31"/>
        <w:bidi w:val="0"/>
        <w:rPr>
          <w:rFonts w:hint="default"/>
          <w:color w:val="auto"/>
          <w:lang w:val="en-US" w:eastAsia="zh-CN"/>
        </w:rPr>
      </w:pPr>
      <w:bookmarkStart w:id="75" w:name="_Toc21655"/>
      <w:bookmarkStart w:id="76" w:name="_Toc12276"/>
      <w:r>
        <w:rPr>
          <w:rFonts w:hint="eastAsia"/>
          <w:color w:val="auto"/>
          <w:lang w:val="en-US" w:eastAsia="zh-CN"/>
        </w:rPr>
        <w:t>4.5公用及辅助工程</w:t>
      </w:r>
      <w:bookmarkEnd w:id="75"/>
      <w:bookmarkEnd w:id="76"/>
    </w:p>
    <w:p>
      <w:pPr>
        <w:pStyle w:val="32"/>
        <w:bidi w:val="0"/>
        <w:rPr>
          <w:color w:val="auto"/>
        </w:rPr>
      </w:pPr>
      <w:bookmarkStart w:id="77" w:name="_Toc13635"/>
      <w:r>
        <w:rPr>
          <w:rFonts w:hint="eastAsia"/>
          <w:color w:val="auto"/>
          <w:lang w:val="en-US" w:eastAsia="zh-CN"/>
        </w:rPr>
        <w:t>4.5.1</w:t>
      </w:r>
      <w:r>
        <w:rPr>
          <w:color w:val="auto"/>
        </w:rPr>
        <w:t>供水</w:t>
      </w:r>
      <w:bookmarkEnd w:id="77"/>
    </w:p>
    <w:p>
      <w:pPr>
        <w:pStyle w:val="33"/>
        <w:bidi w:val="0"/>
        <w:rPr>
          <w:rFonts w:hint="eastAsia"/>
          <w:color w:val="auto"/>
        </w:rPr>
      </w:pPr>
      <w:r>
        <w:rPr>
          <w:rFonts w:hint="eastAsia"/>
          <w:color w:val="auto"/>
          <w:lang w:val="en-US" w:eastAsia="zh-CN"/>
        </w:rPr>
        <w:t>本次技改项目，依托现有工程一期设备，新增用水主要为新增员工生活污水，设备和储罐清洗水，废气喷淋用水。</w:t>
      </w:r>
      <w:r>
        <w:rPr>
          <w:rFonts w:hint="eastAsia"/>
          <w:color w:val="auto"/>
        </w:rPr>
        <w:t>新鲜水供水水源由工业园区自来水公司供给，用水水源为双花水库。</w:t>
      </w:r>
    </w:p>
    <w:p>
      <w:pPr>
        <w:pStyle w:val="33"/>
        <w:bidi w:val="0"/>
        <w:rPr>
          <w:color w:val="auto"/>
        </w:rPr>
      </w:pPr>
      <w:r>
        <w:rPr>
          <w:rFonts w:hint="eastAsia"/>
          <w:color w:val="auto"/>
          <w:lang w:val="en-US" w:eastAsia="zh-CN"/>
        </w:rPr>
        <w:t>1</w:t>
      </w:r>
      <w:r>
        <w:rPr>
          <w:rFonts w:hint="eastAsia"/>
          <w:color w:val="auto"/>
          <w:lang w:eastAsia="zh-CN"/>
        </w:rPr>
        <w:t>）</w:t>
      </w:r>
      <w:r>
        <w:rPr>
          <w:color w:val="auto"/>
        </w:rPr>
        <w:t>生活用水</w:t>
      </w:r>
    </w:p>
    <w:p>
      <w:pPr>
        <w:pStyle w:val="33"/>
        <w:bidi w:val="0"/>
        <w:rPr>
          <w:color w:val="auto"/>
        </w:rPr>
      </w:pPr>
      <w:r>
        <w:rPr>
          <w:color w:val="auto"/>
        </w:rPr>
        <w:t>本项目设置</w:t>
      </w:r>
      <w:r>
        <w:rPr>
          <w:rFonts w:hint="eastAsia"/>
          <w:color w:val="auto"/>
          <w:lang w:val="en-US" w:eastAsia="zh-CN"/>
        </w:rPr>
        <w:t>新增</w:t>
      </w:r>
      <w:r>
        <w:rPr>
          <w:color w:val="auto"/>
        </w:rPr>
        <w:t>员工数为</w:t>
      </w:r>
      <w:r>
        <w:rPr>
          <w:rFonts w:hint="eastAsia"/>
          <w:color w:val="auto"/>
          <w:lang w:val="en-US" w:eastAsia="zh-CN"/>
        </w:rPr>
        <w:t>12</w:t>
      </w:r>
      <w:r>
        <w:rPr>
          <w:color w:val="auto"/>
        </w:rPr>
        <w:t>人。根据</w:t>
      </w:r>
      <w:r>
        <w:rPr>
          <w:rFonts w:hint="eastAsia"/>
          <w:color w:val="auto"/>
        </w:rPr>
        <w:t>《湖南省地方标准用水定额》</w:t>
      </w:r>
      <w:r>
        <w:rPr>
          <w:color w:val="auto"/>
        </w:rPr>
        <w:t>（DB43/T388-20</w:t>
      </w:r>
      <w:r>
        <w:rPr>
          <w:rFonts w:hint="eastAsia"/>
          <w:color w:val="auto"/>
          <w:lang w:val="en-US" w:eastAsia="zh-CN"/>
        </w:rPr>
        <w:t>20</w:t>
      </w:r>
      <w:r>
        <w:rPr>
          <w:color w:val="auto"/>
        </w:rPr>
        <w:t>），职工用水量按</w:t>
      </w:r>
      <w:r>
        <w:rPr>
          <w:rFonts w:hint="eastAsia"/>
          <w:color w:val="auto"/>
          <w:lang w:val="en-US" w:eastAsia="zh-CN"/>
        </w:rPr>
        <w:t>150</w:t>
      </w:r>
      <w:r>
        <w:rPr>
          <w:color w:val="auto"/>
        </w:rPr>
        <w:t>L/（人·d）。</w:t>
      </w:r>
      <w:r>
        <w:rPr>
          <w:rFonts w:hint="eastAsia"/>
          <w:color w:val="auto"/>
          <w:lang w:val="en-US" w:eastAsia="zh-CN"/>
        </w:rPr>
        <w:t>项目年生产330天，</w:t>
      </w:r>
      <w:r>
        <w:rPr>
          <w:color w:val="auto"/>
        </w:rPr>
        <w:t>项目生活用水量约为</w:t>
      </w:r>
      <w:r>
        <w:rPr>
          <w:rFonts w:hint="eastAsia"/>
          <w:color w:val="auto"/>
          <w:lang w:val="en-US" w:eastAsia="zh-CN"/>
        </w:rPr>
        <w:t>1.8</w:t>
      </w:r>
      <w:r>
        <w:rPr>
          <w:color w:val="auto"/>
        </w:rPr>
        <w:t>m</w:t>
      </w:r>
      <w:r>
        <w:rPr>
          <w:color w:val="auto"/>
          <w:vertAlign w:val="superscript"/>
        </w:rPr>
        <w:t>3</w:t>
      </w:r>
      <w:r>
        <w:rPr>
          <w:color w:val="auto"/>
        </w:rPr>
        <w:t>/d（</w:t>
      </w:r>
      <w:r>
        <w:rPr>
          <w:rFonts w:hint="eastAsia"/>
          <w:color w:val="auto"/>
          <w:lang w:val="en-US" w:eastAsia="zh-CN"/>
        </w:rPr>
        <w:t>594</w:t>
      </w:r>
      <w:r>
        <w:rPr>
          <w:color w:val="auto"/>
        </w:rPr>
        <w:t>m</w:t>
      </w:r>
      <w:r>
        <w:rPr>
          <w:color w:val="auto"/>
          <w:vertAlign w:val="superscript"/>
        </w:rPr>
        <w:t>3</w:t>
      </w:r>
      <w:r>
        <w:rPr>
          <w:color w:val="auto"/>
        </w:rPr>
        <w:t>/a）。</w:t>
      </w:r>
    </w:p>
    <w:p>
      <w:pPr>
        <w:pStyle w:val="33"/>
        <w:bidi w:val="0"/>
        <w:rPr>
          <w:color w:val="auto"/>
        </w:rPr>
      </w:pPr>
      <w:r>
        <w:rPr>
          <w:rFonts w:hint="eastAsia"/>
          <w:color w:val="auto"/>
          <w:lang w:val="en-US" w:eastAsia="zh-CN"/>
        </w:rPr>
        <w:t>2）</w:t>
      </w:r>
      <w:r>
        <w:rPr>
          <w:color w:val="auto"/>
        </w:rPr>
        <w:t>废气</w:t>
      </w:r>
      <w:r>
        <w:rPr>
          <w:rFonts w:hint="eastAsia"/>
          <w:color w:val="auto"/>
          <w:lang w:val="en-US" w:eastAsia="zh-CN"/>
        </w:rPr>
        <w:t>喷淋</w:t>
      </w:r>
      <w:r>
        <w:rPr>
          <w:color w:val="auto"/>
        </w:rPr>
        <w:t>塔用水</w:t>
      </w:r>
    </w:p>
    <w:p>
      <w:pPr>
        <w:pStyle w:val="33"/>
        <w:bidi w:val="0"/>
        <w:rPr>
          <w:color w:val="auto"/>
        </w:rPr>
      </w:pPr>
      <w:r>
        <w:rPr>
          <w:color w:val="auto"/>
        </w:rPr>
        <w:t>根据业主提供资料并类比</w:t>
      </w:r>
      <w:r>
        <w:rPr>
          <w:rFonts w:hint="eastAsia"/>
          <w:color w:val="auto"/>
          <w:lang w:val="en-US" w:eastAsia="zh-CN"/>
        </w:rPr>
        <w:t>现有</w:t>
      </w:r>
      <w:r>
        <w:rPr>
          <w:color w:val="auto"/>
        </w:rPr>
        <w:t>工程情况可知，项目废气</w:t>
      </w:r>
      <w:r>
        <w:rPr>
          <w:rFonts w:hint="eastAsia"/>
          <w:color w:val="auto"/>
          <w:lang w:val="en-US" w:eastAsia="zh-CN"/>
        </w:rPr>
        <w:t>喷淋</w:t>
      </w:r>
      <w:r>
        <w:rPr>
          <w:color w:val="auto"/>
        </w:rPr>
        <w:t>塔废水日用水量为</w:t>
      </w:r>
      <w:r>
        <w:rPr>
          <w:rFonts w:hint="eastAsia"/>
          <w:color w:val="auto"/>
          <w:lang w:val="en-US" w:eastAsia="zh-CN"/>
        </w:rPr>
        <w:t>3.64</w:t>
      </w:r>
      <w:r>
        <w:rPr>
          <w:color w:val="auto"/>
        </w:rPr>
        <w:t>m</w:t>
      </w:r>
      <w:r>
        <w:rPr>
          <w:color w:val="auto"/>
          <w:vertAlign w:val="superscript"/>
        </w:rPr>
        <w:t>3</w:t>
      </w:r>
      <w:r>
        <w:rPr>
          <w:color w:val="auto"/>
        </w:rPr>
        <w:t>，则年用水量为</w:t>
      </w:r>
      <w:r>
        <w:rPr>
          <w:rFonts w:hint="eastAsia"/>
          <w:color w:val="auto"/>
        </w:rPr>
        <w:t>1200</w:t>
      </w:r>
      <w:r>
        <w:rPr>
          <w:color w:val="auto"/>
        </w:rPr>
        <w:t>m</w:t>
      </w:r>
      <w:r>
        <w:rPr>
          <w:color w:val="auto"/>
          <w:vertAlign w:val="superscript"/>
        </w:rPr>
        <w:t>3</w:t>
      </w:r>
      <w:r>
        <w:rPr>
          <w:color w:val="auto"/>
        </w:rPr>
        <w:t>。</w:t>
      </w:r>
    </w:p>
    <w:p>
      <w:pPr>
        <w:pStyle w:val="33"/>
        <w:bidi w:val="0"/>
        <w:rPr>
          <w:color w:val="auto"/>
        </w:rPr>
      </w:pPr>
      <w:r>
        <w:rPr>
          <w:rFonts w:hint="eastAsia"/>
          <w:color w:val="auto"/>
          <w:lang w:val="en-US" w:eastAsia="zh-CN"/>
        </w:rPr>
        <w:t>3</w:t>
      </w:r>
      <w:r>
        <w:rPr>
          <w:rFonts w:hint="eastAsia"/>
          <w:color w:val="auto"/>
          <w:lang w:eastAsia="zh-CN"/>
        </w:rPr>
        <w:t>）</w:t>
      </w:r>
      <w:r>
        <w:rPr>
          <w:color w:val="auto"/>
        </w:rPr>
        <w:t>设备</w:t>
      </w:r>
      <w:r>
        <w:rPr>
          <w:rFonts w:hint="eastAsia"/>
          <w:color w:val="auto"/>
          <w:lang w:val="en-US" w:eastAsia="zh-CN"/>
        </w:rPr>
        <w:t>和储罐</w:t>
      </w:r>
      <w:r>
        <w:rPr>
          <w:color w:val="auto"/>
        </w:rPr>
        <w:t>清洗用水</w:t>
      </w:r>
    </w:p>
    <w:p>
      <w:pPr>
        <w:pStyle w:val="33"/>
        <w:bidi w:val="0"/>
        <w:rPr>
          <w:color w:val="auto"/>
        </w:rPr>
      </w:pPr>
      <w:r>
        <w:rPr>
          <w:rFonts w:hint="eastAsia"/>
          <w:color w:val="auto"/>
          <w:lang w:val="en-US" w:eastAsia="zh-CN"/>
        </w:rPr>
        <w:t>本项目为连续生产，根据业主资料，本项目生产设备和储罐只在更换产品时进行清洗。每年更换次数不超过6次，本次环评</w:t>
      </w:r>
      <w:r>
        <w:rPr>
          <w:color w:val="auto"/>
        </w:rPr>
        <w:t>按每</w:t>
      </w:r>
      <w:r>
        <w:rPr>
          <w:rFonts w:hint="eastAsia"/>
          <w:color w:val="auto"/>
          <w:lang w:val="en-US" w:eastAsia="zh-CN"/>
        </w:rPr>
        <w:t>年</w:t>
      </w:r>
      <w:r>
        <w:rPr>
          <w:color w:val="auto"/>
        </w:rPr>
        <w:t>清洗</w:t>
      </w:r>
      <w:r>
        <w:rPr>
          <w:rFonts w:hint="eastAsia"/>
          <w:color w:val="auto"/>
          <w:lang w:val="en-US" w:eastAsia="zh-CN"/>
        </w:rPr>
        <w:t>6</w:t>
      </w:r>
      <w:r>
        <w:rPr>
          <w:color w:val="auto"/>
        </w:rPr>
        <w:t>次计，清洗水量每次为</w:t>
      </w:r>
      <w:r>
        <w:rPr>
          <w:rFonts w:hint="eastAsia"/>
          <w:color w:val="auto"/>
          <w:lang w:val="en-US" w:eastAsia="zh-CN"/>
        </w:rPr>
        <w:t>100</w:t>
      </w:r>
      <w:r>
        <w:rPr>
          <w:color w:val="auto"/>
        </w:rPr>
        <w:t>m</w:t>
      </w:r>
      <w:r>
        <w:rPr>
          <w:color w:val="auto"/>
          <w:vertAlign w:val="superscript"/>
        </w:rPr>
        <w:t>3</w:t>
      </w:r>
      <w:r>
        <w:rPr>
          <w:color w:val="auto"/>
        </w:rPr>
        <w:t>，则用水量为</w:t>
      </w:r>
      <w:r>
        <w:rPr>
          <w:rFonts w:hint="eastAsia"/>
          <w:color w:val="auto"/>
          <w:lang w:val="en-US" w:eastAsia="zh-CN"/>
        </w:rPr>
        <w:t>600</w:t>
      </w:r>
      <w:r>
        <w:rPr>
          <w:color w:val="auto"/>
        </w:rPr>
        <w:t>m</w:t>
      </w:r>
      <w:r>
        <w:rPr>
          <w:color w:val="auto"/>
          <w:vertAlign w:val="superscript"/>
        </w:rPr>
        <w:t>3</w:t>
      </w:r>
      <w:r>
        <w:rPr>
          <w:color w:val="auto"/>
        </w:rPr>
        <w:t>/a。</w:t>
      </w:r>
    </w:p>
    <w:p>
      <w:pPr>
        <w:pStyle w:val="32"/>
        <w:bidi w:val="0"/>
        <w:rPr>
          <w:color w:val="auto"/>
        </w:rPr>
      </w:pPr>
      <w:bookmarkStart w:id="78" w:name="_Toc24834"/>
      <w:r>
        <w:rPr>
          <w:rFonts w:hint="eastAsia"/>
          <w:color w:val="auto"/>
          <w:lang w:val="en-US" w:eastAsia="zh-CN"/>
        </w:rPr>
        <w:t>4.5.2</w:t>
      </w:r>
      <w:r>
        <w:rPr>
          <w:color w:val="auto"/>
        </w:rPr>
        <w:t>排水</w:t>
      </w:r>
      <w:bookmarkEnd w:id="78"/>
    </w:p>
    <w:p>
      <w:pPr>
        <w:pStyle w:val="33"/>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生活污水</w:t>
      </w:r>
    </w:p>
    <w:p>
      <w:pPr>
        <w:pStyle w:val="33"/>
        <w:bidi w:val="0"/>
        <w:rPr>
          <w:color w:val="auto"/>
        </w:rPr>
      </w:pPr>
      <w:r>
        <w:rPr>
          <w:color w:val="auto"/>
        </w:rPr>
        <w:t>生活污水排水系数按0.8计，排水量约为</w:t>
      </w:r>
      <w:r>
        <w:rPr>
          <w:rFonts w:hint="eastAsia"/>
          <w:color w:val="auto"/>
          <w:lang w:val="en-US" w:eastAsia="zh-CN"/>
        </w:rPr>
        <w:t>1.44</w:t>
      </w:r>
      <w:r>
        <w:rPr>
          <w:color w:val="auto"/>
        </w:rPr>
        <w:t>m</w:t>
      </w:r>
      <w:r>
        <w:rPr>
          <w:color w:val="auto"/>
          <w:vertAlign w:val="superscript"/>
        </w:rPr>
        <w:t>3</w:t>
      </w:r>
      <w:r>
        <w:rPr>
          <w:color w:val="auto"/>
        </w:rPr>
        <w:t>/d（</w:t>
      </w:r>
      <w:r>
        <w:rPr>
          <w:rFonts w:hint="eastAsia"/>
          <w:color w:val="auto"/>
          <w:lang w:val="en-US" w:eastAsia="zh-CN"/>
        </w:rPr>
        <w:t>475.2</w:t>
      </w:r>
      <w:r>
        <w:rPr>
          <w:color w:val="auto"/>
        </w:rPr>
        <w:t>m</w:t>
      </w:r>
      <w:r>
        <w:rPr>
          <w:color w:val="auto"/>
          <w:vertAlign w:val="superscript"/>
        </w:rPr>
        <w:t>3</w:t>
      </w:r>
      <w:r>
        <w:rPr>
          <w:color w:val="auto"/>
        </w:rPr>
        <w:t>/a）。</w:t>
      </w:r>
    </w:p>
    <w:p>
      <w:pPr>
        <w:pStyle w:val="33"/>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废气</w:t>
      </w:r>
      <w:r>
        <w:rPr>
          <w:rFonts w:hint="eastAsia"/>
          <w:color w:val="auto"/>
          <w:lang w:val="en-US" w:eastAsia="zh-CN"/>
        </w:rPr>
        <w:t>喷淋</w:t>
      </w:r>
      <w:r>
        <w:rPr>
          <w:color w:val="auto"/>
        </w:rPr>
        <w:t>塔废水</w:t>
      </w:r>
    </w:p>
    <w:p>
      <w:pPr>
        <w:pStyle w:val="33"/>
        <w:bidi w:val="0"/>
        <w:rPr>
          <w:color w:val="auto"/>
        </w:rPr>
      </w:pPr>
      <w:r>
        <w:rPr>
          <w:color w:val="auto"/>
        </w:rPr>
        <w:t>废气</w:t>
      </w:r>
      <w:r>
        <w:rPr>
          <w:rFonts w:hint="eastAsia"/>
          <w:color w:val="auto"/>
          <w:lang w:val="en-US" w:eastAsia="zh-CN"/>
        </w:rPr>
        <w:t>喷淋</w:t>
      </w:r>
      <w:r>
        <w:rPr>
          <w:color w:val="auto"/>
        </w:rPr>
        <w:t>水的排放系数按0.95计，则废气吸收废水量为</w:t>
      </w:r>
      <w:r>
        <w:rPr>
          <w:rFonts w:hint="eastAsia"/>
          <w:color w:val="auto"/>
          <w:lang w:val="en-US" w:eastAsia="zh-CN"/>
        </w:rPr>
        <w:t>3.45</w:t>
      </w:r>
      <w:r>
        <w:rPr>
          <w:color w:val="auto"/>
        </w:rPr>
        <w:t>m</w:t>
      </w:r>
      <w:r>
        <w:rPr>
          <w:color w:val="auto"/>
          <w:vertAlign w:val="superscript"/>
        </w:rPr>
        <w:t>3</w:t>
      </w:r>
      <w:r>
        <w:rPr>
          <w:color w:val="auto"/>
        </w:rPr>
        <w:t>/d（</w:t>
      </w:r>
      <w:r>
        <w:rPr>
          <w:rFonts w:hint="eastAsia"/>
          <w:color w:val="auto"/>
        </w:rPr>
        <w:t>1140</w:t>
      </w:r>
      <w:r>
        <w:rPr>
          <w:color w:val="auto"/>
        </w:rPr>
        <w:t>m</w:t>
      </w:r>
      <w:r>
        <w:rPr>
          <w:color w:val="auto"/>
          <w:vertAlign w:val="superscript"/>
        </w:rPr>
        <w:t>3</w:t>
      </w:r>
      <w:r>
        <w:rPr>
          <w:color w:val="auto"/>
        </w:rPr>
        <w:t>/a）。</w:t>
      </w:r>
    </w:p>
    <w:p>
      <w:pPr>
        <w:pStyle w:val="33"/>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设备</w:t>
      </w:r>
      <w:r>
        <w:rPr>
          <w:rFonts w:hint="eastAsia"/>
          <w:color w:val="auto"/>
          <w:lang w:val="en-US" w:eastAsia="zh-CN"/>
        </w:rPr>
        <w:t>及储罐</w:t>
      </w:r>
      <w:r>
        <w:rPr>
          <w:color w:val="auto"/>
        </w:rPr>
        <w:t>清洗废水</w:t>
      </w:r>
    </w:p>
    <w:p>
      <w:pPr>
        <w:pStyle w:val="33"/>
        <w:bidi w:val="0"/>
        <w:rPr>
          <w:color w:val="auto"/>
        </w:rPr>
      </w:pPr>
      <w:r>
        <w:rPr>
          <w:color w:val="auto"/>
        </w:rPr>
        <w:t>设备清洗水的排放系数按0.9计，则设备清洗废水量为</w:t>
      </w:r>
      <w:r>
        <w:rPr>
          <w:rFonts w:hint="eastAsia"/>
          <w:color w:val="auto"/>
          <w:lang w:val="en-US" w:eastAsia="zh-CN"/>
        </w:rPr>
        <w:t>540</w:t>
      </w:r>
      <w:r>
        <w:rPr>
          <w:color w:val="auto"/>
        </w:rPr>
        <w:t>m</w:t>
      </w:r>
      <w:r>
        <w:rPr>
          <w:color w:val="auto"/>
          <w:vertAlign w:val="superscript"/>
        </w:rPr>
        <w:t>3</w:t>
      </w:r>
      <w:r>
        <w:rPr>
          <w:color w:val="auto"/>
        </w:rPr>
        <w:t>/a。</w:t>
      </w:r>
    </w:p>
    <w:p>
      <w:pPr>
        <w:pStyle w:val="33"/>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工艺废水</w:t>
      </w:r>
    </w:p>
    <w:p>
      <w:pPr>
        <w:pStyle w:val="33"/>
        <w:bidi w:val="0"/>
        <w:rPr>
          <w:color w:val="auto"/>
        </w:rPr>
      </w:pPr>
      <w:r>
        <w:rPr>
          <w:color w:val="auto"/>
        </w:rPr>
        <w:t>根据</w:t>
      </w:r>
      <w:r>
        <w:rPr>
          <w:rFonts w:hint="eastAsia"/>
          <w:color w:val="auto"/>
          <w:lang w:val="en-US" w:eastAsia="zh-CN"/>
        </w:rPr>
        <w:t>5.4.2</w:t>
      </w:r>
      <w:r>
        <w:rPr>
          <w:color w:val="auto"/>
        </w:rPr>
        <w:t>小节可知，本项目工艺生产废水情况为：</w:t>
      </w:r>
      <w:r>
        <w:rPr>
          <w:rFonts w:hint="eastAsia"/>
          <w:color w:val="auto"/>
          <w:lang w:val="en-US" w:eastAsia="zh-CN"/>
        </w:rPr>
        <w:t>酯化反应废水1294.2</w:t>
      </w:r>
      <w:r>
        <w:rPr>
          <w:rFonts w:hint="eastAsia"/>
          <w:color w:val="auto"/>
        </w:rPr>
        <w:t>t/a</w:t>
      </w:r>
      <w:r>
        <w:rPr>
          <w:color w:val="auto"/>
        </w:rPr>
        <w:t>、</w:t>
      </w:r>
      <w:r>
        <w:rPr>
          <w:rFonts w:hint="eastAsia"/>
          <w:color w:val="auto"/>
          <w:lang w:val="en-US" w:eastAsia="zh-CN"/>
        </w:rPr>
        <w:t>树脂冲洗废水258.5</w:t>
      </w:r>
      <w:r>
        <w:rPr>
          <w:rFonts w:hint="eastAsia"/>
          <w:color w:val="auto"/>
        </w:rPr>
        <w:t>t/a</w:t>
      </w:r>
      <w:r>
        <w:rPr>
          <w:color w:val="auto"/>
        </w:rPr>
        <w:t>。</w:t>
      </w:r>
    </w:p>
    <w:p>
      <w:pPr>
        <w:pStyle w:val="33"/>
        <w:bidi w:val="0"/>
        <w:rPr>
          <w:rFonts w:ascii="Times New Roman" w:hAnsi="Times New Roman"/>
          <w:caps w:val="0"/>
          <w:smallCaps w:val="0"/>
          <w:color w:val="auto"/>
          <w:szCs w:val="24"/>
        </w:rPr>
      </w:pPr>
      <w:r>
        <w:rPr>
          <w:color w:val="auto"/>
        </w:rPr>
        <w:t>厂区排水采用</w:t>
      </w:r>
      <w:r>
        <w:rPr>
          <w:rFonts w:hint="eastAsia"/>
          <w:color w:val="auto"/>
        </w:rPr>
        <w:t>“雨污分流”排水系统。</w:t>
      </w:r>
      <w:r>
        <w:rPr>
          <w:rFonts w:hint="eastAsia"/>
          <w:color w:val="auto"/>
          <w:lang w:val="en-US" w:eastAsia="zh-CN"/>
        </w:rPr>
        <w:t>本次技改新增废水排入公司二期项目自建污水处理站处理后，排入云溪污水处理厂进行处理。</w:t>
      </w:r>
      <w:r>
        <w:rPr>
          <w:rFonts w:hint="eastAsia"/>
          <w:caps w:val="0"/>
          <w:smallCaps w:val="0"/>
          <w:color w:val="auto"/>
          <w:szCs w:val="24"/>
          <w:lang w:val="en-US" w:eastAsia="zh-CN"/>
        </w:rPr>
        <w:t>新增生活污水和现有</w:t>
      </w:r>
      <w:r>
        <w:rPr>
          <w:rFonts w:hint="eastAsia" w:ascii="Times New Roman" w:hAnsi="Times New Roman"/>
          <w:caps w:val="0"/>
          <w:smallCaps w:val="0"/>
          <w:color w:val="auto"/>
          <w:szCs w:val="24"/>
        </w:rPr>
        <w:t>生活污水</w:t>
      </w:r>
      <w:r>
        <w:rPr>
          <w:rFonts w:hint="eastAsia"/>
          <w:caps w:val="0"/>
          <w:smallCaps w:val="0"/>
          <w:color w:val="auto"/>
          <w:szCs w:val="24"/>
          <w:lang w:val="en-US" w:eastAsia="zh-CN"/>
        </w:rPr>
        <w:t>一经化粪池处理后</w:t>
      </w:r>
      <w:r>
        <w:rPr>
          <w:rFonts w:hint="eastAsia" w:ascii="Times New Roman" w:hAnsi="Times New Roman"/>
          <w:caps w:val="0"/>
          <w:smallCaps w:val="0"/>
          <w:color w:val="auto"/>
          <w:szCs w:val="24"/>
        </w:rPr>
        <w:t>汇</w:t>
      </w:r>
      <w:r>
        <w:rPr>
          <w:rFonts w:ascii="Times New Roman" w:hAnsi="Times New Roman"/>
          <w:caps w:val="0"/>
          <w:smallCaps w:val="0"/>
          <w:color w:val="auto"/>
          <w:szCs w:val="24"/>
        </w:rPr>
        <w:t>入云溪区</w:t>
      </w:r>
      <w:r>
        <w:rPr>
          <w:rFonts w:hint="eastAsia"/>
          <w:caps w:val="0"/>
          <w:smallCaps w:val="0"/>
          <w:color w:val="auto"/>
          <w:szCs w:val="24"/>
          <w:lang w:val="en-US" w:eastAsia="zh-CN"/>
        </w:rPr>
        <w:t>污水</w:t>
      </w:r>
      <w:r>
        <w:rPr>
          <w:rFonts w:ascii="Times New Roman" w:hAnsi="Times New Roman"/>
          <w:caps w:val="0"/>
          <w:smallCaps w:val="0"/>
          <w:color w:val="auto"/>
          <w:szCs w:val="24"/>
        </w:rPr>
        <w:t>处理厂处理。</w:t>
      </w:r>
    </w:p>
    <w:p>
      <w:pPr>
        <w:pStyle w:val="32"/>
        <w:bidi w:val="0"/>
        <w:rPr>
          <w:rFonts w:hint="eastAsia"/>
          <w:color w:val="auto"/>
          <w:lang w:val="en-US" w:eastAsia="zh-CN"/>
        </w:rPr>
      </w:pPr>
      <w:bookmarkStart w:id="79" w:name="_Toc20590"/>
      <w:r>
        <w:rPr>
          <w:rFonts w:hint="eastAsia"/>
          <w:color w:val="auto"/>
          <w:lang w:val="en-US" w:eastAsia="zh-CN"/>
        </w:rPr>
        <w:t>4.5.3供电与通信工程</w:t>
      </w:r>
      <w:bookmarkEnd w:id="79"/>
    </w:p>
    <w:p>
      <w:pPr>
        <w:pStyle w:val="33"/>
        <w:bidi w:val="0"/>
        <w:rPr>
          <w:rFonts w:hint="eastAsia"/>
          <w:color w:val="auto"/>
          <w:lang w:val="en-US" w:eastAsia="zh-CN"/>
        </w:rPr>
      </w:pPr>
      <w:r>
        <w:rPr>
          <w:rFonts w:hint="eastAsia"/>
          <w:color w:val="auto"/>
          <w:lang w:val="en-US" w:eastAsia="zh-CN"/>
        </w:rPr>
        <w:t>依托现有的供电系统，供电范围分为生产、办公生活设施的供配电，电气控制、电气照明、防雷接地。</w:t>
      </w:r>
    </w:p>
    <w:p>
      <w:pPr>
        <w:pStyle w:val="32"/>
        <w:bidi w:val="0"/>
        <w:rPr>
          <w:rFonts w:hint="eastAsia"/>
          <w:color w:val="auto"/>
          <w:lang w:val="en-US" w:eastAsia="zh-CN"/>
        </w:rPr>
      </w:pPr>
      <w:bookmarkStart w:id="80" w:name="_Toc31012"/>
      <w:r>
        <w:rPr>
          <w:rFonts w:hint="eastAsia"/>
          <w:color w:val="auto"/>
          <w:lang w:val="en-US" w:eastAsia="zh-CN"/>
        </w:rPr>
        <w:t>4.5.4供热工程</w:t>
      </w:r>
      <w:bookmarkEnd w:id="80"/>
    </w:p>
    <w:p>
      <w:pPr>
        <w:pStyle w:val="33"/>
        <w:bidi w:val="0"/>
        <w:rPr>
          <w:rFonts w:hint="eastAsia"/>
          <w:color w:val="auto"/>
          <w:lang w:val="en-US" w:eastAsia="zh-CN"/>
        </w:rPr>
      </w:pPr>
      <w:r>
        <w:rPr>
          <w:rFonts w:hint="eastAsia"/>
          <w:color w:val="auto"/>
          <w:lang w:val="en-US" w:eastAsia="zh-CN"/>
        </w:rPr>
        <w:t>本项目使用的热源为蒸汽。湖南岳阳绿色化工产业园已建有热电联产集中供热设施，利用华能电厂的蒸汽集中供应园区各用热企业。该集中供热设计规模为200t/h，年利用小时约7500h，年供热规模达150万吨，足可满足本项目用汽需求。</w:t>
      </w:r>
    </w:p>
    <w:p>
      <w:pPr>
        <w:pStyle w:val="32"/>
        <w:bidi w:val="0"/>
        <w:rPr>
          <w:rFonts w:hint="eastAsia"/>
          <w:color w:val="auto"/>
          <w:lang w:val="en-US" w:eastAsia="zh-CN"/>
        </w:rPr>
      </w:pPr>
      <w:bookmarkStart w:id="81" w:name="_Toc27970"/>
      <w:r>
        <w:rPr>
          <w:rFonts w:hint="eastAsia"/>
          <w:color w:val="auto"/>
          <w:lang w:val="en-US" w:eastAsia="zh-CN"/>
        </w:rPr>
        <w:t>4.5.5储运工程</w:t>
      </w:r>
      <w:bookmarkEnd w:id="81"/>
    </w:p>
    <w:p>
      <w:pPr>
        <w:pStyle w:val="33"/>
        <w:bidi w:val="0"/>
        <w:rPr>
          <w:rFonts w:hint="default"/>
          <w:color w:val="auto"/>
          <w:lang w:val="en-US" w:eastAsia="zh-CN"/>
        </w:rPr>
      </w:pPr>
      <w:r>
        <w:rPr>
          <w:rFonts w:hint="default"/>
          <w:color w:val="auto"/>
          <w:lang w:val="en-US" w:eastAsia="zh-CN"/>
        </w:rPr>
        <w:t>本项目厂外运输拟采用汽车运输，厂内物质运输拟采用常规的车辆及人力运输。本项目所涉及到的物料包含具有易燃、易爆、腐蚀性和毒害性的危险化学品，由于本公司不具备危险化学品运输资质，因此、本项目危险化学品的运输主要依托厂外具有相应危险化学品运输资质的单位进行，并在装卸和运输过程中严格执行相关操作规程和规范。</w:t>
      </w:r>
    </w:p>
    <w:p>
      <w:pPr>
        <w:pStyle w:val="33"/>
        <w:bidi w:val="0"/>
        <w:rPr>
          <w:rFonts w:hint="default"/>
          <w:color w:val="auto"/>
          <w:u w:val="single"/>
          <w:lang w:val="en-US" w:eastAsia="zh-CN"/>
        </w:rPr>
      </w:pPr>
      <w:r>
        <w:rPr>
          <w:rFonts w:hint="default"/>
          <w:color w:val="auto"/>
          <w:u w:val="single"/>
          <w:lang w:val="en-US" w:eastAsia="zh-CN"/>
        </w:rPr>
        <w:t>本项目</w:t>
      </w:r>
      <w:r>
        <w:rPr>
          <w:rFonts w:hint="eastAsia"/>
          <w:color w:val="auto"/>
          <w:u w:val="single"/>
          <w:lang w:val="en-US" w:eastAsia="zh-CN"/>
        </w:rPr>
        <w:t>新增原辅料28242</w:t>
      </w:r>
      <w:r>
        <w:rPr>
          <w:rFonts w:hint="default"/>
          <w:color w:val="auto"/>
          <w:u w:val="single"/>
          <w:lang w:val="en-US" w:eastAsia="zh-CN"/>
        </w:rPr>
        <w:t>t/a，</w:t>
      </w:r>
      <w:r>
        <w:rPr>
          <w:rFonts w:hint="eastAsia"/>
          <w:color w:val="auto"/>
          <w:u w:val="single"/>
          <w:lang w:val="en-US" w:eastAsia="zh-CN"/>
        </w:rPr>
        <w:t>本项目碳酸二甲酯蒸馏与现有原料油蒸馏</w:t>
      </w:r>
      <w:r>
        <w:rPr>
          <w:rFonts w:hint="eastAsia"/>
          <w:color w:val="auto"/>
          <w:u w:val="single"/>
        </w:rPr>
        <w:t>环己烷</w:t>
      </w:r>
      <w:r>
        <w:rPr>
          <w:rFonts w:hint="eastAsia"/>
          <w:color w:val="auto"/>
          <w:u w:val="single"/>
          <w:lang w:eastAsia="zh-CN"/>
        </w:rPr>
        <w:t>、</w:t>
      </w:r>
      <w:r>
        <w:rPr>
          <w:rFonts w:hint="eastAsia"/>
          <w:color w:val="auto"/>
          <w:u w:val="single"/>
        </w:rPr>
        <w:t>环己酮</w:t>
      </w:r>
      <w:r>
        <w:rPr>
          <w:rFonts w:hint="eastAsia"/>
          <w:color w:val="auto"/>
          <w:u w:val="single"/>
          <w:lang w:eastAsia="zh-CN"/>
        </w:rPr>
        <w:t>、</w:t>
      </w:r>
      <w:r>
        <w:rPr>
          <w:rFonts w:hint="eastAsia"/>
          <w:color w:val="auto"/>
          <w:u w:val="single"/>
        </w:rPr>
        <w:t>苯乙烯</w:t>
      </w:r>
      <w:r>
        <w:rPr>
          <w:rFonts w:hint="eastAsia"/>
          <w:color w:val="auto"/>
          <w:u w:val="single"/>
          <w:lang w:val="en-US" w:eastAsia="zh-CN"/>
        </w:rPr>
        <w:t>交替生产，现有原料油蒸馏项目物料消耗为4450t/a。本次评价按最大环境影响计算即该装置全年均生产碳酸二甲酯，不生产</w:t>
      </w:r>
      <w:r>
        <w:rPr>
          <w:rFonts w:hint="eastAsia"/>
          <w:color w:val="auto"/>
          <w:u w:val="single"/>
        </w:rPr>
        <w:t>环己烷</w:t>
      </w:r>
      <w:r>
        <w:rPr>
          <w:rFonts w:hint="eastAsia"/>
          <w:color w:val="auto"/>
          <w:u w:val="single"/>
          <w:lang w:eastAsia="zh-CN"/>
        </w:rPr>
        <w:t>、</w:t>
      </w:r>
      <w:r>
        <w:rPr>
          <w:rFonts w:hint="eastAsia"/>
          <w:color w:val="auto"/>
          <w:u w:val="single"/>
        </w:rPr>
        <w:t>环己酮</w:t>
      </w:r>
      <w:r>
        <w:rPr>
          <w:rFonts w:hint="eastAsia"/>
          <w:color w:val="auto"/>
          <w:u w:val="single"/>
          <w:lang w:eastAsia="zh-CN"/>
        </w:rPr>
        <w:t>、</w:t>
      </w:r>
      <w:r>
        <w:rPr>
          <w:rFonts w:hint="eastAsia"/>
          <w:color w:val="auto"/>
          <w:u w:val="single"/>
        </w:rPr>
        <w:t>苯乙烯</w:t>
      </w:r>
      <w:r>
        <w:rPr>
          <w:rFonts w:hint="eastAsia"/>
          <w:color w:val="auto"/>
          <w:u w:val="single"/>
          <w:lang w:val="en-US" w:eastAsia="zh-CN"/>
        </w:rPr>
        <w:t>，则全厂原料新增运输量23792</w:t>
      </w:r>
      <w:r>
        <w:rPr>
          <w:rFonts w:hint="default"/>
          <w:color w:val="auto"/>
          <w:u w:val="single"/>
          <w:lang w:val="en-US" w:eastAsia="zh-CN"/>
        </w:rPr>
        <w:t>t/a</w:t>
      </w:r>
      <w:r>
        <w:rPr>
          <w:rFonts w:hint="eastAsia"/>
          <w:color w:val="auto"/>
          <w:u w:val="single"/>
          <w:lang w:val="en-US" w:eastAsia="zh-CN"/>
        </w:rPr>
        <w:t>。全厂运输量新增</w:t>
      </w:r>
      <w:r>
        <w:rPr>
          <w:rFonts w:hint="default"/>
          <w:color w:val="auto"/>
          <w:u w:val="single"/>
          <w:lang w:val="en-US" w:eastAsia="zh-CN"/>
        </w:rPr>
        <w:t>原料采用罐车和汽车运输的方式从厂外输送至场内。本项目物料的运输采用20t的汽车运送至项目所在地，需新增运输车辆</w:t>
      </w:r>
      <w:r>
        <w:rPr>
          <w:rFonts w:hint="eastAsia"/>
          <w:color w:val="auto"/>
          <w:u w:val="single"/>
          <w:lang w:val="en-US" w:eastAsia="zh-CN"/>
        </w:rPr>
        <w:t>1190</w:t>
      </w:r>
      <w:r>
        <w:rPr>
          <w:rFonts w:hint="default"/>
          <w:color w:val="auto"/>
          <w:u w:val="single"/>
          <w:lang w:val="en-US" w:eastAsia="zh-CN"/>
        </w:rPr>
        <w:t>辆</w:t>
      </w:r>
      <w:r>
        <w:rPr>
          <w:rFonts w:hint="eastAsia"/>
          <w:color w:val="auto"/>
          <w:u w:val="single"/>
          <w:lang w:val="en-US" w:eastAsia="zh-CN"/>
        </w:rPr>
        <w:t>/次</w:t>
      </w:r>
      <w:r>
        <w:rPr>
          <w:rFonts w:hint="default"/>
          <w:color w:val="auto"/>
          <w:u w:val="single"/>
          <w:lang w:val="en-US" w:eastAsia="zh-CN"/>
        </w:rPr>
        <w:t>。</w:t>
      </w:r>
    </w:p>
    <w:p>
      <w:pPr>
        <w:pStyle w:val="33"/>
        <w:bidi w:val="0"/>
        <w:rPr>
          <w:rFonts w:hint="default"/>
          <w:color w:val="auto"/>
          <w:lang w:val="en-US" w:eastAsia="zh-CN"/>
        </w:rPr>
      </w:pPr>
      <w:r>
        <w:rPr>
          <w:rFonts w:hint="default"/>
          <w:color w:val="auto"/>
          <w:u w:val="single"/>
          <w:lang w:val="en-US" w:eastAsia="zh-CN"/>
        </w:rPr>
        <w:t>综上所属，本项目场内新增运输车辆3</w:t>
      </w:r>
      <w:r>
        <w:rPr>
          <w:rFonts w:hint="eastAsia"/>
          <w:color w:val="auto"/>
          <w:u w:val="single"/>
          <w:lang w:val="en-US" w:eastAsia="zh-CN"/>
        </w:rPr>
        <w:t>1190</w:t>
      </w:r>
      <w:r>
        <w:rPr>
          <w:rFonts w:hint="default"/>
          <w:color w:val="auto"/>
          <w:u w:val="single"/>
          <w:lang w:val="en-US" w:eastAsia="zh-CN"/>
        </w:rPr>
        <w:t>辆</w:t>
      </w:r>
      <w:r>
        <w:rPr>
          <w:rFonts w:hint="eastAsia"/>
          <w:color w:val="auto"/>
          <w:u w:val="single"/>
          <w:lang w:val="en-US" w:eastAsia="zh-CN"/>
        </w:rPr>
        <w:t>/次</w:t>
      </w:r>
      <w:r>
        <w:rPr>
          <w:rFonts w:hint="default"/>
          <w:color w:val="auto"/>
          <w:u w:val="single"/>
          <w:lang w:val="en-US" w:eastAsia="zh-CN"/>
        </w:rPr>
        <w:t>，平均每天约</w:t>
      </w:r>
      <w:r>
        <w:rPr>
          <w:rFonts w:hint="eastAsia"/>
          <w:color w:val="auto"/>
          <w:u w:val="single"/>
          <w:lang w:val="en-US" w:eastAsia="zh-CN"/>
        </w:rPr>
        <w:t>3.6</w:t>
      </w:r>
      <w:r>
        <w:rPr>
          <w:rFonts w:hint="default"/>
          <w:color w:val="auto"/>
          <w:u w:val="single"/>
          <w:lang w:val="en-US" w:eastAsia="zh-CN"/>
        </w:rPr>
        <w:t>辆</w:t>
      </w:r>
      <w:r>
        <w:rPr>
          <w:rFonts w:hint="eastAsia"/>
          <w:color w:val="auto"/>
          <w:u w:val="single"/>
          <w:lang w:val="en-US" w:eastAsia="zh-CN"/>
        </w:rPr>
        <w:t>/次</w:t>
      </w:r>
      <w:r>
        <w:rPr>
          <w:rFonts w:hint="default"/>
          <w:color w:val="auto"/>
          <w:u w:val="single"/>
          <w:lang w:val="en-US" w:eastAsia="zh-CN"/>
        </w:rPr>
        <w:t>。</w:t>
      </w:r>
    </w:p>
    <w:p>
      <w:pPr>
        <w:pStyle w:val="31"/>
        <w:bidi w:val="0"/>
        <w:rPr>
          <w:rFonts w:hint="eastAsia"/>
          <w:color w:val="auto"/>
          <w:lang w:val="en-US" w:eastAsia="zh-CN"/>
        </w:rPr>
      </w:pPr>
      <w:bookmarkStart w:id="82" w:name="_Toc3226"/>
      <w:bookmarkStart w:id="83" w:name="_Toc6685"/>
      <w:r>
        <w:rPr>
          <w:rFonts w:hint="eastAsia"/>
          <w:color w:val="auto"/>
          <w:lang w:val="en-US" w:eastAsia="zh-CN"/>
        </w:rPr>
        <w:t>4.6总平面布置</w:t>
      </w:r>
      <w:bookmarkEnd w:id="82"/>
      <w:bookmarkEnd w:id="83"/>
    </w:p>
    <w:p>
      <w:pPr>
        <w:pStyle w:val="33"/>
        <w:bidi w:val="0"/>
        <w:rPr>
          <w:rFonts w:hint="default"/>
          <w:color w:val="auto"/>
          <w:lang w:val="en-US" w:eastAsia="zh-CN"/>
        </w:rPr>
      </w:pPr>
      <w:r>
        <w:rPr>
          <w:rFonts w:hint="default"/>
          <w:color w:val="auto"/>
          <w:lang w:val="en-US" w:eastAsia="zh-CN"/>
        </w:rPr>
        <w:t>目前企业现有的总平面布置基本合理，本项目不新增用地，不新建厂房，完全利用现有的</w:t>
      </w:r>
      <w:r>
        <w:rPr>
          <w:rFonts w:hint="eastAsia"/>
          <w:color w:val="auto"/>
          <w:lang w:val="en-US" w:eastAsia="zh-CN"/>
        </w:rPr>
        <w:t>生产车间和储罐</w:t>
      </w:r>
      <w:r>
        <w:rPr>
          <w:rFonts w:hint="default"/>
          <w:color w:val="auto"/>
          <w:lang w:val="en-US" w:eastAsia="zh-CN"/>
        </w:rPr>
        <w:t>。生产区包括：生产车间</w:t>
      </w:r>
      <w:r>
        <w:rPr>
          <w:rFonts w:hint="eastAsia"/>
          <w:color w:val="auto"/>
          <w:lang w:val="en-US" w:eastAsia="zh-CN"/>
        </w:rPr>
        <w:t>及废气处理设施</w:t>
      </w:r>
      <w:r>
        <w:rPr>
          <w:rFonts w:hint="default"/>
          <w:color w:val="auto"/>
          <w:lang w:val="en-US" w:eastAsia="zh-CN"/>
        </w:rPr>
        <w:t>。储</w:t>
      </w:r>
      <w:r>
        <w:rPr>
          <w:rFonts w:hint="eastAsia"/>
          <w:color w:val="auto"/>
          <w:lang w:val="en-US" w:eastAsia="zh-CN"/>
        </w:rPr>
        <w:t>罐区</w:t>
      </w:r>
      <w:r>
        <w:rPr>
          <w:rFonts w:hint="default"/>
          <w:color w:val="auto"/>
          <w:lang w:val="en-US" w:eastAsia="zh-CN"/>
        </w:rPr>
        <w:t>包括原料储罐及成品储罐。生活办公设施、辅助生产设施，都利用本企业原有的设施设备，并充分利用厂外社会服务资源。生产车间利用原精馏装置，原料储罐及成品储罐利用</w:t>
      </w:r>
      <w:r>
        <w:rPr>
          <w:rFonts w:hint="eastAsia"/>
          <w:color w:val="auto"/>
          <w:lang w:val="en-US" w:eastAsia="zh-CN"/>
        </w:rPr>
        <w:t>现有</w:t>
      </w:r>
      <w:r>
        <w:rPr>
          <w:rFonts w:hint="default"/>
          <w:color w:val="auto"/>
          <w:lang w:val="en-US" w:eastAsia="zh-CN"/>
        </w:rPr>
        <w:t>储罐区。</w:t>
      </w:r>
      <w:r>
        <w:rPr>
          <w:rFonts w:hint="eastAsia"/>
          <w:color w:val="auto"/>
          <w:lang w:val="en-US" w:eastAsia="zh-CN"/>
        </w:rPr>
        <w:t>本项目</w:t>
      </w:r>
      <w:r>
        <w:rPr>
          <w:rFonts w:hint="default"/>
          <w:color w:val="auto"/>
          <w:lang w:val="en-US" w:eastAsia="zh-CN"/>
        </w:rPr>
        <w:t>总图布置方案既满足了相关法律、法规及规范的要求，也保持了工艺流程的顺畅，并使项目生产对周边环境的影响降至最低。</w:t>
      </w:r>
    </w:p>
    <w:p>
      <w:pPr>
        <w:pStyle w:val="31"/>
        <w:bidi w:val="0"/>
        <w:rPr>
          <w:rFonts w:hint="eastAsia"/>
          <w:color w:val="auto"/>
          <w:lang w:val="en-US" w:eastAsia="zh-CN"/>
        </w:rPr>
      </w:pPr>
      <w:bookmarkStart w:id="84" w:name="_Toc10281"/>
      <w:bookmarkStart w:id="85" w:name="_Toc28345"/>
      <w:r>
        <w:rPr>
          <w:rFonts w:hint="eastAsia"/>
          <w:color w:val="auto"/>
          <w:lang w:val="en-US" w:eastAsia="zh-CN"/>
        </w:rPr>
        <w:t>4.7工程进度</w:t>
      </w:r>
      <w:bookmarkEnd w:id="84"/>
      <w:bookmarkEnd w:id="85"/>
    </w:p>
    <w:p>
      <w:pPr>
        <w:pStyle w:val="33"/>
        <w:bidi w:val="0"/>
        <w:rPr>
          <w:rFonts w:hint="eastAsia"/>
          <w:color w:val="auto"/>
          <w:lang w:val="en-US" w:eastAsia="zh-CN"/>
        </w:rPr>
      </w:pPr>
      <w:r>
        <w:rPr>
          <w:rFonts w:hint="eastAsia"/>
          <w:color w:val="auto"/>
          <w:lang w:val="en-US" w:eastAsia="zh-CN"/>
        </w:rPr>
        <w:t>本项目不新增用地，利用现有车间设施及公辅设施，仅新增一套酯化塔装置，施工周期较短，</w:t>
      </w:r>
      <w:r>
        <w:rPr>
          <w:rFonts w:hint="eastAsia"/>
          <w:color w:val="auto"/>
        </w:rPr>
        <w:t>岳阳市凌峰化工有限公司</w:t>
      </w:r>
      <w:r>
        <w:rPr>
          <w:rFonts w:hint="eastAsia"/>
          <w:color w:val="auto"/>
          <w:lang w:val="en-US" w:eastAsia="zh-CN"/>
        </w:rPr>
        <w:t>计划施工周期1个月，计划开工时间2021年4月，预计2020年5月竣工。</w:t>
      </w:r>
    </w:p>
    <w:p>
      <w:pPr>
        <w:pStyle w:val="31"/>
        <w:bidi w:val="0"/>
        <w:rPr>
          <w:rFonts w:hint="eastAsia"/>
          <w:color w:val="auto"/>
          <w:lang w:val="en-US" w:eastAsia="zh-CN"/>
        </w:rPr>
      </w:pPr>
      <w:bookmarkStart w:id="86" w:name="_Toc25259"/>
      <w:bookmarkStart w:id="87" w:name="_Toc5322"/>
      <w:r>
        <w:rPr>
          <w:rFonts w:hint="eastAsia"/>
          <w:color w:val="auto"/>
          <w:lang w:val="en-US" w:eastAsia="zh-CN"/>
        </w:rPr>
        <w:t>4.8依托可行性分析</w:t>
      </w:r>
      <w:bookmarkEnd w:id="86"/>
      <w:bookmarkEnd w:id="87"/>
    </w:p>
    <w:p>
      <w:pPr>
        <w:pStyle w:val="33"/>
        <w:bidi w:val="0"/>
        <w:rPr>
          <w:rFonts w:hint="default"/>
          <w:color w:val="auto"/>
          <w:lang w:val="en-US" w:eastAsia="zh-CN"/>
        </w:rPr>
      </w:pPr>
      <w:r>
        <w:rPr>
          <w:rFonts w:hint="eastAsia"/>
          <w:color w:val="auto"/>
          <w:lang w:val="en-US" w:eastAsia="zh-CN"/>
        </w:rPr>
        <w:t>主要从生产设施能力、储罐设施和环保设施处理能力分析项目依托现有设备设施可行性分析。</w:t>
      </w:r>
    </w:p>
    <w:p>
      <w:pPr>
        <w:pStyle w:val="32"/>
        <w:bidi w:val="0"/>
        <w:rPr>
          <w:rFonts w:hint="eastAsia"/>
          <w:color w:val="auto"/>
          <w:lang w:val="en-US" w:eastAsia="zh-CN"/>
        </w:rPr>
      </w:pPr>
      <w:bookmarkStart w:id="88" w:name="_Toc24009"/>
      <w:r>
        <w:rPr>
          <w:rFonts w:hint="eastAsia"/>
          <w:color w:val="auto"/>
          <w:lang w:val="en-US" w:eastAsia="zh-CN"/>
        </w:rPr>
        <w:t>4.8.1生产设施依托可行性分析</w:t>
      </w:r>
      <w:bookmarkEnd w:id="88"/>
    </w:p>
    <w:p>
      <w:pPr>
        <w:pStyle w:val="33"/>
        <w:bidi w:val="0"/>
        <w:rPr>
          <w:rFonts w:hint="eastAsia"/>
          <w:color w:val="auto"/>
          <w:u w:val="single"/>
          <w:lang w:val="en-US" w:eastAsia="zh-CN"/>
        </w:rPr>
      </w:pPr>
      <w:r>
        <w:rPr>
          <w:rFonts w:hint="eastAsia"/>
          <w:color w:val="auto"/>
          <w:u w:val="single"/>
          <w:lang w:val="en-US" w:eastAsia="zh-CN"/>
        </w:rPr>
        <w:t>现有一期外购原料油（含苯乙烯约22.47%，环己烷22.47%，环己酮44.94%）通过精馏得到环己酮、苯乙烯、环己烷，装置生产时间330天，年产量苯乙烯约1000t/a，环己烷1000t/a，环己酮2000t/a。</w:t>
      </w:r>
    </w:p>
    <w:p>
      <w:pPr>
        <w:pStyle w:val="33"/>
        <w:bidi w:val="0"/>
        <w:rPr>
          <w:rFonts w:hint="eastAsia"/>
          <w:color w:val="auto"/>
          <w:u w:val="single"/>
          <w:lang w:val="en-US" w:eastAsia="zh-CN"/>
        </w:rPr>
      </w:pPr>
      <w:r>
        <w:rPr>
          <w:rFonts w:hint="eastAsia"/>
          <w:color w:val="auto"/>
          <w:u w:val="single"/>
          <w:lang w:val="en-US" w:eastAsia="zh-CN"/>
        </w:rPr>
        <w:t>由于市场行情等原因，公司拟利用该套精馏装置同时新增一座酯化反应塔，生产年产碳酸二甲酯1.5万吨，醋酸甲酯1万吨，丰富产品方案。两套产品方案根据市场间歇交替生产。</w:t>
      </w:r>
    </w:p>
    <w:p>
      <w:pPr>
        <w:pStyle w:val="33"/>
        <w:bidi w:val="0"/>
        <w:jc w:val="center"/>
        <w:rPr>
          <w:rFonts w:hint="default"/>
          <w:b/>
          <w:bCs/>
          <w:color w:val="auto"/>
          <w:u w:val="single"/>
          <w:lang w:val="en-US" w:eastAsia="zh-CN"/>
        </w:rPr>
      </w:pPr>
      <w:r>
        <w:rPr>
          <w:rFonts w:hint="eastAsia"/>
          <w:b/>
          <w:bCs/>
          <w:color w:val="auto"/>
          <w:u w:val="single"/>
          <w:lang w:val="en-US" w:eastAsia="zh-CN"/>
        </w:rPr>
        <w:t>表4.8-1生产设施能力分析表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00"/>
        <w:gridCol w:w="1901"/>
        <w:gridCol w:w="1903"/>
        <w:gridCol w:w="1903"/>
        <w:gridCol w:w="1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99"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蒸馏塔尺寸</w:t>
            </w:r>
          </w:p>
        </w:tc>
        <w:tc>
          <w:tcPr>
            <w:tcW w:w="999"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sz w:val="21"/>
                <w:szCs w:val="21"/>
                <w:u w:val="single"/>
                <w:vertAlign w:val="baseline"/>
                <w:lang w:val="en-US" w:eastAsia="zh-CN"/>
              </w:rPr>
            </w:pPr>
            <w:r>
              <w:rPr>
                <w:rFonts w:hint="eastAsia"/>
                <w:color w:val="auto"/>
                <w:sz w:val="21"/>
                <w:szCs w:val="21"/>
                <w:u w:val="single"/>
                <w:vertAlign w:val="baseline"/>
                <w:lang w:val="en-US" w:eastAsia="zh-CN"/>
              </w:rPr>
              <w:t>原料</w:t>
            </w:r>
          </w:p>
        </w:tc>
        <w:tc>
          <w:tcPr>
            <w:tcW w:w="1000"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sz w:val="21"/>
                <w:szCs w:val="21"/>
                <w:u w:val="single"/>
                <w:vertAlign w:val="baseline"/>
                <w:lang w:val="en-US" w:eastAsia="zh-CN"/>
              </w:rPr>
            </w:pPr>
            <w:r>
              <w:rPr>
                <w:rFonts w:hint="eastAsia"/>
                <w:color w:val="auto"/>
                <w:sz w:val="21"/>
                <w:szCs w:val="21"/>
                <w:u w:val="single"/>
                <w:vertAlign w:val="baseline"/>
                <w:lang w:val="en-US" w:eastAsia="zh-CN"/>
              </w:rPr>
              <w:t>产品</w:t>
            </w:r>
          </w:p>
        </w:tc>
        <w:tc>
          <w:tcPr>
            <w:tcW w:w="1000"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生产能力时间</w:t>
            </w:r>
          </w:p>
        </w:tc>
        <w:tc>
          <w:tcPr>
            <w:tcW w:w="1000"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年生产能力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99" w:type="pct"/>
            <w:vMerge w:val="restart"/>
            <w:tcBorders>
              <w:tl2br w:val="nil"/>
              <w:tr2bl w:val="nil"/>
            </w:tcBorders>
            <w:noWrap w:val="0"/>
            <w:vAlign w:val="center"/>
          </w:tcPr>
          <w:p>
            <w:pPr>
              <w:pStyle w:val="35"/>
              <w:bidi w:val="0"/>
              <w:ind w:firstLine="0" w:firstLineChars="0"/>
              <w:rPr>
                <w:rFonts w:hint="eastAsia"/>
                <w:color w:val="auto"/>
                <w:sz w:val="21"/>
                <w:szCs w:val="21"/>
                <w:u w:val="single"/>
              </w:rPr>
            </w:pPr>
            <w:r>
              <w:rPr>
                <w:rFonts w:hint="eastAsia"/>
                <w:color w:val="auto"/>
                <w:sz w:val="21"/>
                <w:szCs w:val="21"/>
                <w:u w:val="single"/>
              </w:rPr>
              <w:t>Φ700</w:t>
            </w:r>
            <w:r>
              <w:rPr>
                <w:rFonts w:hint="eastAsia"/>
                <w:color w:val="auto"/>
                <w:sz w:val="21"/>
                <w:szCs w:val="21"/>
                <w:u w:val="single"/>
                <w:lang w:eastAsia="zh-CN"/>
              </w:rPr>
              <w:t>；</w:t>
            </w:r>
            <w:r>
              <w:rPr>
                <w:rFonts w:hint="eastAsia"/>
                <w:color w:val="auto"/>
                <w:sz w:val="21"/>
                <w:szCs w:val="21"/>
                <w:u w:val="single"/>
              </w:rPr>
              <w:t>12节</w:t>
            </w:r>
            <w:r>
              <w:rPr>
                <w:rFonts w:hint="eastAsia"/>
                <w:color w:val="auto"/>
                <w:sz w:val="21"/>
                <w:szCs w:val="21"/>
                <w:u w:val="single"/>
                <w:lang w:eastAsia="zh-CN"/>
              </w:rPr>
              <w:t>；</w:t>
            </w:r>
            <w:r>
              <w:rPr>
                <w:rFonts w:hint="eastAsia"/>
                <w:color w:val="auto"/>
                <w:sz w:val="21"/>
                <w:szCs w:val="21"/>
                <w:u w:val="single"/>
              </w:rPr>
              <w:t>H=25250</w:t>
            </w:r>
          </w:p>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碳酸二甲酯</w:t>
            </w:r>
          </w:p>
        </w:tc>
        <w:tc>
          <w:tcPr>
            <w:tcW w:w="999"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sz w:val="21"/>
                <w:szCs w:val="21"/>
                <w:u w:val="single"/>
                <w:lang w:val="en-US" w:eastAsia="zh-CN"/>
              </w:rPr>
            </w:pPr>
            <w:r>
              <w:rPr>
                <w:rFonts w:hint="eastAsia"/>
                <w:color w:val="auto"/>
                <w:sz w:val="21"/>
                <w:szCs w:val="21"/>
                <w:u w:val="single"/>
                <w:vertAlign w:val="baseline"/>
                <w:lang w:val="en-US" w:eastAsia="zh-CN"/>
              </w:rPr>
              <w:t>原料油</w:t>
            </w:r>
          </w:p>
        </w:tc>
        <w:tc>
          <w:tcPr>
            <w:tcW w:w="1000"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sz w:val="21"/>
                <w:szCs w:val="21"/>
                <w:u w:val="single"/>
                <w:lang w:val="en-US" w:eastAsia="zh-CN"/>
              </w:rPr>
            </w:pPr>
            <w:r>
              <w:rPr>
                <w:rFonts w:hint="eastAsia"/>
                <w:color w:val="auto"/>
                <w:sz w:val="21"/>
                <w:szCs w:val="21"/>
                <w:u w:val="single"/>
                <w:lang w:val="en-US" w:eastAsia="zh-CN"/>
              </w:rPr>
              <w:t>环己酮、苯乙烯、环己烷</w:t>
            </w:r>
          </w:p>
        </w:tc>
        <w:tc>
          <w:tcPr>
            <w:tcW w:w="1000"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连续生产12.2t/d</w:t>
            </w:r>
          </w:p>
        </w:tc>
        <w:tc>
          <w:tcPr>
            <w:tcW w:w="1000"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4026t/a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99" w:type="pct"/>
            <w:vMerge w:val="continue"/>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default"/>
                <w:color w:val="auto"/>
                <w:sz w:val="21"/>
                <w:szCs w:val="21"/>
                <w:u w:val="single"/>
                <w:vertAlign w:val="baseline"/>
                <w:lang w:val="en-US" w:eastAsia="zh-CN"/>
              </w:rPr>
            </w:pPr>
          </w:p>
        </w:tc>
        <w:tc>
          <w:tcPr>
            <w:tcW w:w="999"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sz w:val="21"/>
                <w:szCs w:val="21"/>
                <w:u w:val="single"/>
                <w:vertAlign w:val="baseline"/>
                <w:lang w:val="en-US" w:eastAsia="zh-CN"/>
              </w:rPr>
            </w:pPr>
            <w:r>
              <w:rPr>
                <w:rFonts w:hint="eastAsia"/>
                <w:color w:val="auto"/>
                <w:sz w:val="21"/>
                <w:szCs w:val="21"/>
                <w:u w:val="single"/>
                <w:vertAlign w:val="baseline"/>
                <w:lang w:val="en-US" w:eastAsia="zh-CN"/>
              </w:rPr>
              <w:t>粗碳酸二甲酯</w:t>
            </w:r>
          </w:p>
        </w:tc>
        <w:tc>
          <w:tcPr>
            <w:tcW w:w="1000"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eastAsia"/>
                <w:color w:val="auto"/>
                <w:sz w:val="21"/>
                <w:szCs w:val="21"/>
                <w:u w:val="single"/>
                <w:vertAlign w:val="baseline"/>
                <w:lang w:val="en-US" w:eastAsia="zh-CN"/>
              </w:rPr>
            </w:pPr>
            <w:r>
              <w:rPr>
                <w:rFonts w:hint="eastAsia"/>
                <w:color w:val="auto"/>
                <w:sz w:val="21"/>
                <w:szCs w:val="21"/>
                <w:u w:val="single"/>
                <w:vertAlign w:val="baseline"/>
                <w:lang w:val="en-US" w:eastAsia="zh-CN"/>
              </w:rPr>
              <w:t>碳酸二甲酯</w:t>
            </w:r>
          </w:p>
        </w:tc>
        <w:tc>
          <w:tcPr>
            <w:tcW w:w="1000"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连续生产45.5t/d</w:t>
            </w:r>
          </w:p>
        </w:tc>
        <w:tc>
          <w:tcPr>
            <w:tcW w:w="1000"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15015t/a</w:t>
            </w:r>
          </w:p>
        </w:tc>
      </w:tr>
    </w:tbl>
    <w:p>
      <w:pPr>
        <w:pStyle w:val="33"/>
        <w:bidi w:val="0"/>
        <w:rPr>
          <w:rFonts w:hint="default" w:ascii="Times New Roman" w:hAnsi="Times New Roman" w:cs="Times New Roman"/>
          <w:color w:val="auto"/>
          <w:u w:val="single"/>
          <w:lang w:val="en-US" w:eastAsia="zh-CN"/>
        </w:rPr>
      </w:pPr>
      <w:r>
        <w:rPr>
          <w:rFonts w:hint="eastAsia"/>
          <w:color w:val="auto"/>
          <w:u w:val="single"/>
          <w:lang w:val="en-US" w:eastAsia="zh-CN"/>
        </w:rPr>
        <w:t>两套产品共用一套生产设施，根据市场行情进行交替生产，生产设施能够满足生产要求，考虑到最大环境影响，此套装置产排污以生产15000吨碳酸二甲酯产品进行计算。</w:t>
      </w:r>
    </w:p>
    <w:p>
      <w:pPr>
        <w:pStyle w:val="32"/>
        <w:bidi w:val="0"/>
        <w:rPr>
          <w:rFonts w:hint="default"/>
          <w:color w:val="auto"/>
          <w:lang w:val="en-US" w:eastAsia="zh-CN"/>
        </w:rPr>
      </w:pPr>
      <w:r>
        <w:rPr>
          <w:rFonts w:hint="eastAsia"/>
          <w:color w:val="auto"/>
          <w:lang w:val="en-US" w:eastAsia="zh-CN"/>
        </w:rPr>
        <w:t>4.8.2储罐依托可行性分析</w:t>
      </w:r>
    </w:p>
    <w:p>
      <w:pPr>
        <w:pStyle w:val="33"/>
        <w:bidi w:val="0"/>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本项目不新增储罐，新增原料和产品依托现有储罐，原料粗碳酸二甲酯和产品醋酸甲酯依托原料油储罐，产品碳酸二甲酯依托一期二氯丙烷储罐（二氯丙烷拟采用桶装原料仓库储存）。根据市场需求情况，本项目碳酸二甲酯和醋酸甲酯产品生产装置与原料油生产环己烷、环己酮、苯乙烯</w:t>
      </w:r>
      <w:r>
        <w:rPr>
          <w:rFonts w:hint="eastAsia" w:cs="Times New Roman"/>
          <w:color w:val="auto"/>
          <w:u w:val="single"/>
          <w:lang w:val="en-US" w:eastAsia="zh-CN"/>
        </w:rPr>
        <w:t>共</w:t>
      </w:r>
      <w:r>
        <w:rPr>
          <w:rFonts w:hint="eastAsia" w:ascii="Times New Roman" w:hAnsi="Times New Roman" w:cs="Times New Roman"/>
          <w:color w:val="auto"/>
          <w:u w:val="single"/>
          <w:lang w:val="en-US" w:eastAsia="zh-CN"/>
        </w:rPr>
        <w:t>用一套生产装置，根据市场调节，交替生产，本项目碳酸二甲酯和醋酸甲酯原料/产品储罐与原料油储罐也共用现有两个400m</w:t>
      </w:r>
      <w:r>
        <w:rPr>
          <w:rFonts w:hint="eastAsia" w:ascii="Times New Roman" w:hAnsi="Times New Roman" w:cs="Times New Roman"/>
          <w:color w:val="auto"/>
          <w:u w:val="single"/>
          <w:vertAlign w:val="superscript"/>
          <w:lang w:val="en-US" w:eastAsia="zh-CN"/>
        </w:rPr>
        <w:t>3</w:t>
      </w:r>
      <w:r>
        <w:rPr>
          <w:rFonts w:hint="eastAsia" w:ascii="Times New Roman" w:hAnsi="Times New Roman" w:cs="Times New Roman"/>
          <w:color w:val="auto"/>
          <w:u w:val="single"/>
          <w:vertAlign w:val="baseline"/>
          <w:lang w:val="en-US" w:eastAsia="zh-CN"/>
        </w:rPr>
        <w:t>储罐，</w:t>
      </w:r>
      <w:r>
        <w:rPr>
          <w:rFonts w:hint="eastAsia" w:cs="Times New Roman"/>
          <w:color w:val="auto"/>
          <w:u w:val="single"/>
          <w:vertAlign w:val="baseline"/>
          <w:lang w:val="en-US" w:eastAsia="zh-CN"/>
        </w:rPr>
        <w:t>项目储罐存储原料油、粗碳酸二甲酯和醋酸甲酯均为有机溶剂，为保证原料及产品的纯度，储罐在存储物料种类更换时将对储罐进行清洗。</w:t>
      </w:r>
      <w:r>
        <w:rPr>
          <w:rFonts w:hint="eastAsia" w:ascii="Times New Roman" w:hAnsi="Times New Roman" w:cs="Times New Roman"/>
          <w:color w:val="auto"/>
          <w:u w:val="single"/>
          <w:vertAlign w:val="baseline"/>
          <w:lang w:val="en-US" w:eastAsia="zh-CN"/>
        </w:rPr>
        <w:t>项目储罐变化情况见下表</w:t>
      </w:r>
      <w:r>
        <w:rPr>
          <w:rFonts w:hint="eastAsia" w:ascii="Times New Roman" w:hAnsi="Times New Roman" w:cs="Times New Roman"/>
          <w:color w:val="auto"/>
          <w:u w:val="single"/>
          <w:lang w:val="en-US" w:eastAsia="zh-CN"/>
        </w:rPr>
        <w:t>。</w:t>
      </w:r>
    </w:p>
    <w:p>
      <w:pPr>
        <w:jc w:val="center"/>
        <w:rPr>
          <w:rFonts w:hint="eastAsia" w:ascii="Times New Roman" w:hAnsi="Times New Roman" w:eastAsia="宋体" w:cs="Times New Roman"/>
          <w:b/>
          <w:bCs/>
          <w:color w:val="auto"/>
          <w:kern w:val="2"/>
          <w:sz w:val="24"/>
          <w:szCs w:val="20"/>
          <w:u w:val="single"/>
          <w:lang w:val="en-US" w:eastAsia="zh-CN" w:bidi="ar-SA"/>
        </w:rPr>
      </w:pPr>
      <w:r>
        <w:rPr>
          <w:rFonts w:hint="eastAsia" w:ascii="Times New Roman" w:hAnsi="Times New Roman" w:eastAsia="宋体" w:cs="Times New Roman"/>
          <w:b/>
          <w:bCs/>
          <w:color w:val="auto"/>
          <w:kern w:val="2"/>
          <w:sz w:val="24"/>
          <w:szCs w:val="20"/>
          <w:u w:val="single"/>
          <w:lang w:val="en-US" w:eastAsia="zh-CN" w:bidi="ar-SA"/>
        </w:rPr>
        <w:t>表4.8-</w:t>
      </w:r>
      <w:r>
        <w:rPr>
          <w:rFonts w:hint="eastAsia" w:ascii="Times New Roman" w:hAnsi="Times New Roman" w:cs="Times New Roman"/>
          <w:b/>
          <w:bCs/>
          <w:color w:val="auto"/>
          <w:kern w:val="2"/>
          <w:sz w:val="24"/>
          <w:szCs w:val="20"/>
          <w:u w:val="single"/>
          <w:lang w:val="en-US" w:eastAsia="zh-CN" w:bidi="ar-SA"/>
        </w:rPr>
        <w:t>2</w:t>
      </w:r>
      <w:r>
        <w:rPr>
          <w:rFonts w:hint="eastAsia" w:ascii="Times New Roman" w:hAnsi="Times New Roman" w:eastAsia="宋体" w:cs="Times New Roman"/>
          <w:b/>
          <w:bCs/>
          <w:color w:val="auto"/>
          <w:kern w:val="2"/>
          <w:sz w:val="24"/>
          <w:szCs w:val="20"/>
          <w:u w:val="single"/>
          <w:lang w:val="en-US" w:eastAsia="zh-CN" w:bidi="ar-SA"/>
        </w:rPr>
        <w:t>储罐变化情况一览表</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1902"/>
        <w:gridCol w:w="1902"/>
        <w:gridCol w:w="1903"/>
        <w:gridCol w:w="1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02"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b/>
                <w:bCs/>
                <w:color w:val="auto"/>
                <w:u w:val="single"/>
                <w:vertAlign w:val="baseline"/>
                <w:lang w:val="en-US" w:eastAsia="zh-CN"/>
              </w:rPr>
            </w:pPr>
            <w:r>
              <w:rPr>
                <w:rFonts w:hint="eastAsia"/>
                <w:b/>
                <w:bCs/>
                <w:color w:val="auto"/>
                <w:u w:val="single"/>
                <w:vertAlign w:val="baseline"/>
                <w:lang w:val="en-US" w:eastAsia="zh-CN"/>
              </w:rPr>
              <w:t>现有储罐</w:t>
            </w:r>
          </w:p>
        </w:tc>
        <w:tc>
          <w:tcPr>
            <w:tcW w:w="1902"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b/>
                <w:bCs/>
                <w:color w:val="auto"/>
                <w:u w:val="single"/>
                <w:vertAlign w:val="baseline"/>
                <w:lang w:val="en-US" w:eastAsia="zh-CN"/>
              </w:rPr>
            </w:pPr>
            <w:r>
              <w:rPr>
                <w:rFonts w:hint="eastAsia"/>
                <w:b/>
                <w:bCs/>
                <w:color w:val="auto"/>
                <w:u w:val="single"/>
                <w:vertAlign w:val="baseline"/>
                <w:lang w:val="en-US" w:eastAsia="zh-CN"/>
              </w:rPr>
              <w:t>规格</w:t>
            </w:r>
          </w:p>
        </w:tc>
        <w:tc>
          <w:tcPr>
            <w:tcW w:w="1902"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b/>
                <w:bCs/>
                <w:color w:val="auto"/>
                <w:u w:val="single"/>
                <w:vertAlign w:val="baseline"/>
                <w:lang w:val="en-US" w:eastAsia="zh-CN"/>
              </w:rPr>
            </w:pPr>
            <w:r>
              <w:rPr>
                <w:rFonts w:hint="eastAsia"/>
                <w:b/>
                <w:bCs/>
                <w:color w:val="auto"/>
                <w:u w:val="single"/>
                <w:vertAlign w:val="baseline"/>
                <w:lang w:val="en-US" w:eastAsia="zh-CN"/>
              </w:rPr>
              <w:t>拟变化情况</w:t>
            </w:r>
          </w:p>
        </w:tc>
        <w:tc>
          <w:tcPr>
            <w:tcW w:w="1903"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b/>
                <w:bCs/>
                <w:color w:val="auto"/>
                <w:u w:val="single"/>
                <w:vertAlign w:val="baseline"/>
                <w:lang w:val="en-US" w:eastAsia="zh-CN"/>
              </w:rPr>
            </w:pPr>
            <w:r>
              <w:rPr>
                <w:rFonts w:hint="eastAsia"/>
                <w:b/>
                <w:bCs/>
                <w:color w:val="auto"/>
                <w:u w:val="single"/>
                <w:vertAlign w:val="baseline"/>
                <w:lang w:val="en-US" w:eastAsia="zh-CN"/>
              </w:rPr>
              <w:t>变化后储罐</w:t>
            </w:r>
          </w:p>
        </w:tc>
        <w:tc>
          <w:tcPr>
            <w:tcW w:w="1903"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b/>
                <w:bCs/>
                <w:color w:val="auto"/>
                <w:u w:val="single"/>
                <w:vertAlign w:val="baseline"/>
                <w:lang w:val="en-US" w:eastAsia="zh-CN"/>
              </w:rPr>
            </w:pPr>
            <w:r>
              <w:rPr>
                <w:rFonts w:hint="eastAsia"/>
                <w:b/>
                <w:bCs/>
                <w:color w:val="auto"/>
                <w:u w:val="singl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02"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ascii="Times New Roman" w:hAnsi="Times New Roman"/>
                <w:b w:val="0"/>
                <w:bCs/>
                <w:caps w:val="0"/>
                <w:smallCaps w:val="0"/>
                <w:color w:val="auto"/>
                <w:sz w:val="21"/>
                <w:szCs w:val="21"/>
                <w:u w:val="single"/>
              </w:rPr>
              <w:t>原料油</w:t>
            </w:r>
          </w:p>
        </w:tc>
        <w:tc>
          <w:tcPr>
            <w:tcW w:w="1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b w:val="0"/>
                <w:bCs/>
                <w:caps w:val="0"/>
                <w:smallCaps w:val="0"/>
                <w:color w:val="auto"/>
                <w:sz w:val="21"/>
                <w:szCs w:val="21"/>
                <w:u w:val="single"/>
              </w:rPr>
            </w:pPr>
            <w:r>
              <w:rPr>
                <w:rFonts w:hint="eastAsia" w:ascii="Times New Roman" w:hAnsi="Times New Roman"/>
                <w:caps w:val="0"/>
                <w:smallCaps w:val="0"/>
                <w:color w:val="auto"/>
                <w:szCs w:val="21"/>
                <w:u w:val="single"/>
                <w:lang w:val="en-US" w:eastAsia="zh-CN"/>
              </w:rPr>
              <w:t>400</w:t>
            </w:r>
            <w:r>
              <w:rPr>
                <w:rFonts w:hint="eastAsia" w:ascii="Times New Roman" w:eastAsia="宋体"/>
                <w:b w:val="0"/>
                <w:bCs/>
                <w:caps w:val="0"/>
                <w:smallCaps w:val="0"/>
                <w:color w:val="auto"/>
                <w:sz w:val="21"/>
                <w:szCs w:val="21"/>
                <w:u w:val="single"/>
                <w:lang w:val="en-US" w:eastAsia="zh-CN"/>
              </w:rPr>
              <w:t>m</w:t>
            </w:r>
            <w:r>
              <w:rPr>
                <w:rFonts w:hint="eastAsia" w:ascii="Times New Roman" w:eastAsia="宋体"/>
                <w:b w:val="0"/>
                <w:bCs/>
                <w:caps w:val="0"/>
                <w:smallCaps w:val="0"/>
                <w:color w:val="auto"/>
                <w:sz w:val="21"/>
                <w:szCs w:val="21"/>
                <w:u w:val="single"/>
                <w:vertAlign w:val="superscript"/>
                <w:lang w:val="en-US" w:eastAsia="zh-CN"/>
              </w:rPr>
              <w:t>3</w:t>
            </w:r>
            <w:r>
              <w:rPr>
                <w:rFonts w:hint="eastAsia" w:ascii="Times New Roman"/>
                <w:b w:val="0"/>
                <w:bCs/>
                <w:caps w:val="0"/>
                <w:smallCaps w:val="0"/>
                <w:color w:val="auto"/>
                <w:sz w:val="21"/>
                <w:szCs w:val="21"/>
                <w:u w:val="single"/>
                <w:vertAlign w:val="baseline"/>
                <w:lang w:val="en-US" w:eastAsia="zh-CN"/>
              </w:rPr>
              <w:t>，</w:t>
            </w:r>
            <w:r>
              <w:rPr>
                <w:rFonts w:hint="eastAsia" w:ascii="Times New Roman" w:hAnsi="Times New Roman"/>
                <w:caps w:val="0"/>
                <w:smallCaps w:val="0"/>
                <w:color w:val="auto"/>
                <w:szCs w:val="21"/>
                <w:u w:val="single"/>
              </w:rPr>
              <w:t>8.25×Φ8.25</w:t>
            </w:r>
          </w:p>
        </w:tc>
        <w:tc>
          <w:tcPr>
            <w:tcW w:w="1902"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变为原料</w:t>
            </w:r>
            <w:r>
              <w:rPr>
                <w:rFonts w:hint="eastAsia"/>
                <w:b w:val="0"/>
                <w:bCs/>
                <w:caps w:val="0"/>
                <w:smallCaps w:val="0"/>
                <w:color w:val="auto"/>
                <w:sz w:val="21"/>
                <w:szCs w:val="21"/>
                <w:u w:val="single"/>
                <w:lang w:val="en-US" w:eastAsia="zh-CN"/>
              </w:rPr>
              <w:t>粗碳酸二甲酯储罐</w:t>
            </w:r>
          </w:p>
        </w:tc>
        <w:tc>
          <w:tcPr>
            <w:tcW w:w="1903"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color w:val="auto"/>
                <w:u w:val="single"/>
                <w:vertAlign w:val="baseline"/>
                <w:lang w:val="en-US" w:eastAsia="zh-CN"/>
              </w:rPr>
            </w:pPr>
            <w:r>
              <w:rPr>
                <w:rFonts w:hint="eastAsia"/>
                <w:b w:val="0"/>
                <w:bCs/>
                <w:caps w:val="0"/>
                <w:smallCaps w:val="0"/>
                <w:color w:val="auto"/>
                <w:sz w:val="21"/>
                <w:szCs w:val="21"/>
                <w:u w:val="single"/>
                <w:lang w:val="en-US" w:eastAsia="zh-CN"/>
              </w:rPr>
              <w:t>粗碳酸二甲酯原料储罐/原料油储罐</w:t>
            </w:r>
          </w:p>
        </w:tc>
        <w:tc>
          <w:tcPr>
            <w:tcW w:w="1903"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b w:val="0"/>
                <w:bCs/>
                <w:caps w:val="0"/>
                <w:smallCaps w:val="0"/>
                <w:color w:val="auto"/>
                <w:sz w:val="21"/>
                <w:szCs w:val="21"/>
                <w:u w:val="single"/>
                <w:lang w:val="en-US" w:eastAsia="zh-CN"/>
              </w:rPr>
            </w:pPr>
            <w:r>
              <w:rPr>
                <w:rFonts w:hint="eastAsia"/>
                <w:b w:val="0"/>
                <w:bCs/>
                <w:caps w:val="0"/>
                <w:smallCaps w:val="0"/>
                <w:color w:val="auto"/>
                <w:sz w:val="21"/>
                <w:szCs w:val="21"/>
                <w:u w:val="single"/>
                <w:lang w:val="en-US" w:eastAsia="zh-CN"/>
              </w:rPr>
              <w:t>根据产品变化调节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02"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ascii="Times New Roman" w:hAnsi="Times New Roman"/>
                <w:b w:val="0"/>
                <w:bCs/>
                <w:caps w:val="0"/>
                <w:smallCaps w:val="0"/>
                <w:color w:val="auto"/>
                <w:sz w:val="21"/>
                <w:szCs w:val="21"/>
                <w:u w:val="single"/>
              </w:rPr>
              <w:t>X油</w:t>
            </w:r>
          </w:p>
        </w:tc>
        <w:tc>
          <w:tcPr>
            <w:tcW w:w="1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b w:val="0"/>
                <w:bCs/>
                <w:caps w:val="0"/>
                <w:smallCaps w:val="0"/>
                <w:color w:val="auto"/>
                <w:sz w:val="21"/>
                <w:szCs w:val="21"/>
                <w:u w:val="single"/>
              </w:rPr>
            </w:pPr>
            <w:r>
              <w:rPr>
                <w:rFonts w:hint="eastAsia" w:ascii="Times New Roman" w:hAnsi="Times New Roman"/>
                <w:caps w:val="0"/>
                <w:smallCaps w:val="0"/>
                <w:color w:val="auto"/>
                <w:szCs w:val="21"/>
                <w:u w:val="single"/>
                <w:lang w:val="en-US" w:eastAsia="zh-CN"/>
              </w:rPr>
              <w:t>400</w:t>
            </w:r>
            <w:r>
              <w:rPr>
                <w:rFonts w:hint="eastAsia" w:ascii="Times New Roman" w:eastAsia="宋体"/>
                <w:b w:val="0"/>
                <w:bCs/>
                <w:caps w:val="0"/>
                <w:smallCaps w:val="0"/>
                <w:color w:val="auto"/>
                <w:sz w:val="21"/>
                <w:szCs w:val="21"/>
                <w:u w:val="single"/>
                <w:lang w:val="en-US" w:eastAsia="zh-CN"/>
              </w:rPr>
              <w:t>m</w:t>
            </w:r>
            <w:r>
              <w:rPr>
                <w:rFonts w:hint="eastAsia" w:ascii="Times New Roman" w:eastAsia="宋体"/>
                <w:b w:val="0"/>
                <w:bCs/>
                <w:caps w:val="0"/>
                <w:smallCaps w:val="0"/>
                <w:color w:val="auto"/>
                <w:sz w:val="21"/>
                <w:szCs w:val="21"/>
                <w:u w:val="single"/>
                <w:vertAlign w:val="superscript"/>
                <w:lang w:val="en-US" w:eastAsia="zh-CN"/>
              </w:rPr>
              <w:t>3</w:t>
            </w:r>
            <w:r>
              <w:rPr>
                <w:rFonts w:hint="eastAsia" w:ascii="Times New Roman"/>
                <w:b w:val="0"/>
                <w:bCs/>
                <w:caps w:val="0"/>
                <w:smallCaps w:val="0"/>
                <w:color w:val="auto"/>
                <w:sz w:val="21"/>
                <w:szCs w:val="21"/>
                <w:u w:val="single"/>
                <w:vertAlign w:val="baseline"/>
                <w:lang w:val="en-US" w:eastAsia="zh-CN"/>
              </w:rPr>
              <w:t>，</w:t>
            </w:r>
            <w:r>
              <w:rPr>
                <w:rFonts w:hint="eastAsia" w:ascii="Times New Roman" w:hAnsi="Times New Roman"/>
                <w:caps w:val="0"/>
                <w:smallCaps w:val="0"/>
                <w:color w:val="auto"/>
                <w:szCs w:val="21"/>
                <w:u w:val="single"/>
              </w:rPr>
              <w:t>8.25×Φ8.25</w:t>
            </w:r>
          </w:p>
        </w:tc>
        <w:tc>
          <w:tcPr>
            <w:tcW w:w="1902"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不变</w:t>
            </w:r>
          </w:p>
        </w:tc>
        <w:tc>
          <w:tcPr>
            <w:tcW w:w="1903"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ascii="Times New Roman" w:hAnsi="Times New Roman"/>
                <w:b w:val="0"/>
                <w:bCs/>
                <w:caps w:val="0"/>
                <w:smallCaps w:val="0"/>
                <w:color w:val="auto"/>
                <w:sz w:val="21"/>
                <w:szCs w:val="21"/>
                <w:u w:val="single"/>
              </w:rPr>
              <w:t>X油</w:t>
            </w:r>
          </w:p>
        </w:tc>
        <w:tc>
          <w:tcPr>
            <w:tcW w:w="1903"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b w:val="0"/>
                <w:bCs/>
                <w:caps w:val="0"/>
                <w:smallCaps w:val="0"/>
                <w:color w:val="auto"/>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02"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ascii="Times New Roman" w:hAnsi="Times New Roman"/>
                <w:b w:val="0"/>
                <w:bCs/>
                <w:caps w:val="0"/>
                <w:smallCaps w:val="0"/>
                <w:color w:val="auto"/>
                <w:sz w:val="21"/>
                <w:szCs w:val="21"/>
                <w:u w:val="single"/>
              </w:rPr>
              <w:t>煤焦油</w:t>
            </w:r>
          </w:p>
        </w:tc>
        <w:tc>
          <w:tcPr>
            <w:tcW w:w="1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b w:val="0"/>
                <w:bCs/>
                <w:caps w:val="0"/>
                <w:smallCaps w:val="0"/>
                <w:color w:val="auto"/>
                <w:sz w:val="21"/>
                <w:szCs w:val="21"/>
                <w:u w:val="single"/>
              </w:rPr>
            </w:pPr>
            <w:r>
              <w:rPr>
                <w:rFonts w:hint="eastAsia" w:ascii="Times New Roman" w:hAnsi="Times New Roman"/>
                <w:caps w:val="0"/>
                <w:smallCaps w:val="0"/>
                <w:color w:val="auto"/>
                <w:szCs w:val="21"/>
                <w:u w:val="single"/>
                <w:lang w:val="en-US" w:eastAsia="zh-CN"/>
              </w:rPr>
              <w:t>400</w:t>
            </w:r>
            <w:r>
              <w:rPr>
                <w:rFonts w:hint="eastAsia" w:ascii="Times New Roman" w:eastAsia="宋体"/>
                <w:b w:val="0"/>
                <w:bCs/>
                <w:caps w:val="0"/>
                <w:smallCaps w:val="0"/>
                <w:color w:val="auto"/>
                <w:sz w:val="21"/>
                <w:szCs w:val="21"/>
                <w:u w:val="single"/>
                <w:lang w:val="en-US" w:eastAsia="zh-CN"/>
              </w:rPr>
              <w:t>m</w:t>
            </w:r>
            <w:r>
              <w:rPr>
                <w:rFonts w:hint="eastAsia" w:ascii="Times New Roman" w:eastAsia="宋体"/>
                <w:b w:val="0"/>
                <w:bCs/>
                <w:caps w:val="0"/>
                <w:smallCaps w:val="0"/>
                <w:color w:val="auto"/>
                <w:sz w:val="21"/>
                <w:szCs w:val="21"/>
                <w:u w:val="single"/>
                <w:vertAlign w:val="superscript"/>
                <w:lang w:val="en-US" w:eastAsia="zh-CN"/>
              </w:rPr>
              <w:t>3</w:t>
            </w:r>
            <w:r>
              <w:rPr>
                <w:rFonts w:hint="eastAsia" w:ascii="Times New Roman"/>
                <w:b w:val="0"/>
                <w:bCs/>
                <w:caps w:val="0"/>
                <w:smallCaps w:val="0"/>
                <w:color w:val="auto"/>
                <w:sz w:val="21"/>
                <w:szCs w:val="21"/>
                <w:u w:val="single"/>
                <w:vertAlign w:val="baseline"/>
                <w:lang w:val="en-US" w:eastAsia="zh-CN"/>
              </w:rPr>
              <w:t>，</w:t>
            </w:r>
            <w:r>
              <w:rPr>
                <w:rFonts w:hint="eastAsia" w:ascii="Times New Roman" w:hAnsi="Times New Roman"/>
                <w:caps w:val="0"/>
                <w:smallCaps w:val="0"/>
                <w:color w:val="auto"/>
                <w:szCs w:val="21"/>
                <w:u w:val="single"/>
              </w:rPr>
              <w:t>8.25×Φ8.25</w:t>
            </w:r>
          </w:p>
        </w:tc>
        <w:tc>
          <w:tcPr>
            <w:tcW w:w="1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不变</w:t>
            </w:r>
          </w:p>
        </w:tc>
        <w:tc>
          <w:tcPr>
            <w:tcW w:w="1903"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ascii="Times New Roman" w:hAnsi="Times New Roman"/>
                <w:b w:val="0"/>
                <w:bCs/>
                <w:caps w:val="0"/>
                <w:smallCaps w:val="0"/>
                <w:color w:val="auto"/>
                <w:sz w:val="21"/>
                <w:szCs w:val="21"/>
                <w:u w:val="single"/>
              </w:rPr>
              <w:t>煤焦油</w:t>
            </w:r>
          </w:p>
        </w:tc>
        <w:tc>
          <w:tcPr>
            <w:tcW w:w="1903"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b w:val="0"/>
                <w:bCs/>
                <w:caps w:val="0"/>
                <w:smallCaps w:val="0"/>
                <w:color w:val="auto"/>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02"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ascii="Times New Roman" w:hAnsi="Times New Roman"/>
                <w:b w:val="0"/>
                <w:bCs/>
                <w:caps w:val="0"/>
                <w:smallCaps w:val="0"/>
                <w:color w:val="auto"/>
                <w:sz w:val="21"/>
                <w:szCs w:val="21"/>
                <w:u w:val="single"/>
              </w:rPr>
              <w:t>工业重油</w:t>
            </w:r>
          </w:p>
        </w:tc>
        <w:tc>
          <w:tcPr>
            <w:tcW w:w="1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b w:val="0"/>
                <w:bCs/>
                <w:caps w:val="0"/>
                <w:smallCaps w:val="0"/>
                <w:color w:val="auto"/>
                <w:sz w:val="21"/>
                <w:szCs w:val="21"/>
                <w:u w:val="single"/>
              </w:rPr>
            </w:pPr>
            <w:r>
              <w:rPr>
                <w:rFonts w:hint="eastAsia" w:ascii="Times New Roman" w:hAnsi="Times New Roman"/>
                <w:caps w:val="0"/>
                <w:smallCaps w:val="0"/>
                <w:color w:val="auto"/>
                <w:szCs w:val="21"/>
                <w:u w:val="single"/>
                <w:lang w:val="en-US" w:eastAsia="zh-CN"/>
              </w:rPr>
              <w:t>400</w:t>
            </w:r>
            <w:r>
              <w:rPr>
                <w:rFonts w:hint="eastAsia" w:ascii="Times New Roman" w:eastAsia="宋体"/>
                <w:b w:val="0"/>
                <w:bCs/>
                <w:caps w:val="0"/>
                <w:smallCaps w:val="0"/>
                <w:color w:val="auto"/>
                <w:sz w:val="21"/>
                <w:szCs w:val="21"/>
                <w:u w:val="single"/>
                <w:lang w:val="en-US" w:eastAsia="zh-CN"/>
              </w:rPr>
              <w:t>m</w:t>
            </w:r>
            <w:r>
              <w:rPr>
                <w:rFonts w:hint="eastAsia" w:ascii="Times New Roman" w:eastAsia="宋体"/>
                <w:b w:val="0"/>
                <w:bCs/>
                <w:caps w:val="0"/>
                <w:smallCaps w:val="0"/>
                <w:color w:val="auto"/>
                <w:sz w:val="21"/>
                <w:szCs w:val="21"/>
                <w:u w:val="single"/>
                <w:vertAlign w:val="superscript"/>
                <w:lang w:val="en-US" w:eastAsia="zh-CN"/>
              </w:rPr>
              <w:t>3</w:t>
            </w:r>
            <w:r>
              <w:rPr>
                <w:rFonts w:hint="eastAsia" w:ascii="Times New Roman"/>
                <w:b w:val="0"/>
                <w:bCs/>
                <w:caps w:val="0"/>
                <w:smallCaps w:val="0"/>
                <w:color w:val="auto"/>
                <w:sz w:val="21"/>
                <w:szCs w:val="21"/>
                <w:u w:val="single"/>
                <w:vertAlign w:val="baseline"/>
                <w:lang w:val="en-US" w:eastAsia="zh-CN"/>
              </w:rPr>
              <w:t>，</w:t>
            </w:r>
            <w:r>
              <w:rPr>
                <w:rFonts w:hint="eastAsia" w:ascii="Times New Roman" w:hAnsi="Times New Roman"/>
                <w:caps w:val="0"/>
                <w:smallCaps w:val="0"/>
                <w:color w:val="auto"/>
                <w:szCs w:val="21"/>
                <w:u w:val="single"/>
              </w:rPr>
              <w:t>8.25×Φ8.25</w:t>
            </w:r>
          </w:p>
        </w:tc>
        <w:tc>
          <w:tcPr>
            <w:tcW w:w="1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不变</w:t>
            </w:r>
          </w:p>
        </w:tc>
        <w:tc>
          <w:tcPr>
            <w:tcW w:w="1903"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ascii="Times New Roman" w:hAnsi="Times New Roman"/>
                <w:b w:val="0"/>
                <w:bCs/>
                <w:caps w:val="0"/>
                <w:smallCaps w:val="0"/>
                <w:color w:val="auto"/>
                <w:sz w:val="21"/>
                <w:szCs w:val="21"/>
                <w:u w:val="single"/>
              </w:rPr>
              <w:t>工业重油</w:t>
            </w:r>
          </w:p>
        </w:tc>
        <w:tc>
          <w:tcPr>
            <w:tcW w:w="1903"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b w:val="0"/>
                <w:bCs/>
                <w:caps w:val="0"/>
                <w:smallCaps w:val="0"/>
                <w:color w:val="auto"/>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02"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ascii="Times New Roman" w:hAnsi="Times New Roman"/>
                <w:b w:val="0"/>
                <w:bCs/>
                <w:caps w:val="0"/>
                <w:smallCaps w:val="0"/>
                <w:color w:val="auto"/>
                <w:sz w:val="21"/>
                <w:szCs w:val="21"/>
                <w:u w:val="single"/>
              </w:rPr>
              <w:t>溶剂油</w:t>
            </w:r>
          </w:p>
        </w:tc>
        <w:tc>
          <w:tcPr>
            <w:tcW w:w="1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b w:val="0"/>
                <w:bCs/>
                <w:caps w:val="0"/>
                <w:smallCaps w:val="0"/>
                <w:color w:val="auto"/>
                <w:sz w:val="21"/>
                <w:szCs w:val="21"/>
                <w:u w:val="single"/>
              </w:rPr>
            </w:pPr>
            <w:r>
              <w:rPr>
                <w:rFonts w:hint="eastAsia" w:ascii="Times New Roman" w:hAnsi="Times New Roman"/>
                <w:caps w:val="0"/>
                <w:smallCaps w:val="0"/>
                <w:color w:val="auto"/>
                <w:szCs w:val="21"/>
                <w:u w:val="single"/>
                <w:lang w:val="en-US" w:eastAsia="zh-CN"/>
              </w:rPr>
              <w:t>400</w:t>
            </w:r>
            <w:r>
              <w:rPr>
                <w:rFonts w:hint="eastAsia" w:ascii="Times New Roman" w:eastAsia="宋体"/>
                <w:b w:val="0"/>
                <w:bCs/>
                <w:caps w:val="0"/>
                <w:smallCaps w:val="0"/>
                <w:color w:val="auto"/>
                <w:sz w:val="21"/>
                <w:szCs w:val="21"/>
                <w:u w:val="single"/>
                <w:lang w:val="en-US" w:eastAsia="zh-CN"/>
              </w:rPr>
              <w:t>m</w:t>
            </w:r>
            <w:r>
              <w:rPr>
                <w:rFonts w:hint="eastAsia" w:ascii="Times New Roman" w:eastAsia="宋体"/>
                <w:b w:val="0"/>
                <w:bCs/>
                <w:caps w:val="0"/>
                <w:smallCaps w:val="0"/>
                <w:color w:val="auto"/>
                <w:sz w:val="21"/>
                <w:szCs w:val="21"/>
                <w:u w:val="single"/>
                <w:vertAlign w:val="superscript"/>
                <w:lang w:val="en-US" w:eastAsia="zh-CN"/>
              </w:rPr>
              <w:t>3</w:t>
            </w:r>
            <w:r>
              <w:rPr>
                <w:rFonts w:hint="eastAsia" w:ascii="Times New Roman"/>
                <w:b w:val="0"/>
                <w:bCs/>
                <w:caps w:val="0"/>
                <w:smallCaps w:val="0"/>
                <w:color w:val="auto"/>
                <w:sz w:val="21"/>
                <w:szCs w:val="21"/>
                <w:u w:val="single"/>
                <w:vertAlign w:val="baseline"/>
                <w:lang w:val="en-US" w:eastAsia="zh-CN"/>
              </w:rPr>
              <w:t>，</w:t>
            </w:r>
            <w:r>
              <w:rPr>
                <w:rFonts w:hint="eastAsia" w:ascii="Times New Roman" w:hAnsi="Times New Roman"/>
                <w:caps w:val="0"/>
                <w:smallCaps w:val="0"/>
                <w:color w:val="auto"/>
                <w:szCs w:val="21"/>
                <w:u w:val="single"/>
              </w:rPr>
              <w:t>8.25×Φ8.25</w:t>
            </w:r>
          </w:p>
        </w:tc>
        <w:tc>
          <w:tcPr>
            <w:tcW w:w="1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不变</w:t>
            </w:r>
          </w:p>
        </w:tc>
        <w:tc>
          <w:tcPr>
            <w:tcW w:w="1903"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ascii="Times New Roman" w:hAnsi="Times New Roman"/>
                <w:b w:val="0"/>
                <w:bCs/>
                <w:caps w:val="0"/>
                <w:smallCaps w:val="0"/>
                <w:color w:val="auto"/>
                <w:sz w:val="21"/>
                <w:szCs w:val="21"/>
                <w:u w:val="single"/>
              </w:rPr>
              <w:t>溶剂油</w:t>
            </w:r>
          </w:p>
        </w:tc>
        <w:tc>
          <w:tcPr>
            <w:tcW w:w="1903"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b w:val="0"/>
                <w:bCs/>
                <w:caps w:val="0"/>
                <w:smallCaps w:val="0"/>
                <w:color w:val="auto"/>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02"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ascii="Times New Roman" w:hAnsi="Times New Roman"/>
                <w:b w:val="0"/>
                <w:bCs/>
                <w:caps w:val="0"/>
                <w:smallCaps w:val="0"/>
                <w:color w:val="auto"/>
                <w:sz w:val="21"/>
                <w:szCs w:val="21"/>
                <w:u w:val="single"/>
              </w:rPr>
              <w:t>燃料油</w:t>
            </w:r>
          </w:p>
        </w:tc>
        <w:tc>
          <w:tcPr>
            <w:tcW w:w="1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b w:val="0"/>
                <w:bCs/>
                <w:caps w:val="0"/>
                <w:smallCaps w:val="0"/>
                <w:color w:val="auto"/>
                <w:sz w:val="21"/>
                <w:szCs w:val="21"/>
                <w:u w:val="single"/>
              </w:rPr>
            </w:pPr>
            <w:r>
              <w:rPr>
                <w:rFonts w:hint="eastAsia" w:ascii="Times New Roman" w:hAnsi="Times New Roman"/>
                <w:caps w:val="0"/>
                <w:smallCaps w:val="0"/>
                <w:color w:val="auto"/>
                <w:szCs w:val="21"/>
                <w:u w:val="single"/>
                <w:lang w:val="en-US" w:eastAsia="zh-CN"/>
              </w:rPr>
              <w:t>400</w:t>
            </w:r>
            <w:r>
              <w:rPr>
                <w:rFonts w:hint="eastAsia" w:ascii="Times New Roman" w:eastAsia="宋体"/>
                <w:b w:val="0"/>
                <w:bCs/>
                <w:caps w:val="0"/>
                <w:smallCaps w:val="0"/>
                <w:color w:val="auto"/>
                <w:sz w:val="21"/>
                <w:szCs w:val="21"/>
                <w:u w:val="single"/>
                <w:lang w:val="en-US" w:eastAsia="zh-CN"/>
              </w:rPr>
              <w:t>m</w:t>
            </w:r>
            <w:r>
              <w:rPr>
                <w:rFonts w:hint="eastAsia" w:ascii="Times New Roman" w:eastAsia="宋体"/>
                <w:b w:val="0"/>
                <w:bCs/>
                <w:caps w:val="0"/>
                <w:smallCaps w:val="0"/>
                <w:color w:val="auto"/>
                <w:sz w:val="21"/>
                <w:szCs w:val="21"/>
                <w:u w:val="single"/>
                <w:vertAlign w:val="superscript"/>
                <w:lang w:val="en-US" w:eastAsia="zh-CN"/>
              </w:rPr>
              <w:t>3</w:t>
            </w:r>
            <w:r>
              <w:rPr>
                <w:rFonts w:hint="eastAsia" w:ascii="Times New Roman"/>
                <w:b w:val="0"/>
                <w:bCs/>
                <w:caps w:val="0"/>
                <w:smallCaps w:val="0"/>
                <w:color w:val="auto"/>
                <w:sz w:val="21"/>
                <w:szCs w:val="21"/>
                <w:u w:val="single"/>
                <w:vertAlign w:val="baseline"/>
                <w:lang w:val="en-US" w:eastAsia="zh-CN"/>
              </w:rPr>
              <w:t>，</w:t>
            </w:r>
            <w:r>
              <w:rPr>
                <w:rFonts w:hint="eastAsia" w:ascii="Times New Roman" w:hAnsi="Times New Roman"/>
                <w:caps w:val="0"/>
                <w:smallCaps w:val="0"/>
                <w:color w:val="auto"/>
                <w:szCs w:val="21"/>
                <w:u w:val="single"/>
              </w:rPr>
              <w:t>8.25×Φ8.25</w:t>
            </w:r>
          </w:p>
        </w:tc>
        <w:tc>
          <w:tcPr>
            <w:tcW w:w="1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不变</w:t>
            </w:r>
          </w:p>
        </w:tc>
        <w:tc>
          <w:tcPr>
            <w:tcW w:w="1903"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ascii="Times New Roman" w:hAnsi="Times New Roman"/>
                <w:b w:val="0"/>
                <w:bCs/>
                <w:caps w:val="0"/>
                <w:smallCaps w:val="0"/>
                <w:color w:val="auto"/>
                <w:sz w:val="21"/>
                <w:szCs w:val="21"/>
                <w:u w:val="single"/>
              </w:rPr>
              <w:t>燃料油</w:t>
            </w:r>
          </w:p>
        </w:tc>
        <w:tc>
          <w:tcPr>
            <w:tcW w:w="1903"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b w:val="0"/>
                <w:bCs/>
                <w:caps w:val="0"/>
                <w:smallCaps w:val="0"/>
                <w:color w:val="auto"/>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02"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ascii="Times New Roman" w:hAnsi="Times New Roman"/>
                <w:b w:val="0"/>
                <w:bCs/>
                <w:caps w:val="0"/>
                <w:smallCaps w:val="0"/>
                <w:color w:val="auto"/>
                <w:sz w:val="21"/>
                <w:szCs w:val="21"/>
                <w:u w:val="single"/>
                <w:lang w:eastAsia="zh-CN"/>
              </w:rPr>
              <w:t>工业用二氯丙烷</w:t>
            </w:r>
          </w:p>
        </w:tc>
        <w:tc>
          <w:tcPr>
            <w:tcW w:w="1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b w:val="0"/>
                <w:bCs/>
                <w:caps w:val="0"/>
                <w:smallCaps w:val="0"/>
                <w:color w:val="auto"/>
                <w:sz w:val="21"/>
                <w:szCs w:val="21"/>
                <w:u w:val="single"/>
                <w:lang w:eastAsia="zh-CN"/>
              </w:rPr>
            </w:pPr>
            <w:r>
              <w:rPr>
                <w:rFonts w:hint="eastAsia" w:ascii="Times New Roman" w:hAnsi="Times New Roman"/>
                <w:caps w:val="0"/>
                <w:smallCaps w:val="0"/>
                <w:color w:val="auto"/>
                <w:szCs w:val="21"/>
                <w:u w:val="single"/>
                <w:lang w:val="en-US" w:eastAsia="zh-CN"/>
              </w:rPr>
              <w:t>400</w:t>
            </w:r>
            <w:r>
              <w:rPr>
                <w:rFonts w:hint="eastAsia" w:ascii="Times New Roman" w:eastAsia="宋体"/>
                <w:b w:val="0"/>
                <w:bCs/>
                <w:caps w:val="0"/>
                <w:smallCaps w:val="0"/>
                <w:color w:val="auto"/>
                <w:sz w:val="21"/>
                <w:szCs w:val="21"/>
                <w:u w:val="single"/>
                <w:lang w:val="en-US" w:eastAsia="zh-CN"/>
              </w:rPr>
              <w:t>m</w:t>
            </w:r>
            <w:r>
              <w:rPr>
                <w:rFonts w:hint="eastAsia" w:ascii="Times New Roman" w:eastAsia="宋体"/>
                <w:b w:val="0"/>
                <w:bCs/>
                <w:caps w:val="0"/>
                <w:smallCaps w:val="0"/>
                <w:color w:val="auto"/>
                <w:sz w:val="21"/>
                <w:szCs w:val="21"/>
                <w:u w:val="single"/>
                <w:vertAlign w:val="superscript"/>
                <w:lang w:val="en-US" w:eastAsia="zh-CN"/>
              </w:rPr>
              <w:t>3</w:t>
            </w:r>
            <w:r>
              <w:rPr>
                <w:rFonts w:hint="eastAsia" w:ascii="Times New Roman"/>
                <w:b w:val="0"/>
                <w:bCs/>
                <w:caps w:val="0"/>
                <w:smallCaps w:val="0"/>
                <w:color w:val="auto"/>
                <w:sz w:val="21"/>
                <w:szCs w:val="21"/>
                <w:u w:val="single"/>
                <w:vertAlign w:val="baseline"/>
                <w:lang w:val="en-US" w:eastAsia="zh-CN"/>
              </w:rPr>
              <w:t>，</w:t>
            </w:r>
            <w:r>
              <w:rPr>
                <w:rFonts w:hint="eastAsia" w:ascii="Times New Roman" w:hAnsi="Times New Roman"/>
                <w:caps w:val="0"/>
                <w:smallCaps w:val="0"/>
                <w:color w:val="auto"/>
                <w:szCs w:val="21"/>
                <w:u w:val="single"/>
              </w:rPr>
              <w:t>8.25×Φ8.25</w:t>
            </w:r>
          </w:p>
        </w:tc>
        <w:tc>
          <w:tcPr>
            <w:tcW w:w="1902"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变为碳酸二甲酯成品储罐</w:t>
            </w:r>
          </w:p>
        </w:tc>
        <w:tc>
          <w:tcPr>
            <w:tcW w:w="1903"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碳酸二甲酯成品储罐</w:t>
            </w:r>
          </w:p>
        </w:tc>
        <w:tc>
          <w:tcPr>
            <w:tcW w:w="1903"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二氯丙烷采用桶装/原料仓库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02"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default"/>
                <w:color w:val="auto"/>
                <w:u w:val="single"/>
                <w:vertAlign w:val="baseline"/>
                <w:lang w:val="en-US" w:eastAsia="zh-CN"/>
              </w:rPr>
            </w:pPr>
            <w:r>
              <w:rPr>
                <w:rFonts w:hint="eastAsia" w:ascii="Times New Roman" w:hAnsi="Times New Roman"/>
                <w:b w:val="0"/>
                <w:bCs/>
                <w:caps w:val="0"/>
                <w:smallCaps w:val="0"/>
                <w:color w:val="auto"/>
                <w:sz w:val="21"/>
                <w:szCs w:val="21"/>
                <w:u w:val="single"/>
                <w:lang w:eastAsia="zh-CN"/>
              </w:rPr>
              <w:t>废</w:t>
            </w:r>
            <w:r>
              <w:rPr>
                <w:rFonts w:hint="eastAsia" w:ascii="Times New Roman" w:hAnsi="Times New Roman"/>
                <w:b w:val="0"/>
                <w:bCs/>
                <w:caps w:val="0"/>
                <w:smallCaps w:val="0"/>
                <w:color w:val="auto"/>
                <w:sz w:val="21"/>
                <w:szCs w:val="21"/>
                <w:u w:val="single"/>
              </w:rPr>
              <w:t>环己烷</w:t>
            </w:r>
            <w:r>
              <w:rPr>
                <w:rFonts w:hint="eastAsia" w:ascii="Times New Roman" w:hAnsi="Times New Roman"/>
                <w:b w:val="0"/>
                <w:bCs/>
                <w:caps w:val="0"/>
                <w:smallCaps w:val="0"/>
                <w:color w:val="auto"/>
                <w:sz w:val="21"/>
                <w:szCs w:val="21"/>
                <w:u w:val="single"/>
                <w:lang w:eastAsia="zh-CN"/>
              </w:rPr>
              <w:t>、</w:t>
            </w:r>
            <w:r>
              <w:rPr>
                <w:rFonts w:hint="eastAsia" w:ascii="Times New Roman" w:hAnsi="Times New Roman"/>
                <w:b w:val="0"/>
                <w:bCs/>
                <w:caps w:val="0"/>
                <w:smallCaps w:val="0"/>
                <w:color w:val="auto"/>
                <w:sz w:val="21"/>
                <w:szCs w:val="21"/>
                <w:u w:val="single"/>
              </w:rPr>
              <w:t>环己酮</w:t>
            </w:r>
            <w:r>
              <w:rPr>
                <w:rFonts w:hint="eastAsia" w:ascii="Times New Roman" w:hAnsi="Times New Roman"/>
                <w:b w:val="0"/>
                <w:bCs/>
                <w:caps w:val="0"/>
                <w:smallCaps w:val="0"/>
                <w:color w:val="auto"/>
                <w:sz w:val="21"/>
                <w:szCs w:val="21"/>
                <w:u w:val="single"/>
                <w:lang w:eastAsia="zh-CN"/>
              </w:rPr>
              <w:t>、</w:t>
            </w:r>
            <w:r>
              <w:rPr>
                <w:rFonts w:hint="eastAsia" w:ascii="Times New Roman" w:hAnsi="Times New Roman"/>
                <w:b w:val="0"/>
                <w:bCs/>
                <w:caps w:val="0"/>
                <w:smallCaps w:val="0"/>
                <w:color w:val="auto"/>
                <w:sz w:val="21"/>
                <w:szCs w:val="21"/>
                <w:u w:val="single"/>
              </w:rPr>
              <w:t>苯乙烯原料油</w:t>
            </w:r>
          </w:p>
        </w:tc>
        <w:tc>
          <w:tcPr>
            <w:tcW w:w="1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b w:val="0"/>
                <w:bCs/>
                <w:caps w:val="0"/>
                <w:smallCaps w:val="0"/>
                <w:color w:val="auto"/>
                <w:sz w:val="21"/>
                <w:szCs w:val="21"/>
                <w:u w:val="single"/>
                <w:lang w:eastAsia="zh-CN"/>
              </w:rPr>
            </w:pPr>
            <w:r>
              <w:rPr>
                <w:rFonts w:hint="eastAsia" w:ascii="Times New Roman" w:hAnsi="Times New Roman"/>
                <w:caps w:val="0"/>
                <w:smallCaps w:val="0"/>
                <w:color w:val="auto"/>
                <w:szCs w:val="21"/>
                <w:u w:val="single"/>
                <w:lang w:val="en-US" w:eastAsia="zh-CN"/>
              </w:rPr>
              <w:t>400</w:t>
            </w:r>
            <w:r>
              <w:rPr>
                <w:rFonts w:hint="eastAsia" w:ascii="Times New Roman" w:eastAsia="宋体"/>
                <w:b w:val="0"/>
                <w:bCs/>
                <w:caps w:val="0"/>
                <w:smallCaps w:val="0"/>
                <w:color w:val="auto"/>
                <w:sz w:val="21"/>
                <w:szCs w:val="21"/>
                <w:u w:val="single"/>
                <w:lang w:val="en-US" w:eastAsia="zh-CN"/>
              </w:rPr>
              <w:t>m</w:t>
            </w:r>
            <w:r>
              <w:rPr>
                <w:rFonts w:hint="eastAsia" w:ascii="Times New Roman" w:eastAsia="宋体"/>
                <w:b w:val="0"/>
                <w:bCs/>
                <w:caps w:val="0"/>
                <w:smallCaps w:val="0"/>
                <w:color w:val="auto"/>
                <w:sz w:val="21"/>
                <w:szCs w:val="21"/>
                <w:u w:val="single"/>
                <w:vertAlign w:val="superscript"/>
                <w:lang w:val="en-US" w:eastAsia="zh-CN"/>
              </w:rPr>
              <w:t>3</w:t>
            </w:r>
            <w:r>
              <w:rPr>
                <w:rFonts w:hint="eastAsia" w:ascii="Times New Roman"/>
                <w:b w:val="0"/>
                <w:bCs/>
                <w:caps w:val="0"/>
                <w:smallCaps w:val="0"/>
                <w:color w:val="auto"/>
                <w:sz w:val="21"/>
                <w:szCs w:val="21"/>
                <w:u w:val="single"/>
                <w:vertAlign w:val="baseline"/>
                <w:lang w:val="en-US" w:eastAsia="zh-CN"/>
              </w:rPr>
              <w:t>，</w:t>
            </w:r>
            <w:r>
              <w:rPr>
                <w:rFonts w:hint="eastAsia" w:ascii="Times New Roman" w:hAnsi="Times New Roman"/>
                <w:caps w:val="0"/>
                <w:smallCaps w:val="0"/>
                <w:color w:val="auto"/>
                <w:szCs w:val="21"/>
                <w:u w:val="single"/>
              </w:rPr>
              <w:t>8.25×Φ8.25</w:t>
            </w:r>
          </w:p>
        </w:tc>
        <w:tc>
          <w:tcPr>
            <w:tcW w:w="1902"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color w:val="auto"/>
                <w:u w:val="single"/>
                <w:vertAlign w:val="baseline"/>
                <w:lang w:val="en-US" w:eastAsia="zh-CN"/>
              </w:rPr>
            </w:pPr>
            <w:r>
              <w:rPr>
                <w:rFonts w:hint="eastAsia"/>
                <w:color w:val="auto"/>
                <w:u w:val="single"/>
                <w:vertAlign w:val="baseline"/>
                <w:lang w:val="en-US" w:eastAsia="zh-CN"/>
              </w:rPr>
              <w:t>变为醋酸甲酯成品储罐</w:t>
            </w:r>
          </w:p>
        </w:tc>
        <w:tc>
          <w:tcPr>
            <w:tcW w:w="1903"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eastAsia" w:eastAsia="宋体"/>
                <w:color w:val="auto"/>
                <w:u w:val="single"/>
                <w:vertAlign w:val="baseline"/>
                <w:lang w:val="en-US" w:eastAsia="zh-CN"/>
              </w:rPr>
            </w:pPr>
            <w:r>
              <w:rPr>
                <w:rFonts w:hint="eastAsia"/>
                <w:color w:val="auto"/>
                <w:u w:val="single"/>
                <w:vertAlign w:val="baseline"/>
                <w:lang w:val="en-US" w:eastAsia="zh-CN"/>
              </w:rPr>
              <w:t>醋酸甲酯成品储罐/</w:t>
            </w:r>
            <w:r>
              <w:rPr>
                <w:rFonts w:hint="eastAsia" w:ascii="Times New Roman" w:hAnsi="Times New Roman"/>
                <w:b w:val="0"/>
                <w:bCs/>
                <w:caps w:val="0"/>
                <w:smallCaps w:val="0"/>
                <w:color w:val="auto"/>
                <w:sz w:val="21"/>
                <w:szCs w:val="21"/>
                <w:u w:val="single"/>
              </w:rPr>
              <w:t>原料油</w:t>
            </w:r>
            <w:r>
              <w:rPr>
                <w:rFonts w:hint="eastAsia" w:ascii="Times New Roman" w:hAnsi="Times New Roman"/>
                <w:b w:val="0"/>
                <w:bCs/>
                <w:caps w:val="0"/>
                <w:smallCaps w:val="0"/>
                <w:color w:val="auto"/>
                <w:sz w:val="21"/>
                <w:szCs w:val="21"/>
                <w:u w:val="single"/>
                <w:lang w:val="en-US" w:eastAsia="zh-CN"/>
              </w:rPr>
              <w:t>储罐</w:t>
            </w:r>
          </w:p>
        </w:tc>
        <w:tc>
          <w:tcPr>
            <w:tcW w:w="1903"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after="0" w:line="360" w:lineRule="auto"/>
              <w:ind w:left="0" w:leftChars="0" w:firstLine="0" w:firstLineChars="0"/>
              <w:jc w:val="center"/>
              <w:textAlignment w:val="auto"/>
              <w:rPr>
                <w:rFonts w:hint="default"/>
                <w:color w:val="auto"/>
                <w:u w:val="single"/>
                <w:vertAlign w:val="baseline"/>
                <w:lang w:val="en-US" w:eastAsia="zh-CN"/>
              </w:rPr>
            </w:pPr>
            <w:r>
              <w:rPr>
                <w:rFonts w:hint="eastAsia"/>
                <w:b w:val="0"/>
                <w:bCs/>
                <w:caps w:val="0"/>
                <w:smallCaps w:val="0"/>
                <w:color w:val="auto"/>
                <w:sz w:val="21"/>
                <w:szCs w:val="21"/>
                <w:u w:val="single"/>
                <w:lang w:val="en-US" w:eastAsia="zh-CN"/>
              </w:rPr>
              <w:t>根据产品变化调节</w:t>
            </w:r>
          </w:p>
        </w:tc>
      </w:tr>
    </w:tbl>
    <w:p>
      <w:pPr>
        <w:pStyle w:val="32"/>
        <w:bidi w:val="0"/>
        <w:rPr>
          <w:rFonts w:hint="eastAsia"/>
          <w:color w:val="auto"/>
          <w:lang w:val="en-US" w:eastAsia="zh-CN"/>
        </w:rPr>
      </w:pPr>
      <w:bookmarkStart w:id="89" w:name="_Toc13811"/>
      <w:r>
        <w:rPr>
          <w:rFonts w:hint="eastAsia"/>
          <w:color w:val="auto"/>
          <w:lang w:val="en-US" w:eastAsia="zh-CN"/>
        </w:rPr>
        <w:t>4.8.3环保设施依托可行性</w:t>
      </w:r>
      <w:bookmarkEnd w:id="89"/>
    </w:p>
    <w:p>
      <w:pPr>
        <w:pStyle w:val="33"/>
        <w:bidi w:val="0"/>
        <w:rPr>
          <w:rFonts w:hint="eastAsia"/>
          <w:color w:val="auto"/>
          <w:lang w:val="en-US" w:eastAsia="zh-CN"/>
        </w:rPr>
      </w:pPr>
      <w:r>
        <w:rPr>
          <w:rFonts w:hint="eastAsia"/>
          <w:color w:val="auto"/>
          <w:lang w:val="en-US" w:eastAsia="zh-CN"/>
        </w:rPr>
        <w:t>废水：项目新增生产废水9.79m</w:t>
      </w:r>
      <w:r>
        <w:rPr>
          <w:rFonts w:hint="eastAsia"/>
          <w:color w:val="auto"/>
          <w:vertAlign w:val="superscript"/>
          <w:lang w:val="en-US" w:eastAsia="zh-CN"/>
        </w:rPr>
        <w:t>3</w:t>
      </w:r>
      <w:r>
        <w:rPr>
          <w:rFonts w:hint="eastAsia"/>
          <w:color w:val="auto"/>
          <w:lang w:val="en-US" w:eastAsia="zh-CN"/>
        </w:rPr>
        <w:t>/d，主要污染物为COD浓度为26309.3mg/L，现有自建污水处理站处理能力50m</w:t>
      </w:r>
      <w:r>
        <w:rPr>
          <w:rFonts w:hint="eastAsia"/>
          <w:color w:val="auto"/>
          <w:vertAlign w:val="superscript"/>
          <w:lang w:val="en-US" w:eastAsia="zh-CN"/>
        </w:rPr>
        <w:t>3</w:t>
      </w:r>
      <w:r>
        <w:rPr>
          <w:rFonts w:hint="eastAsia"/>
          <w:color w:val="auto"/>
          <w:lang w:val="en-US" w:eastAsia="zh-CN"/>
        </w:rPr>
        <w:t>/d，设计进水浓度80000mg/L。现有工程废水处理量为14.77m</w:t>
      </w:r>
      <w:r>
        <w:rPr>
          <w:rFonts w:hint="eastAsia"/>
          <w:color w:val="auto"/>
          <w:vertAlign w:val="superscript"/>
          <w:lang w:val="en-US" w:eastAsia="zh-CN"/>
        </w:rPr>
        <w:t>3</w:t>
      </w:r>
      <w:r>
        <w:rPr>
          <w:rFonts w:hint="eastAsia"/>
          <w:color w:val="auto"/>
          <w:lang w:val="en-US" w:eastAsia="zh-CN"/>
        </w:rPr>
        <w:t>/d，加上本次技改项目排放，废水量为24.56m</w:t>
      </w:r>
      <w:r>
        <w:rPr>
          <w:rFonts w:hint="eastAsia"/>
          <w:color w:val="auto"/>
          <w:vertAlign w:val="superscript"/>
          <w:lang w:val="en-US" w:eastAsia="zh-CN"/>
        </w:rPr>
        <w:t>3</w:t>
      </w:r>
      <w:r>
        <w:rPr>
          <w:rFonts w:hint="eastAsia"/>
          <w:color w:val="auto"/>
          <w:lang w:val="en-US" w:eastAsia="zh-CN"/>
        </w:rPr>
        <w:t>/d，没有超过厂区污水处理站设计处理能力。项目废水水量和水质均能满足厂区现有污水处理站进水要求。因此本次废水依托现有污水处理站预处理可行。</w:t>
      </w:r>
    </w:p>
    <w:p>
      <w:pPr>
        <w:pStyle w:val="33"/>
        <w:bidi w:val="0"/>
        <w:rPr>
          <w:rFonts w:hint="default"/>
          <w:color w:val="auto"/>
          <w:lang w:val="en-US" w:eastAsia="zh-CN"/>
        </w:rPr>
        <w:sectPr>
          <w:pgSz w:w="11906" w:h="16838"/>
          <w:pgMar w:top="1417" w:right="1304" w:bottom="1417" w:left="130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30"/>
        <w:bidi w:val="0"/>
        <w:jc w:val="center"/>
        <w:rPr>
          <w:rFonts w:hint="default"/>
          <w:color w:val="auto"/>
          <w:lang w:val="en-US" w:eastAsia="zh-CN"/>
        </w:rPr>
      </w:pPr>
      <w:bookmarkStart w:id="90" w:name="_Toc13461"/>
      <w:bookmarkStart w:id="91" w:name="_Toc15512"/>
      <w:r>
        <w:rPr>
          <w:rFonts w:hint="eastAsia"/>
          <w:color w:val="auto"/>
          <w:lang w:val="en-US" w:eastAsia="zh-CN"/>
        </w:rPr>
        <w:t>5、工程分析</w:t>
      </w:r>
      <w:bookmarkEnd w:id="90"/>
      <w:bookmarkEnd w:id="91"/>
    </w:p>
    <w:p>
      <w:pPr>
        <w:pStyle w:val="31"/>
        <w:bidi w:val="0"/>
        <w:rPr>
          <w:rFonts w:hint="eastAsia"/>
          <w:color w:val="auto"/>
          <w:lang w:val="en-US" w:eastAsia="zh-CN"/>
        </w:rPr>
      </w:pPr>
      <w:bookmarkStart w:id="92" w:name="_Toc14396"/>
      <w:bookmarkStart w:id="93" w:name="_Toc9759"/>
      <w:r>
        <w:rPr>
          <w:rFonts w:hint="eastAsia"/>
          <w:color w:val="auto"/>
          <w:lang w:val="en-US" w:eastAsia="zh-CN"/>
        </w:rPr>
        <w:t>5.1施工期污染工序及产污环节分析</w:t>
      </w:r>
      <w:bookmarkEnd w:id="92"/>
      <w:bookmarkEnd w:id="93"/>
    </w:p>
    <w:p>
      <w:pPr>
        <w:pStyle w:val="33"/>
        <w:bidi w:val="0"/>
        <w:rPr>
          <w:rFonts w:hint="eastAsia"/>
          <w:color w:val="auto"/>
          <w:lang w:val="en-US" w:eastAsia="zh-CN"/>
        </w:rPr>
      </w:pPr>
      <w:r>
        <w:rPr>
          <w:rFonts w:hint="eastAsia"/>
          <w:color w:val="auto"/>
          <w:lang w:val="en-US" w:eastAsia="zh-CN"/>
        </w:rPr>
        <w:t>项目不新增用地，施工期无土建工程，仅安装一套酯化反应塔设施。施工期非常短，施工期主要环境影响为安装设备时产生的噪声，施工期影响较小。本次评价不在具体分析施工期环境影响。</w:t>
      </w:r>
    </w:p>
    <w:p>
      <w:pPr>
        <w:pStyle w:val="31"/>
        <w:bidi w:val="0"/>
        <w:rPr>
          <w:rFonts w:hint="eastAsia"/>
          <w:color w:val="auto"/>
          <w:lang w:val="en-US" w:eastAsia="zh-CN"/>
        </w:rPr>
      </w:pPr>
      <w:bookmarkStart w:id="94" w:name="_Toc12236"/>
      <w:bookmarkStart w:id="95" w:name="_Toc31201"/>
      <w:r>
        <w:rPr>
          <w:rFonts w:hint="eastAsia"/>
          <w:color w:val="auto"/>
          <w:lang w:val="en-US" w:eastAsia="zh-CN"/>
        </w:rPr>
        <w:t>5.2运营期污染工序及产污环节分析</w:t>
      </w:r>
      <w:bookmarkEnd w:id="94"/>
      <w:bookmarkEnd w:id="95"/>
    </w:p>
    <w:p>
      <w:pPr>
        <w:pStyle w:val="32"/>
        <w:bidi w:val="0"/>
        <w:rPr>
          <w:rFonts w:hint="eastAsia"/>
          <w:color w:val="auto"/>
          <w:lang w:val="en-US" w:eastAsia="zh-CN"/>
        </w:rPr>
      </w:pPr>
      <w:bookmarkStart w:id="96" w:name="_Toc32255"/>
      <w:r>
        <w:rPr>
          <w:rFonts w:hint="eastAsia"/>
          <w:color w:val="auto"/>
          <w:lang w:val="en-US" w:eastAsia="zh-CN"/>
        </w:rPr>
        <w:t>5.2.1生产规律</w:t>
      </w:r>
      <w:bookmarkEnd w:id="96"/>
    </w:p>
    <w:p>
      <w:pPr>
        <w:pStyle w:val="33"/>
        <w:bidi w:val="0"/>
        <w:rPr>
          <w:rFonts w:hint="eastAsia"/>
          <w:color w:val="auto"/>
          <w:lang w:val="en-US" w:eastAsia="zh-CN"/>
        </w:rPr>
      </w:pPr>
      <w:r>
        <w:rPr>
          <w:rFonts w:hint="eastAsia"/>
          <w:color w:val="auto"/>
          <w:lang w:val="en-US" w:eastAsia="zh-CN"/>
        </w:rPr>
        <w:t>本项目产品为碳酸二甲酯和醋酸甲酯，主要工艺原理为萃取、蒸馏、酯化反应。各产品生产规律及生产批次情况见下表5.2-1。</w:t>
      </w:r>
    </w:p>
    <w:p>
      <w:pPr>
        <w:pStyle w:val="36"/>
        <w:bidi w:val="0"/>
        <w:rPr>
          <w:rFonts w:hint="eastAsia"/>
          <w:color w:val="auto"/>
          <w:lang w:val="en-US" w:eastAsia="zh-CN"/>
        </w:rPr>
      </w:pPr>
      <w:r>
        <w:rPr>
          <w:rFonts w:hint="eastAsia"/>
          <w:color w:val="auto"/>
          <w:lang w:val="en-US" w:eastAsia="zh-CN"/>
        </w:rPr>
        <w:t>表5.2-1 本项目产品生产规律及生产批次情况一览表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72"/>
        <w:gridCol w:w="2378"/>
        <w:gridCol w:w="2380"/>
        <w:gridCol w:w="2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247" w:type="pct"/>
            <w:tcBorders>
              <w:tl2br w:val="nil"/>
              <w:tr2bl w:val="nil"/>
            </w:tcBorders>
            <w:noWrap w:val="0"/>
            <w:vAlign w:val="top"/>
          </w:tcPr>
          <w:p>
            <w:pPr>
              <w:pStyle w:val="35"/>
              <w:bidi w:val="0"/>
              <w:rPr>
                <w:rFonts w:hint="default"/>
                <w:b/>
                <w:bCs/>
                <w:color w:val="auto"/>
                <w:u w:val="single"/>
                <w:lang w:val="en-US" w:eastAsia="zh-CN"/>
              </w:rPr>
            </w:pPr>
            <w:r>
              <w:rPr>
                <w:rFonts w:hint="eastAsia"/>
                <w:b/>
                <w:bCs/>
                <w:color w:val="auto"/>
                <w:u w:val="single"/>
                <w:lang w:val="en-US" w:eastAsia="zh-CN"/>
              </w:rPr>
              <w:t>产品名称</w:t>
            </w:r>
          </w:p>
        </w:tc>
        <w:tc>
          <w:tcPr>
            <w:tcW w:w="1250" w:type="pct"/>
            <w:tcBorders>
              <w:tl2br w:val="nil"/>
              <w:tr2bl w:val="nil"/>
            </w:tcBorders>
            <w:noWrap w:val="0"/>
            <w:vAlign w:val="top"/>
          </w:tcPr>
          <w:p>
            <w:pPr>
              <w:pStyle w:val="35"/>
              <w:bidi w:val="0"/>
              <w:rPr>
                <w:rFonts w:hint="default"/>
                <w:b/>
                <w:bCs/>
                <w:color w:val="auto"/>
                <w:u w:val="single"/>
                <w:lang w:val="en-US" w:eastAsia="zh-CN"/>
              </w:rPr>
            </w:pPr>
            <w:r>
              <w:rPr>
                <w:rFonts w:hint="eastAsia"/>
                <w:b/>
                <w:bCs/>
                <w:color w:val="auto"/>
                <w:u w:val="single"/>
                <w:lang w:val="en-US" w:eastAsia="zh-CN"/>
              </w:rPr>
              <w:t>生产周期</w:t>
            </w:r>
          </w:p>
        </w:tc>
        <w:tc>
          <w:tcPr>
            <w:tcW w:w="1251" w:type="pct"/>
            <w:tcBorders>
              <w:tl2br w:val="nil"/>
              <w:tr2bl w:val="nil"/>
            </w:tcBorders>
            <w:noWrap w:val="0"/>
            <w:vAlign w:val="top"/>
          </w:tcPr>
          <w:p>
            <w:pPr>
              <w:pStyle w:val="35"/>
              <w:bidi w:val="0"/>
              <w:rPr>
                <w:rFonts w:hint="default"/>
                <w:b/>
                <w:bCs/>
                <w:color w:val="auto"/>
                <w:u w:val="single"/>
                <w:lang w:val="en-US" w:eastAsia="zh-CN"/>
              </w:rPr>
            </w:pPr>
            <w:r>
              <w:rPr>
                <w:rFonts w:hint="eastAsia"/>
                <w:b/>
                <w:bCs/>
                <w:color w:val="auto"/>
                <w:u w:val="single"/>
                <w:lang w:val="en-US" w:eastAsia="zh-CN"/>
              </w:rPr>
              <w:t>总生产时间</w:t>
            </w:r>
          </w:p>
        </w:tc>
        <w:tc>
          <w:tcPr>
            <w:tcW w:w="1251" w:type="pct"/>
            <w:tcBorders>
              <w:tl2br w:val="nil"/>
              <w:tr2bl w:val="nil"/>
            </w:tcBorders>
            <w:noWrap w:val="0"/>
            <w:vAlign w:val="top"/>
          </w:tcPr>
          <w:p>
            <w:pPr>
              <w:pStyle w:val="35"/>
              <w:bidi w:val="0"/>
              <w:rPr>
                <w:rFonts w:hint="default"/>
                <w:b/>
                <w:bCs/>
                <w:color w:val="auto"/>
                <w:u w:val="single"/>
                <w:lang w:val="en-US" w:eastAsia="zh-CN"/>
              </w:rPr>
            </w:pPr>
            <w:r>
              <w:rPr>
                <w:rFonts w:hint="eastAsia"/>
                <w:b/>
                <w:bCs/>
                <w:color w:val="auto"/>
                <w:u w:val="single"/>
                <w:lang w:val="en-US" w:eastAsia="zh-CN"/>
              </w:rPr>
              <w:t>生产规模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247" w:type="pct"/>
            <w:tcBorders>
              <w:tl2br w:val="nil"/>
              <w:tr2bl w:val="nil"/>
            </w:tcBorders>
            <w:noWrap w:val="0"/>
            <w:vAlign w:val="top"/>
          </w:tcPr>
          <w:p>
            <w:pPr>
              <w:pStyle w:val="35"/>
              <w:bidi w:val="0"/>
              <w:rPr>
                <w:rFonts w:hint="default"/>
                <w:color w:val="auto"/>
                <w:u w:val="single"/>
                <w:lang w:val="en-US" w:eastAsia="zh-CN"/>
              </w:rPr>
            </w:pPr>
            <w:r>
              <w:rPr>
                <w:rFonts w:hint="eastAsia"/>
                <w:color w:val="auto"/>
                <w:u w:val="single"/>
                <w:lang w:val="en-US" w:eastAsia="zh-CN"/>
              </w:rPr>
              <w:t>碳酸二甲酯</w:t>
            </w:r>
          </w:p>
        </w:tc>
        <w:tc>
          <w:tcPr>
            <w:tcW w:w="1250" w:type="pct"/>
            <w:tcBorders>
              <w:tl2br w:val="nil"/>
              <w:tr2bl w:val="nil"/>
            </w:tcBorders>
            <w:noWrap w:val="0"/>
            <w:vAlign w:val="top"/>
          </w:tcPr>
          <w:p>
            <w:pPr>
              <w:pStyle w:val="35"/>
              <w:bidi w:val="0"/>
              <w:rPr>
                <w:rFonts w:hint="default"/>
                <w:color w:val="auto"/>
                <w:u w:val="single"/>
                <w:lang w:val="en-US" w:eastAsia="zh-CN"/>
              </w:rPr>
            </w:pPr>
            <w:r>
              <w:rPr>
                <w:rFonts w:hint="eastAsia"/>
                <w:color w:val="auto"/>
                <w:u w:val="single"/>
                <w:lang w:val="en-US" w:eastAsia="zh-CN"/>
              </w:rPr>
              <w:t>连续生产</w:t>
            </w:r>
          </w:p>
        </w:tc>
        <w:tc>
          <w:tcPr>
            <w:tcW w:w="1251" w:type="pct"/>
            <w:tcBorders>
              <w:tl2br w:val="nil"/>
              <w:tr2bl w:val="nil"/>
            </w:tcBorders>
            <w:noWrap w:val="0"/>
            <w:vAlign w:val="top"/>
          </w:tcPr>
          <w:p>
            <w:pPr>
              <w:pStyle w:val="35"/>
              <w:bidi w:val="0"/>
              <w:rPr>
                <w:rFonts w:hint="default"/>
                <w:color w:val="auto"/>
                <w:u w:val="single"/>
                <w:lang w:val="en-US" w:eastAsia="zh-CN"/>
              </w:rPr>
            </w:pPr>
            <w:r>
              <w:rPr>
                <w:rFonts w:hint="eastAsia"/>
                <w:color w:val="auto"/>
                <w:u w:val="single"/>
                <w:lang w:val="en-US" w:eastAsia="zh-CN"/>
              </w:rPr>
              <w:t>7920h</w:t>
            </w:r>
          </w:p>
        </w:tc>
        <w:tc>
          <w:tcPr>
            <w:tcW w:w="1251" w:type="pct"/>
            <w:tcBorders>
              <w:tl2br w:val="nil"/>
              <w:tr2bl w:val="nil"/>
            </w:tcBorders>
            <w:noWrap w:val="0"/>
            <w:vAlign w:val="top"/>
          </w:tcPr>
          <w:p>
            <w:pPr>
              <w:pStyle w:val="35"/>
              <w:bidi w:val="0"/>
              <w:rPr>
                <w:rFonts w:hint="default"/>
                <w:color w:val="auto"/>
                <w:u w:val="single"/>
                <w:lang w:val="en-US" w:eastAsia="zh-CN"/>
              </w:rPr>
            </w:pPr>
            <w:r>
              <w:rPr>
                <w:rFonts w:hint="eastAsia"/>
                <w:color w:val="auto"/>
                <w:u w:val="single"/>
                <w:lang w:val="en-US" w:eastAsia="zh-CN"/>
              </w:rPr>
              <w:t>15000t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247" w:type="pct"/>
            <w:tcBorders>
              <w:tl2br w:val="nil"/>
              <w:tr2bl w:val="nil"/>
            </w:tcBorders>
            <w:noWrap w:val="0"/>
            <w:vAlign w:val="top"/>
          </w:tcPr>
          <w:p>
            <w:pPr>
              <w:pStyle w:val="35"/>
              <w:bidi w:val="0"/>
              <w:rPr>
                <w:rFonts w:hint="default"/>
                <w:color w:val="auto"/>
                <w:u w:val="single"/>
                <w:lang w:val="en-US" w:eastAsia="zh-CN"/>
              </w:rPr>
            </w:pPr>
            <w:r>
              <w:rPr>
                <w:rFonts w:hint="eastAsia"/>
                <w:color w:val="auto"/>
                <w:u w:val="single"/>
                <w:lang w:val="en-US" w:eastAsia="zh-CN"/>
              </w:rPr>
              <w:t>醋酸甲酯</w:t>
            </w:r>
          </w:p>
        </w:tc>
        <w:tc>
          <w:tcPr>
            <w:tcW w:w="1250" w:type="pct"/>
            <w:tcBorders>
              <w:tl2br w:val="nil"/>
              <w:tr2bl w:val="nil"/>
            </w:tcBorders>
            <w:noWrap w:val="0"/>
            <w:vAlign w:val="top"/>
          </w:tcPr>
          <w:p>
            <w:pPr>
              <w:pStyle w:val="35"/>
              <w:bidi w:val="0"/>
              <w:rPr>
                <w:rFonts w:hint="eastAsia"/>
                <w:color w:val="auto"/>
                <w:u w:val="single"/>
                <w:lang w:val="en-US" w:eastAsia="zh-CN"/>
              </w:rPr>
            </w:pPr>
            <w:r>
              <w:rPr>
                <w:rFonts w:hint="eastAsia"/>
                <w:color w:val="auto"/>
                <w:u w:val="single"/>
                <w:lang w:val="en-US" w:eastAsia="zh-CN"/>
              </w:rPr>
              <w:t>连续生产</w:t>
            </w:r>
          </w:p>
        </w:tc>
        <w:tc>
          <w:tcPr>
            <w:tcW w:w="1251" w:type="pct"/>
            <w:tcBorders>
              <w:tl2br w:val="nil"/>
              <w:tr2bl w:val="nil"/>
            </w:tcBorders>
            <w:noWrap w:val="0"/>
            <w:vAlign w:val="top"/>
          </w:tcPr>
          <w:p>
            <w:pPr>
              <w:pStyle w:val="35"/>
              <w:bidi w:val="0"/>
              <w:rPr>
                <w:rFonts w:hint="default"/>
                <w:color w:val="auto"/>
                <w:u w:val="single"/>
                <w:lang w:val="en-US" w:eastAsia="zh-CN"/>
              </w:rPr>
            </w:pPr>
            <w:r>
              <w:rPr>
                <w:rFonts w:hint="eastAsia"/>
                <w:color w:val="auto"/>
                <w:u w:val="single"/>
                <w:lang w:val="en-US" w:eastAsia="zh-CN"/>
              </w:rPr>
              <w:t>7920h</w:t>
            </w:r>
          </w:p>
        </w:tc>
        <w:tc>
          <w:tcPr>
            <w:tcW w:w="1251" w:type="pct"/>
            <w:tcBorders>
              <w:tl2br w:val="nil"/>
              <w:tr2bl w:val="nil"/>
            </w:tcBorders>
            <w:noWrap w:val="0"/>
            <w:vAlign w:val="top"/>
          </w:tcPr>
          <w:p>
            <w:pPr>
              <w:pStyle w:val="35"/>
              <w:bidi w:val="0"/>
              <w:rPr>
                <w:rFonts w:hint="default"/>
                <w:color w:val="auto"/>
                <w:u w:val="single"/>
                <w:lang w:val="en-US" w:eastAsia="zh-CN"/>
              </w:rPr>
            </w:pPr>
            <w:r>
              <w:rPr>
                <w:rFonts w:hint="eastAsia"/>
                <w:color w:val="auto"/>
                <w:u w:val="single"/>
                <w:lang w:val="en-US" w:eastAsia="zh-CN"/>
              </w:rPr>
              <w:t>10000t</w:t>
            </w:r>
          </w:p>
        </w:tc>
      </w:tr>
    </w:tbl>
    <w:p>
      <w:pPr>
        <w:pStyle w:val="32"/>
        <w:bidi w:val="0"/>
        <w:rPr>
          <w:rFonts w:hint="default"/>
          <w:color w:val="auto"/>
          <w:lang w:val="en-US" w:eastAsia="zh-CN"/>
        </w:rPr>
      </w:pPr>
      <w:bookmarkStart w:id="97" w:name="_Toc32623"/>
      <w:r>
        <w:rPr>
          <w:rFonts w:hint="eastAsia"/>
          <w:color w:val="auto"/>
          <w:lang w:val="en-US" w:eastAsia="zh-CN"/>
        </w:rPr>
        <w:t>5.2.2生产工艺</w:t>
      </w:r>
      <w:bookmarkEnd w:id="97"/>
    </w:p>
    <w:p>
      <w:pPr>
        <w:pStyle w:val="33"/>
        <w:bidi w:val="0"/>
        <w:rPr>
          <w:rFonts w:hint="eastAsia"/>
          <w:b/>
          <w:bCs/>
          <w:color w:val="auto"/>
          <w:lang w:val="en-US" w:eastAsia="zh-CN"/>
        </w:rPr>
      </w:pPr>
      <w:r>
        <w:rPr>
          <w:rFonts w:hint="eastAsia"/>
          <w:b/>
          <w:bCs/>
          <w:color w:val="auto"/>
          <w:lang w:val="en-US" w:eastAsia="zh-CN"/>
        </w:rPr>
        <w:t>本项目生产工艺流程简述：</w:t>
      </w:r>
    </w:p>
    <w:p>
      <w:pPr>
        <w:pStyle w:val="33"/>
        <w:bidi w:val="0"/>
        <w:rPr>
          <w:rFonts w:hint="eastAsia"/>
          <w:color w:val="auto"/>
          <w:lang w:val="en-US" w:eastAsia="zh-CN"/>
        </w:rPr>
      </w:pPr>
      <w:r>
        <w:rPr>
          <w:rFonts w:hint="eastAsia"/>
          <w:color w:val="auto"/>
          <w:lang w:val="en-US" w:eastAsia="zh-CN"/>
        </w:rPr>
        <w:t>外购的含甲醇等杂质的碳酸二甲酯，先经过预处理、萃取后得到碳酸二甲酯和甲醇，其中碳酸二甲酯经过蒸馏提纯后作为产品外售（产品），甲醇经过精馏后与过量醋酸发生酯化反应脱水后得到醋酸甲酯（产品）。</w:t>
      </w:r>
    </w:p>
    <w:p>
      <w:pPr>
        <w:pStyle w:val="33"/>
        <w:bidi w:val="0"/>
        <w:rPr>
          <w:rFonts w:hint="default"/>
          <w:b/>
          <w:bCs/>
          <w:color w:val="auto"/>
          <w:lang w:val="en-US" w:eastAsia="zh-CN"/>
        </w:rPr>
      </w:pPr>
      <w:r>
        <w:rPr>
          <w:rFonts w:hint="default"/>
          <w:b/>
          <w:bCs/>
          <w:color w:val="auto"/>
          <w:lang w:val="en-US" w:eastAsia="zh-CN"/>
        </w:rPr>
        <w:t>1）原料的预处理</w:t>
      </w:r>
    </w:p>
    <w:p>
      <w:pPr>
        <w:pStyle w:val="33"/>
        <w:bidi w:val="0"/>
        <w:rPr>
          <w:rFonts w:hint="eastAsia"/>
          <w:color w:val="auto"/>
          <w:lang w:val="en-US" w:eastAsia="zh-CN"/>
        </w:rPr>
      </w:pPr>
      <w:r>
        <w:rPr>
          <w:rFonts w:hint="eastAsia"/>
          <w:color w:val="auto"/>
          <w:lang w:val="en-US" w:eastAsia="zh-CN"/>
        </w:rPr>
        <w:t>粗碳酸二甲酯</w:t>
      </w:r>
      <w:r>
        <w:rPr>
          <w:rFonts w:hint="default"/>
          <w:color w:val="auto"/>
          <w:lang w:val="en-US" w:eastAsia="zh-CN"/>
        </w:rPr>
        <w:t>物料中含有乙醛酸，如不预先除去将会产生固体结晶，堵塞管道。</w:t>
      </w:r>
      <w:r>
        <w:rPr>
          <w:rFonts w:hint="eastAsia"/>
          <w:color w:val="auto"/>
          <w:lang w:val="en-US" w:eastAsia="zh-CN"/>
        </w:rPr>
        <w:t>项目使用等离子交换树脂吸附乙醛酸，原料通过等离子交换树脂装置后，去除原料中的乙醛酸。</w:t>
      </w:r>
    </w:p>
    <w:p>
      <w:pPr>
        <w:pStyle w:val="33"/>
        <w:bidi w:val="0"/>
        <w:rPr>
          <w:rFonts w:hint="eastAsia"/>
          <w:color w:val="auto"/>
          <w:lang w:val="en-US" w:eastAsia="zh-CN"/>
        </w:rPr>
      </w:pPr>
      <w:r>
        <w:rPr>
          <w:rFonts w:hint="eastAsia"/>
          <w:color w:val="auto"/>
          <w:lang w:val="en-US" w:eastAsia="zh-CN"/>
        </w:rPr>
        <w:t>等离子交换树脂吸附达到饱和后再用清水进行清洗，清洗废水进入污水处理站处理。树脂达到使用寿命后，根据树脂厂家提供资料，树脂约2年一换，废弃树脂交由有资质单位处理。</w:t>
      </w:r>
    </w:p>
    <w:p>
      <w:pPr>
        <w:pStyle w:val="33"/>
        <w:bidi w:val="0"/>
        <w:rPr>
          <w:rFonts w:hint="eastAsia"/>
          <w:b/>
          <w:bCs/>
          <w:color w:val="auto"/>
          <w:lang w:val="en-US" w:eastAsia="zh-CN"/>
        </w:rPr>
      </w:pPr>
      <w:r>
        <w:rPr>
          <w:rFonts w:hint="default"/>
          <w:b/>
          <w:bCs/>
          <w:color w:val="auto"/>
          <w:lang w:val="en-US" w:eastAsia="zh-CN"/>
        </w:rPr>
        <w:t>2）</w:t>
      </w:r>
      <w:r>
        <w:rPr>
          <w:rFonts w:hint="eastAsia"/>
          <w:b/>
          <w:bCs/>
          <w:color w:val="auto"/>
          <w:lang w:val="en-US" w:eastAsia="zh-CN"/>
        </w:rPr>
        <w:t>萃取</w:t>
      </w:r>
    </w:p>
    <w:p>
      <w:pPr>
        <w:pStyle w:val="33"/>
        <w:bidi w:val="0"/>
        <w:rPr>
          <w:rFonts w:hint="eastAsia"/>
          <w:color w:val="auto"/>
          <w:lang w:val="en-US" w:eastAsia="zh-CN"/>
        </w:rPr>
      </w:pPr>
      <w:r>
        <w:rPr>
          <w:rFonts w:hint="default"/>
          <w:color w:val="auto"/>
          <w:lang w:val="en-US" w:eastAsia="zh-CN"/>
        </w:rPr>
        <w:t>进过预处理出来的物料中含有甲醇，</w:t>
      </w:r>
      <w:r>
        <w:rPr>
          <w:rFonts w:hint="eastAsia"/>
          <w:color w:val="auto"/>
          <w:lang w:val="en-US" w:eastAsia="zh-CN"/>
        </w:rPr>
        <w:t>利用在盐水中溶解度不同，</w:t>
      </w:r>
      <w:r>
        <w:rPr>
          <w:rFonts w:hint="default"/>
          <w:color w:val="auto"/>
          <w:lang w:val="en-US" w:eastAsia="zh-CN"/>
        </w:rPr>
        <w:t>通过萃取分离，萃取剂</w:t>
      </w:r>
      <w:r>
        <w:rPr>
          <w:rFonts w:hint="eastAsia"/>
          <w:color w:val="auto"/>
          <w:lang w:val="en-US" w:eastAsia="zh-CN"/>
        </w:rPr>
        <w:t>为58%NaCl溶液</w:t>
      </w:r>
      <w:r>
        <w:rPr>
          <w:rFonts w:hint="default"/>
          <w:color w:val="auto"/>
          <w:lang w:val="en-US" w:eastAsia="zh-CN"/>
        </w:rPr>
        <w:t>。</w:t>
      </w:r>
      <w:r>
        <w:rPr>
          <w:rFonts w:hint="eastAsia"/>
          <w:color w:val="auto"/>
          <w:lang w:val="en-US" w:eastAsia="zh-CN"/>
        </w:rPr>
        <w:t>甲醇进入萃取相，进入下一步甲醇蒸馏塔工艺；萃余相（主要为碳酸二甲酯）进入下一步提纯工艺。</w:t>
      </w:r>
    </w:p>
    <w:p>
      <w:pPr>
        <w:pStyle w:val="33"/>
        <w:bidi w:val="0"/>
        <w:rPr>
          <w:rFonts w:hint="eastAsia"/>
          <w:b/>
          <w:bCs/>
          <w:color w:val="auto"/>
          <w:lang w:val="en-US" w:eastAsia="zh-CN"/>
        </w:rPr>
      </w:pPr>
      <w:r>
        <w:rPr>
          <w:rFonts w:hint="eastAsia"/>
          <w:b/>
          <w:bCs/>
          <w:color w:val="auto"/>
          <w:lang w:val="en-US" w:eastAsia="zh-CN"/>
        </w:rPr>
        <w:t>3）甲醇蒸馏</w:t>
      </w:r>
    </w:p>
    <w:p>
      <w:pPr>
        <w:pStyle w:val="33"/>
        <w:bidi w:val="0"/>
        <w:rPr>
          <w:rFonts w:hint="default"/>
          <w:color w:val="auto"/>
          <w:lang w:val="en-US" w:eastAsia="zh-CN"/>
        </w:rPr>
      </w:pPr>
      <w:r>
        <w:rPr>
          <w:rFonts w:hint="eastAsia"/>
          <w:color w:val="auto"/>
          <w:lang w:val="en-US" w:eastAsia="zh-CN"/>
        </w:rPr>
        <w:t>萃取相（含甲醇）通过甲醇蒸馏塔，利用甲醇和盐水沸点不同，将蒸馏装置缓慢升温至105℃，将甲醇从塔顶蒸出，冷凝回收后暂存于甲醇罐内（容积40m</w:t>
      </w:r>
      <w:r>
        <w:rPr>
          <w:rFonts w:hint="eastAsia"/>
          <w:color w:val="auto"/>
          <w:vertAlign w:val="superscript"/>
          <w:lang w:val="en-US" w:eastAsia="zh-CN"/>
        </w:rPr>
        <w:t>3</w:t>
      </w:r>
      <w:r>
        <w:rPr>
          <w:rFonts w:hint="eastAsia"/>
          <w:color w:val="auto"/>
          <w:lang w:val="en-US" w:eastAsia="zh-CN"/>
        </w:rPr>
        <w:t>），用于后续酯化反应。剩余的萃取剂通过塔釜输出后，回用于萃取工序。此工序污染物主要为少量冷凝不凝气G1（主要成分为甲醇）。</w:t>
      </w:r>
    </w:p>
    <w:p>
      <w:pPr>
        <w:pStyle w:val="33"/>
        <w:bidi w:val="0"/>
        <w:rPr>
          <w:rFonts w:hint="default"/>
          <w:b/>
          <w:bCs/>
          <w:color w:val="auto"/>
          <w:lang w:val="en-US" w:eastAsia="zh-CN"/>
        </w:rPr>
      </w:pPr>
      <w:r>
        <w:rPr>
          <w:rFonts w:hint="eastAsia"/>
          <w:b/>
          <w:bCs/>
          <w:color w:val="auto"/>
          <w:lang w:val="en-US" w:eastAsia="zh-CN"/>
        </w:rPr>
        <w:t>4</w:t>
      </w:r>
      <w:r>
        <w:rPr>
          <w:rFonts w:hint="default"/>
          <w:b/>
          <w:bCs/>
          <w:color w:val="auto"/>
          <w:lang w:val="en-US" w:eastAsia="zh-CN"/>
        </w:rPr>
        <w:t>）低沸</w:t>
      </w:r>
      <w:r>
        <w:rPr>
          <w:rFonts w:hint="eastAsia"/>
          <w:b/>
          <w:bCs/>
          <w:color w:val="auto"/>
          <w:lang w:val="en-US" w:eastAsia="zh-CN"/>
        </w:rPr>
        <w:t>精馏</w:t>
      </w:r>
    </w:p>
    <w:p>
      <w:pPr>
        <w:pStyle w:val="33"/>
        <w:bidi w:val="0"/>
        <w:rPr>
          <w:rFonts w:hint="eastAsia"/>
          <w:color w:val="auto"/>
          <w:lang w:val="en-US" w:eastAsia="zh-CN"/>
        </w:rPr>
      </w:pPr>
      <w:r>
        <w:rPr>
          <w:rFonts w:hint="default"/>
          <w:color w:val="auto"/>
          <w:lang w:val="en-US" w:eastAsia="zh-CN"/>
        </w:rPr>
        <w:t>萃取出甲醇后的萃余相主要为碳酸二甲酯，仍含有少量的甲醇及其他杂质，需经过精馏进行分离。</w:t>
      </w:r>
      <w:r>
        <w:rPr>
          <w:rFonts w:hint="eastAsia"/>
          <w:color w:val="auto"/>
          <w:lang w:val="en-US" w:eastAsia="zh-CN"/>
        </w:rPr>
        <w:t>利用原料中各物质沸点不同，将精馏装置升温至95℃，少部分杂质（主要成分为碳酸二甲酯、甲醇和水）通过釜顶冷凝回收后回用于预处理工序前，塔釜输出碳酸二甲酯至下一步工序处理，此工序产生少量冷凝不凝气G2（主要成分为碳酸二甲酯、甲醇和水）。</w:t>
      </w:r>
    </w:p>
    <w:p>
      <w:pPr>
        <w:pStyle w:val="33"/>
        <w:bidi w:val="0"/>
        <w:rPr>
          <w:rFonts w:hint="default"/>
          <w:b/>
          <w:bCs/>
          <w:color w:val="auto"/>
          <w:lang w:val="en-US" w:eastAsia="zh-CN"/>
        </w:rPr>
      </w:pPr>
      <w:r>
        <w:rPr>
          <w:rFonts w:hint="eastAsia"/>
          <w:b/>
          <w:bCs/>
          <w:color w:val="auto"/>
          <w:lang w:val="en-US" w:eastAsia="zh-CN"/>
        </w:rPr>
        <w:t>5</w:t>
      </w:r>
      <w:r>
        <w:rPr>
          <w:rFonts w:hint="default"/>
          <w:b/>
          <w:bCs/>
          <w:color w:val="auto"/>
          <w:lang w:val="en-US" w:eastAsia="zh-CN"/>
        </w:rPr>
        <w:t>）高沸</w:t>
      </w:r>
      <w:r>
        <w:rPr>
          <w:rFonts w:hint="eastAsia"/>
          <w:b/>
          <w:bCs/>
          <w:color w:val="auto"/>
          <w:lang w:val="en-US" w:eastAsia="zh-CN"/>
        </w:rPr>
        <w:t>精馏</w:t>
      </w:r>
    </w:p>
    <w:p>
      <w:pPr>
        <w:pStyle w:val="33"/>
        <w:bidi w:val="0"/>
        <w:rPr>
          <w:rFonts w:hint="eastAsia"/>
          <w:color w:val="auto"/>
          <w:lang w:val="en-US" w:eastAsia="zh-CN"/>
        </w:rPr>
      </w:pPr>
      <w:r>
        <w:rPr>
          <w:rFonts w:hint="default"/>
          <w:color w:val="auto"/>
          <w:lang w:val="en-US" w:eastAsia="zh-CN"/>
        </w:rPr>
        <w:t>经过低沸塔除去低沸物以后的物料，还含有草酸二甲酯等高</w:t>
      </w:r>
      <w:r>
        <w:rPr>
          <w:rFonts w:hint="eastAsia"/>
          <w:color w:val="auto"/>
          <w:lang w:val="en-US" w:eastAsia="zh-CN"/>
        </w:rPr>
        <w:t>沸</w:t>
      </w:r>
      <w:r>
        <w:rPr>
          <w:rFonts w:hint="default"/>
          <w:color w:val="auto"/>
          <w:lang w:val="en-US" w:eastAsia="zh-CN"/>
        </w:rPr>
        <w:t>物，送入到高沸塔，</w:t>
      </w:r>
      <w:r>
        <w:rPr>
          <w:rFonts w:hint="eastAsia"/>
          <w:color w:val="auto"/>
          <w:lang w:val="en-US" w:eastAsia="zh-CN"/>
        </w:rPr>
        <w:t>进行精馏分离，将精馏装置升温至100℃，</w:t>
      </w:r>
      <w:r>
        <w:rPr>
          <w:rFonts w:hint="default"/>
          <w:color w:val="auto"/>
          <w:lang w:val="en-US" w:eastAsia="zh-CN"/>
        </w:rPr>
        <w:t>通过精馏</w:t>
      </w:r>
      <w:r>
        <w:rPr>
          <w:rFonts w:hint="eastAsia"/>
          <w:color w:val="auto"/>
          <w:lang w:val="en-US" w:eastAsia="zh-CN"/>
        </w:rPr>
        <w:t>将碳酸二甲酯产品通过塔顶冷凝回收后储存做产品出售，塔釜输出的高沸物质草酸二甲酯做溶剂卖出，此工序产生少量冷凝不凝气废气G3（主要成分为碳酸二甲酯）。</w:t>
      </w:r>
    </w:p>
    <w:p>
      <w:pPr>
        <w:pStyle w:val="33"/>
        <w:bidi w:val="0"/>
        <w:rPr>
          <w:rFonts w:hint="eastAsia"/>
          <w:b/>
          <w:bCs/>
          <w:color w:val="auto"/>
          <w:lang w:val="en-US" w:eastAsia="zh-CN"/>
        </w:rPr>
      </w:pPr>
      <w:r>
        <w:rPr>
          <w:rFonts w:hint="eastAsia"/>
          <w:b/>
          <w:bCs/>
          <w:color w:val="auto"/>
          <w:lang w:val="en-US" w:eastAsia="zh-CN"/>
        </w:rPr>
        <w:t>6）酯化</w:t>
      </w:r>
    </w:p>
    <w:p>
      <w:pPr>
        <w:pStyle w:val="33"/>
        <w:bidi w:val="0"/>
        <w:rPr>
          <w:rFonts w:hint="default" w:eastAsia="宋体"/>
          <w:color w:val="auto"/>
          <w:lang w:val="en-US" w:eastAsia="zh-CN"/>
        </w:rPr>
      </w:pPr>
      <w:bookmarkStart w:id="98" w:name="_Hlk534700129"/>
      <w:r>
        <w:rPr>
          <w:rFonts w:hint="eastAsia"/>
          <w:color w:val="auto"/>
        </w:rPr>
        <w:t>酯化反应以甲醇和醋酸为原料</w:t>
      </w:r>
      <w:r>
        <w:rPr>
          <w:rFonts w:hint="eastAsia"/>
          <w:color w:val="auto"/>
          <w:lang w:eastAsia="zh-CN"/>
        </w:rPr>
        <w:t>，</w:t>
      </w:r>
      <w:r>
        <w:rPr>
          <w:rFonts w:hint="eastAsia"/>
          <w:color w:val="auto"/>
        </w:rPr>
        <w:t>以对甲苯磺酸为催化剂，在10</w:t>
      </w:r>
      <w:r>
        <w:rPr>
          <w:rFonts w:hint="eastAsia"/>
          <w:color w:val="auto"/>
          <w:lang w:val="en-US" w:eastAsia="zh-CN"/>
        </w:rPr>
        <w:t>m</w:t>
      </w:r>
      <w:r>
        <w:rPr>
          <w:rFonts w:hint="eastAsia"/>
          <w:color w:val="auto"/>
          <w:vertAlign w:val="superscript"/>
        </w:rPr>
        <w:t>3</w:t>
      </w:r>
      <w:r>
        <w:rPr>
          <w:rFonts w:hint="eastAsia"/>
          <w:color w:val="auto"/>
        </w:rPr>
        <w:t>的酯化釜内完成。</w:t>
      </w:r>
      <w:r>
        <w:rPr>
          <w:rFonts w:hint="eastAsia"/>
          <w:color w:val="auto"/>
          <w:lang w:val="en-US" w:eastAsia="zh-CN"/>
        </w:rPr>
        <w:t>甲醇蒸馏提纯后暂存于甲醇罐内，与外购醋酸进行反应</w:t>
      </w:r>
      <w:r>
        <w:rPr>
          <w:rFonts w:hint="eastAsia"/>
          <w:color w:val="auto"/>
        </w:rPr>
        <w:t>，反应压力常压</w:t>
      </w:r>
      <w:r>
        <w:rPr>
          <w:rFonts w:hint="eastAsia"/>
          <w:color w:val="auto"/>
          <w:lang w:eastAsia="zh-CN"/>
        </w:rPr>
        <w:t>，</w:t>
      </w:r>
      <w:r>
        <w:rPr>
          <w:rFonts w:hint="eastAsia"/>
          <w:color w:val="auto"/>
        </w:rPr>
        <w:t>反应温度90-105℃。在酯化釜中发生酯化反应生成醋酸甲酯和水。</w:t>
      </w:r>
      <w:r>
        <w:rPr>
          <w:rFonts w:hint="eastAsia"/>
          <w:color w:val="auto"/>
          <w:lang w:val="en-US" w:eastAsia="zh-CN"/>
        </w:rPr>
        <w:t>根据可研报告，反应转化率为70%。主要污染物为酯化反应有机废水和釜渣。反应化学方程式：</w:t>
      </w:r>
    </w:p>
    <w:p>
      <w:pPr>
        <w:pStyle w:val="33"/>
        <w:bidi w:val="0"/>
        <w:ind w:left="0" w:leftChars="0" w:firstLine="0" w:firstLineChars="0"/>
        <w:rPr>
          <w:color w:val="auto"/>
        </w:rPr>
      </w:pPr>
      <w:r>
        <w:rPr>
          <w:color w:val="auto"/>
        </w:rPr>
        <w:t xml:space="preserve">     </w:t>
      </w:r>
      <w:r>
        <w:rPr>
          <w:color w:val="auto"/>
          <w:position w:val="-28"/>
        </w:rPr>
        <w:object>
          <v:shape id="_x0000_i1033" o:spt="75" type="#_x0000_t75" style="height:48.5pt;width:409.05pt;" o:ole="t" filled="f" o:preferrelative="t" stroked="f" coordsize="21600,21600">
            <v:path/>
            <v:fill on="f" focussize="0,0"/>
            <v:stroke on="f"/>
            <v:imagedata r:id="rId40" o:title=""/>
            <o:lock v:ext="edit" aspectratio="t"/>
            <w10:wrap type="none"/>
            <w10:anchorlock/>
          </v:shape>
          <o:OLEObject Type="Embed" ProgID="Equation.KSEE3" ShapeID="_x0000_i1033" DrawAspect="Content" ObjectID="_1468075733" r:id="rId39">
            <o:LockedField>false</o:LockedField>
          </o:OLEObject>
        </w:object>
      </w:r>
    </w:p>
    <w:p>
      <w:pPr>
        <w:pStyle w:val="33"/>
        <w:bidi w:val="0"/>
        <w:ind w:left="0" w:leftChars="0" w:firstLine="0" w:firstLineChars="0"/>
        <w:rPr>
          <w:color w:val="auto"/>
        </w:rPr>
      </w:pPr>
      <w:bookmarkEnd w:id="98"/>
    </w:p>
    <w:p>
      <w:pPr>
        <w:pStyle w:val="33"/>
        <w:bidi w:val="0"/>
        <w:rPr>
          <w:rFonts w:hint="eastAsia"/>
          <w:b/>
          <w:bCs/>
          <w:color w:val="auto"/>
          <w:lang w:val="en-US" w:eastAsia="zh-CN"/>
        </w:rPr>
      </w:pPr>
      <w:r>
        <w:rPr>
          <w:rFonts w:hint="eastAsia"/>
          <w:b/>
          <w:bCs/>
          <w:color w:val="auto"/>
          <w:lang w:val="en-US" w:eastAsia="zh-CN"/>
        </w:rPr>
        <w:t>6）脱水工序：</w:t>
      </w:r>
    </w:p>
    <w:p>
      <w:pPr>
        <w:pStyle w:val="33"/>
        <w:bidi w:val="0"/>
        <w:rPr>
          <w:rFonts w:hint="default"/>
          <w:color w:val="auto"/>
          <w:lang w:val="en-US" w:eastAsia="zh-CN"/>
        </w:rPr>
        <w:sectPr>
          <w:pgSz w:w="11906" w:h="16838"/>
          <w:pgMar w:top="1417" w:right="1304" w:bottom="1417" w:left="1304"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color w:val="auto"/>
          <w:lang w:val="en-US" w:eastAsia="zh-CN"/>
        </w:rPr>
        <w:t>酯化反应后含水量较大，通过设置等离子树脂装置，吸附产品中的水和杂质。等离子树脂吸附后通过密闭装置间接蒸汽加热的方式干燥后循环使用。加热工序废气G4（主要成分为水和甲醇）。</w:t>
      </w:r>
    </w:p>
    <w:p>
      <w:pPr>
        <w:pStyle w:val="33"/>
        <w:bidi w:val="0"/>
        <w:jc w:val="center"/>
        <w:rPr>
          <w:rFonts w:hint="eastAsia"/>
          <w:b/>
          <w:bCs/>
          <w:color w:val="auto"/>
          <w:lang w:val="en-US" w:eastAsia="zh-CN"/>
        </w:rPr>
      </w:pPr>
      <w:r>
        <w:rPr>
          <w:rFonts w:hint="eastAsia"/>
          <w:b/>
          <w:bCs/>
          <w:color w:val="auto"/>
          <w:lang w:val="en-US" w:eastAsia="zh-CN"/>
        </w:rPr>
        <w:object>
          <v:shape id="_x0000_i1034" o:spt="75" type="#_x0000_t75" style="height:321.6pt;width:703pt;" o:ole="t" filled="f" o:preferrelative="t" stroked="f" coordsize="21600,21600">
            <v:path/>
            <v:fill on="f" focussize="0,0"/>
            <v:stroke on="f"/>
            <v:imagedata r:id="rId42" o:title=""/>
            <o:lock v:ext="edit" aspectratio="f"/>
            <w10:wrap type="none"/>
            <w10:anchorlock/>
          </v:shape>
          <o:OLEObject Type="Embed" ProgID="Visio.Drawing.11" ShapeID="_x0000_i1034" DrawAspect="Content" ObjectID="_1468075734" r:id="rId41">
            <o:LockedField>false</o:LockedField>
          </o:OLEObject>
        </w:object>
      </w:r>
    </w:p>
    <w:p>
      <w:pPr>
        <w:pStyle w:val="36"/>
        <w:bidi w:val="0"/>
        <w:rPr>
          <w:rFonts w:hint="default"/>
          <w:color w:val="auto"/>
          <w:lang w:val="en-US" w:eastAsia="zh-CN"/>
        </w:rPr>
        <w:sectPr>
          <w:pgSz w:w="16838" w:h="11906" w:orient="landscape"/>
          <w:pgMar w:top="1304" w:right="1417" w:bottom="1304" w:left="141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color w:val="auto"/>
          <w:lang w:val="en-US" w:eastAsia="zh-CN"/>
        </w:rPr>
        <w:t>图5.2-1 项目工艺流程及产污分析图</w:t>
      </w:r>
    </w:p>
    <w:p>
      <w:pPr>
        <w:pStyle w:val="32"/>
        <w:bidi w:val="0"/>
        <w:rPr>
          <w:rFonts w:hint="default" w:ascii="Times New Roman" w:hAnsi="Times New Roman" w:eastAsia="黑体"/>
          <w:bCs/>
          <w:caps w:val="0"/>
          <w:smallCaps w:val="0"/>
          <w:color w:val="auto"/>
          <w:kern w:val="24"/>
          <w:sz w:val="24"/>
          <w:szCs w:val="24"/>
          <w:u w:val="single"/>
          <w:lang w:val="en-US" w:eastAsia="zh-CN"/>
        </w:rPr>
      </w:pPr>
      <w:bookmarkStart w:id="99" w:name="_Toc22266"/>
      <w:r>
        <w:rPr>
          <w:rFonts w:hint="eastAsia"/>
          <w:color w:val="auto"/>
          <w:lang w:val="en-US" w:eastAsia="zh-CN"/>
        </w:rPr>
        <w:t>5.2.3产污环节分析</w:t>
      </w:r>
      <w:bookmarkEnd w:id="99"/>
    </w:p>
    <w:p>
      <w:pPr>
        <w:pStyle w:val="33"/>
        <w:bidi w:val="0"/>
        <w:rPr>
          <w:rFonts w:hint="eastAsia"/>
          <w:color w:val="auto"/>
          <w:lang w:eastAsia="zh-CN"/>
        </w:rPr>
      </w:pPr>
      <w:r>
        <w:rPr>
          <w:rFonts w:hint="default"/>
          <w:color w:val="auto"/>
          <w:lang w:eastAsia="zh-CN"/>
        </w:rPr>
        <w:t>①</w:t>
      </w:r>
      <w:r>
        <w:rPr>
          <w:rFonts w:hint="eastAsia"/>
          <w:color w:val="auto"/>
          <w:lang w:eastAsia="zh-CN"/>
        </w:rPr>
        <w:t>废气</w:t>
      </w:r>
    </w:p>
    <w:p>
      <w:pPr>
        <w:pStyle w:val="33"/>
        <w:bidi w:val="0"/>
        <w:rPr>
          <w:rFonts w:hint="eastAsia"/>
          <w:color w:val="auto"/>
        </w:rPr>
      </w:pPr>
      <w:r>
        <w:rPr>
          <w:rFonts w:hint="eastAsia"/>
          <w:color w:val="auto"/>
          <w:lang w:eastAsia="zh-CN"/>
        </w:rPr>
        <w:t>生产过程中，废气产生环节主要有：</w:t>
      </w:r>
      <w:r>
        <w:rPr>
          <w:rFonts w:hint="eastAsia"/>
          <w:color w:val="auto"/>
          <w:lang w:val="en-US" w:eastAsia="zh-CN"/>
        </w:rPr>
        <w:t>甲醇塔蒸馏冷凝不凝</w:t>
      </w:r>
      <w:r>
        <w:rPr>
          <w:rFonts w:hint="eastAsia"/>
          <w:color w:val="auto"/>
          <w:lang w:eastAsia="zh-CN"/>
        </w:rPr>
        <w:t>气</w:t>
      </w:r>
      <w:r>
        <w:rPr>
          <w:rFonts w:hint="default"/>
          <w:color w:val="auto"/>
          <w:lang w:val="zh-CN"/>
        </w:rPr>
        <w:t>G</w:t>
      </w:r>
      <w:r>
        <w:rPr>
          <w:rFonts w:hint="eastAsia"/>
          <w:color w:val="auto"/>
          <w:vertAlign w:val="subscript"/>
          <w:lang w:val="en-US" w:eastAsia="zh-CN"/>
        </w:rPr>
        <w:t>1</w:t>
      </w:r>
      <w:r>
        <w:rPr>
          <w:rFonts w:hint="eastAsia"/>
          <w:color w:val="auto"/>
          <w:lang w:eastAsia="zh-CN"/>
        </w:rPr>
        <w:t>、</w:t>
      </w:r>
      <w:r>
        <w:rPr>
          <w:rFonts w:hint="eastAsia"/>
          <w:color w:val="auto"/>
          <w:lang w:val="en-US" w:eastAsia="zh-CN"/>
        </w:rPr>
        <w:t>低沸塔蒸馏冷凝不凝</w:t>
      </w:r>
      <w:r>
        <w:rPr>
          <w:rFonts w:hint="eastAsia"/>
          <w:color w:val="auto"/>
          <w:lang w:eastAsia="zh-CN"/>
        </w:rPr>
        <w:t>气</w:t>
      </w:r>
      <w:r>
        <w:rPr>
          <w:rFonts w:hint="default"/>
          <w:color w:val="auto"/>
          <w:lang w:val="zh-CN"/>
        </w:rPr>
        <w:t>G</w:t>
      </w:r>
      <w:r>
        <w:rPr>
          <w:rFonts w:hint="eastAsia"/>
          <w:color w:val="auto"/>
          <w:vertAlign w:val="subscript"/>
          <w:lang w:val="en-US" w:eastAsia="zh-CN"/>
        </w:rPr>
        <w:t>2</w:t>
      </w:r>
      <w:r>
        <w:rPr>
          <w:rFonts w:hint="eastAsia"/>
          <w:color w:val="auto"/>
          <w:lang w:val="en-US" w:eastAsia="zh-CN"/>
        </w:rPr>
        <w:t>、高沸塔蒸馏冷凝不凝</w:t>
      </w:r>
      <w:r>
        <w:rPr>
          <w:rFonts w:hint="eastAsia"/>
          <w:color w:val="auto"/>
          <w:lang w:eastAsia="zh-CN"/>
        </w:rPr>
        <w:t>气</w:t>
      </w:r>
      <w:r>
        <w:rPr>
          <w:rFonts w:hint="default"/>
          <w:color w:val="auto"/>
          <w:lang w:val="zh-CN"/>
        </w:rPr>
        <w:t>G</w:t>
      </w:r>
      <w:r>
        <w:rPr>
          <w:rFonts w:hint="eastAsia"/>
          <w:color w:val="auto"/>
          <w:vertAlign w:val="subscript"/>
          <w:lang w:val="en-US" w:eastAsia="zh-CN"/>
        </w:rPr>
        <w:t>3</w:t>
      </w:r>
      <w:r>
        <w:rPr>
          <w:rFonts w:hint="eastAsia"/>
          <w:color w:val="auto"/>
          <w:lang w:val="en-US" w:eastAsia="zh-CN"/>
        </w:rPr>
        <w:t>、脱水干燥废气</w:t>
      </w:r>
      <w:r>
        <w:rPr>
          <w:rFonts w:hint="default"/>
          <w:color w:val="auto"/>
          <w:lang w:val="zh-CN"/>
        </w:rPr>
        <w:t>G</w:t>
      </w:r>
      <w:r>
        <w:rPr>
          <w:rFonts w:hint="eastAsia"/>
          <w:color w:val="auto"/>
          <w:vertAlign w:val="subscript"/>
          <w:lang w:val="en-US" w:eastAsia="zh-CN"/>
        </w:rPr>
        <w:t>4</w:t>
      </w:r>
      <w:r>
        <w:rPr>
          <w:rFonts w:hint="eastAsia"/>
          <w:color w:val="auto"/>
          <w:lang w:eastAsia="zh-CN"/>
        </w:rPr>
        <w:t>，</w:t>
      </w:r>
      <w:r>
        <w:rPr>
          <w:rFonts w:hint="eastAsia"/>
          <w:color w:val="auto"/>
          <w:lang w:val="en-US" w:eastAsia="zh-CN"/>
        </w:rPr>
        <w:t>废气拟新建</w:t>
      </w:r>
      <w:r>
        <w:rPr>
          <w:rFonts w:ascii="宋体" w:hAnsi="宋体" w:eastAsia="宋体" w:cs="宋体"/>
          <w:color w:val="auto"/>
          <w:sz w:val="24"/>
          <w:szCs w:val="24"/>
        </w:rPr>
        <w:t>冷凝回收+活性炭</w:t>
      </w:r>
      <w:r>
        <w:rPr>
          <w:rFonts w:hint="eastAsia" w:ascii="宋体" w:hAnsi="宋体" w:eastAsia="宋体" w:cs="宋体"/>
          <w:color w:val="auto"/>
          <w:sz w:val="24"/>
          <w:szCs w:val="24"/>
          <w:lang w:val="en-US" w:eastAsia="zh-CN"/>
        </w:rPr>
        <w:t>吸附处理后进入现有</w:t>
      </w:r>
      <w:r>
        <w:rPr>
          <w:rFonts w:hint="eastAsia"/>
          <w:color w:val="auto"/>
          <w:lang w:val="en-US" w:eastAsia="zh-CN"/>
        </w:rPr>
        <w:t>“冷凝回收+碱液吸收+炭吸收装置”废气装置处理后经20米高排气筒排放</w:t>
      </w:r>
      <w:r>
        <w:rPr>
          <w:rFonts w:hint="eastAsia"/>
          <w:color w:val="auto"/>
        </w:rPr>
        <w:t>。</w:t>
      </w:r>
    </w:p>
    <w:p>
      <w:pPr>
        <w:pStyle w:val="33"/>
        <w:bidi w:val="0"/>
        <w:rPr>
          <w:rFonts w:hint="eastAsia"/>
          <w:color w:val="auto"/>
          <w:lang w:eastAsia="zh-CN"/>
        </w:rPr>
      </w:pPr>
      <w:r>
        <w:rPr>
          <w:rFonts w:hint="default"/>
          <w:color w:val="auto"/>
          <w:lang w:eastAsia="zh-CN"/>
        </w:rPr>
        <w:t>②</w:t>
      </w:r>
      <w:r>
        <w:rPr>
          <w:rFonts w:hint="eastAsia"/>
          <w:color w:val="auto"/>
          <w:lang w:eastAsia="zh-CN"/>
        </w:rPr>
        <w:t>废水</w:t>
      </w:r>
    </w:p>
    <w:p>
      <w:pPr>
        <w:pStyle w:val="33"/>
        <w:bidi w:val="0"/>
        <w:rPr>
          <w:rFonts w:hint="eastAsia"/>
          <w:color w:val="auto"/>
          <w:lang w:eastAsia="zh-CN"/>
        </w:rPr>
      </w:pPr>
      <w:r>
        <w:rPr>
          <w:rFonts w:hint="eastAsia"/>
          <w:color w:val="auto"/>
          <w:lang w:eastAsia="zh-CN"/>
        </w:rPr>
        <w:t>生产过程中，废水主要为</w:t>
      </w:r>
      <w:r>
        <w:rPr>
          <w:rFonts w:hint="eastAsia"/>
          <w:color w:val="auto"/>
          <w:lang w:val="en-US" w:eastAsia="zh-CN"/>
        </w:rPr>
        <w:t>酯化反应产生废水和树脂冲洗废水</w:t>
      </w:r>
      <w:r>
        <w:rPr>
          <w:rFonts w:hint="eastAsia"/>
          <w:color w:val="auto"/>
          <w:lang w:eastAsia="zh-CN"/>
        </w:rPr>
        <w:t>，排入厂区内</w:t>
      </w:r>
      <w:r>
        <w:rPr>
          <w:rFonts w:hint="eastAsia"/>
          <w:color w:val="auto"/>
          <w:lang w:val="en-US" w:eastAsia="zh-CN"/>
        </w:rPr>
        <w:t>现有的</w:t>
      </w:r>
      <w:r>
        <w:rPr>
          <w:rFonts w:hint="eastAsia"/>
          <w:color w:val="auto"/>
          <w:lang w:eastAsia="zh-CN"/>
        </w:rPr>
        <w:t>污水处理站处理，</w:t>
      </w:r>
      <w:r>
        <w:rPr>
          <w:rFonts w:hint="eastAsia"/>
          <w:color w:val="auto"/>
          <w:lang w:val="en-US" w:eastAsia="zh-CN"/>
        </w:rPr>
        <w:t>后排入云溪区污水处理厂处理</w:t>
      </w:r>
      <w:r>
        <w:rPr>
          <w:rFonts w:hint="eastAsia"/>
          <w:color w:val="auto"/>
          <w:lang w:eastAsia="zh-CN"/>
        </w:rPr>
        <w:t>。</w:t>
      </w:r>
    </w:p>
    <w:p>
      <w:pPr>
        <w:pStyle w:val="33"/>
        <w:bidi w:val="0"/>
        <w:rPr>
          <w:rFonts w:hint="eastAsia"/>
          <w:color w:val="auto"/>
          <w:lang w:eastAsia="zh-CN"/>
        </w:rPr>
      </w:pPr>
      <w:r>
        <w:rPr>
          <w:rFonts w:hint="default"/>
          <w:color w:val="auto"/>
          <w:lang w:eastAsia="zh-CN"/>
        </w:rPr>
        <w:t>③</w:t>
      </w:r>
      <w:r>
        <w:rPr>
          <w:rFonts w:hint="eastAsia"/>
          <w:color w:val="auto"/>
          <w:lang w:eastAsia="zh-CN"/>
        </w:rPr>
        <w:t>固体废物</w:t>
      </w:r>
    </w:p>
    <w:p>
      <w:pPr>
        <w:pStyle w:val="33"/>
        <w:bidi w:val="0"/>
        <w:rPr>
          <w:rFonts w:hint="eastAsia"/>
          <w:color w:val="auto"/>
          <w:lang w:eastAsia="zh-CN"/>
        </w:rPr>
      </w:pPr>
      <w:r>
        <w:rPr>
          <w:rFonts w:hint="eastAsia"/>
          <w:color w:val="auto"/>
          <w:lang w:eastAsia="zh-CN"/>
        </w:rPr>
        <w:t>生产过程中，固体废物主要来自产品</w:t>
      </w:r>
      <w:r>
        <w:rPr>
          <w:rFonts w:hint="eastAsia"/>
          <w:color w:val="auto"/>
          <w:lang w:val="en-US" w:eastAsia="zh-CN"/>
        </w:rPr>
        <w:t>酯化反应釜渣S</w:t>
      </w:r>
      <w:r>
        <w:rPr>
          <w:rFonts w:hint="eastAsia"/>
          <w:color w:val="auto"/>
          <w:vertAlign w:val="subscript"/>
          <w:lang w:val="en-US" w:eastAsia="zh-CN"/>
        </w:rPr>
        <w:t>1</w:t>
      </w:r>
      <w:r>
        <w:rPr>
          <w:rFonts w:hint="eastAsia"/>
          <w:color w:val="auto"/>
          <w:vertAlign w:val="baseline"/>
          <w:lang w:val="en-US" w:eastAsia="zh-CN"/>
        </w:rPr>
        <w:t>（主要成分为醋酸甲酯和对甲苯磺酸及杂质）</w:t>
      </w:r>
      <w:r>
        <w:rPr>
          <w:rFonts w:hint="eastAsia"/>
          <w:color w:val="auto"/>
          <w:lang w:val="en-US" w:eastAsia="zh-CN"/>
        </w:rPr>
        <w:t>和</w:t>
      </w:r>
      <w:r>
        <w:rPr>
          <w:rFonts w:hint="eastAsia"/>
          <w:color w:val="auto"/>
          <w:lang w:eastAsia="zh-CN"/>
        </w:rPr>
        <w:t>废离子交换树脂，</w:t>
      </w:r>
      <w:r>
        <w:rPr>
          <w:rFonts w:hint="eastAsia"/>
          <w:color w:val="auto"/>
          <w:lang w:val="en-US" w:eastAsia="zh-CN"/>
        </w:rPr>
        <w:t>釜渣</w:t>
      </w:r>
      <w:r>
        <w:rPr>
          <w:rFonts w:hint="eastAsia"/>
          <w:color w:val="auto"/>
          <w:lang w:eastAsia="zh-CN"/>
        </w:rPr>
        <w:t>利用铁桶盛装，送有资质单位处置；空原料桶收集、堆存于原料仓库分出空桶区，定期由原料供应商回收重复利用，厂区内不设洗桶工序。</w:t>
      </w:r>
    </w:p>
    <w:p>
      <w:pPr>
        <w:pStyle w:val="33"/>
        <w:bidi w:val="0"/>
        <w:rPr>
          <w:rFonts w:hint="eastAsia"/>
          <w:color w:val="auto"/>
          <w:lang w:eastAsia="zh-CN"/>
        </w:rPr>
      </w:pPr>
      <w:r>
        <w:rPr>
          <w:rFonts w:hint="eastAsia"/>
          <w:color w:val="auto"/>
          <w:lang w:eastAsia="zh-CN"/>
        </w:rPr>
        <w:t>④噪声</w:t>
      </w:r>
    </w:p>
    <w:p>
      <w:pPr>
        <w:pStyle w:val="33"/>
        <w:bidi w:val="0"/>
        <w:rPr>
          <w:rFonts w:hint="eastAsia"/>
          <w:color w:val="auto"/>
          <w:lang w:eastAsia="zh-CN"/>
        </w:rPr>
      </w:pPr>
      <w:r>
        <w:rPr>
          <w:rFonts w:hint="eastAsia"/>
          <w:color w:val="auto"/>
          <w:lang w:eastAsia="zh-CN"/>
        </w:rPr>
        <w:t>生产线没有大型设备，各反应釜搅拌机、物料输送泵的功率均较小，噪声源强一般为</w:t>
      </w:r>
      <w:r>
        <w:rPr>
          <w:rFonts w:hint="eastAsia"/>
          <w:color w:val="auto"/>
          <w:lang w:val="en-US" w:eastAsia="zh-CN"/>
        </w:rPr>
        <w:t>75~85dB(A)。</w:t>
      </w:r>
    </w:p>
    <w:p>
      <w:pPr>
        <w:pStyle w:val="36"/>
        <w:bidi w:val="0"/>
        <w:rPr>
          <w:color w:val="auto"/>
        </w:rPr>
      </w:pPr>
      <w:r>
        <w:rPr>
          <w:color w:val="auto"/>
        </w:rPr>
        <w:t>表</w:t>
      </w:r>
      <w:r>
        <w:rPr>
          <w:rFonts w:hint="eastAsia"/>
          <w:color w:val="auto"/>
          <w:lang w:val="en-US" w:eastAsia="zh-CN"/>
        </w:rPr>
        <w:t>5.2-2</w:t>
      </w:r>
      <w:r>
        <w:rPr>
          <w:color w:val="auto"/>
        </w:rPr>
        <w:t xml:space="preserve">  </w:t>
      </w:r>
      <w:r>
        <w:rPr>
          <w:rFonts w:hint="eastAsia"/>
          <w:color w:val="auto"/>
          <w:lang w:val="en-US" w:eastAsia="zh-CN"/>
        </w:rPr>
        <w:t>污染源及污染物排放情况简况表</w:t>
      </w:r>
    </w:p>
    <w:tbl>
      <w:tblPr>
        <w:tblStyle w:val="27"/>
        <w:tblW w:w="499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72"/>
        <w:gridCol w:w="1274"/>
        <w:gridCol w:w="2454"/>
        <w:gridCol w:w="1626"/>
        <w:gridCol w:w="2878"/>
      </w:tblGrid>
      <w:tr>
        <w:trPr>
          <w:trHeight w:val="357" w:hRule="atLeast"/>
        </w:trPr>
        <w:tc>
          <w:tcPr>
            <w:tcW w:w="669" w:type="pct"/>
            <w:tcBorders>
              <w:tl2br w:val="nil"/>
              <w:tr2bl w:val="nil"/>
            </w:tcBorders>
            <w:noWrap w:val="0"/>
            <w:vAlign w:val="center"/>
          </w:tcPr>
          <w:p>
            <w:pPr>
              <w:spacing w:line="360" w:lineRule="exact"/>
              <w:jc w:val="center"/>
              <w:rPr>
                <w:rFonts w:hint="eastAsia" w:ascii="Times New Roman" w:hAnsi="Times New Roman"/>
                <w:b/>
                <w:caps w:val="0"/>
                <w:smallCaps w:val="0"/>
                <w:color w:val="auto"/>
                <w:szCs w:val="21"/>
                <w:u w:val="none"/>
              </w:rPr>
            </w:pPr>
            <w:r>
              <w:rPr>
                <w:rFonts w:hint="eastAsia" w:ascii="Times New Roman" w:hAnsi="Times New Roman"/>
                <w:b/>
                <w:caps w:val="0"/>
                <w:smallCaps w:val="0"/>
                <w:color w:val="auto"/>
                <w:szCs w:val="21"/>
                <w:u w:val="none"/>
              </w:rPr>
              <w:t>污染类型</w:t>
            </w:r>
          </w:p>
        </w:tc>
        <w:tc>
          <w:tcPr>
            <w:tcW w:w="670" w:type="pct"/>
            <w:tcBorders>
              <w:tl2br w:val="nil"/>
              <w:tr2bl w:val="nil"/>
            </w:tcBorders>
            <w:noWrap w:val="0"/>
            <w:vAlign w:val="center"/>
          </w:tcPr>
          <w:p>
            <w:pPr>
              <w:spacing w:line="360" w:lineRule="exact"/>
              <w:jc w:val="center"/>
              <w:rPr>
                <w:rFonts w:hint="eastAsia" w:ascii="Times New Roman" w:hAnsi="Times New Roman" w:eastAsia="宋体"/>
                <w:b/>
                <w:caps w:val="0"/>
                <w:smallCaps w:val="0"/>
                <w:color w:val="auto"/>
                <w:szCs w:val="21"/>
                <w:u w:val="none"/>
                <w:lang w:eastAsia="zh-CN"/>
              </w:rPr>
            </w:pPr>
            <w:r>
              <w:rPr>
                <w:rFonts w:hint="eastAsia" w:ascii="Times New Roman" w:hAnsi="Times New Roman"/>
                <w:b/>
                <w:caps w:val="0"/>
                <w:smallCaps w:val="0"/>
                <w:color w:val="auto"/>
                <w:szCs w:val="21"/>
                <w:u w:val="none"/>
                <w:lang w:eastAsia="zh-CN"/>
              </w:rPr>
              <w:t>编号</w:t>
            </w:r>
          </w:p>
        </w:tc>
        <w:tc>
          <w:tcPr>
            <w:tcW w:w="1290" w:type="pct"/>
            <w:tcBorders>
              <w:tl2br w:val="nil"/>
              <w:tr2bl w:val="nil"/>
            </w:tcBorders>
            <w:noWrap w:val="0"/>
            <w:vAlign w:val="center"/>
          </w:tcPr>
          <w:p>
            <w:pPr>
              <w:spacing w:line="360" w:lineRule="exact"/>
              <w:jc w:val="center"/>
              <w:rPr>
                <w:rFonts w:ascii="Times New Roman" w:hAnsi="Times New Roman"/>
                <w:b/>
                <w:caps w:val="0"/>
                <w:smallCaps w:val="0"/>
                <w:color w:val="auto"/>
                <w:szCs w:val="21"/>
                <w:u w:val="none"/>
              </w:rPr>
            </w:pPr>
            <w:r>
              <w:rPr>
                <w:rFonts w:hint="eastAsia" w:ascii="Times New Roman" w:hAnsi="Times New Roman"/>
                <w:b/>
                <w:caps w:val="0"/>
                <w:smallCaps w:val="0"/>
                <w:color w:val="auto"/>
                <w:szCs w:val="21"/>
                <w:u w:val="none"/>
              </w:rPr>
              <w:t>产物环节</w:t>
            </w:r>
          </w:p>
        </w:tc>
        <w:tc>
          <w:tcPr>
            <w:tcW w:w="855" w:type="pct"/>
            <w:tcBorders>
              <w:tl2br w:val="nil"/>
              <w:tr2bl w:val="nil"/>
            </w:tcBorders>
            <w:noWrap w:val="0"/>
            <w:vAlign w:val="center"/>
          </w:tcPr>
          <w:p>
            <w:pPr>
              <w:spacing w:line="360" w:lineRule="exact"/>
              <w:jc w:val="center"/>
              <w:rPr>
                <w:rFonts w:ascii="Times New Roman" w:hAnsi="Times New Roman"/>
                <w:b/>
                <w:caps w:val="0"/>
                <w:smallCaps w:val="0"/>
                <w:color w:val="auto"/>
                <w:szCs w:val="21"/>
                <w:u w:val="none"/>
              </w:rPr>
            </w:pPr>
            <w:r>
              <w:rPr>
                <w:rFonts w:hint="eastAsia" w:ascii="Times New Roman" w:hAnsi="Times New Roman"/>
                <w:b/>
                <w:caps w:val="0"/>
                <w:smallCaps w:val="0"/>
                <w:color w:val="auto"/>
                <w:szCs w:val="21"/>
                <w:u w:val="none"/>
              </w:rPr>
              <w:t>产生污染物</w:t>
            </w:r>
          </w:p>
        </w:tc>
        <w:tc>
          <w:tcPr>
            <w:tcW w:w="1513" w:type="pct"/>
            <w:tcBorders>
              <w:tl2br w:val="nil"/>
              <w:tr2bl w:val="nil"/>
            </w:tcBorders>
            <w:noWrap w:val="0"/>
            <w:vAlign w:val="center"/>
          </w:tcPr>
          <w:p>
            <w:pPr>
              <w:spacing w:line="360" w:lineRule="exact"/>
              <w:jc w:val="center"/>
              <w:rPr>
                <w:rFonts w:ascii="Times New Roman" w:hAnsi="Times New Roman"/>
                <w:b/>
                <w:caps w:val="0"/>
                <w:smallCaps w:val="0"/>
                <w:color w:val="auto"/>
                <w:szCs w:val="21"/>
                <w:u w:val="none"/>
              </w:rPr>
            </w:pPr>
            <w:r>
              <w:rPr>
                <w:rFonts w:hint="eastAsia" w:ascii="Times New Roman" w:hAnsi="Times New Roman"/>
                <w:b/>
                <w:caps w:val="0"/>
                <w:smallCaps w:val="0"/>
                <w:color w:val="auto"/>
                <w:szCs w:val="21"/>
                <w:u w:val="none"/>
              </w:rPr>
              <w:t>去向</w:t>
            </w:r>
          </w:p>
        </w:tc>
      </w:tr>
      <w:tr>
        <w:trPr>
          <w:trHeight w:val="338" w:hRule="atLeast"/>
        </w:trPr>
        <w:tc>
          <w:tcPr>
            <w:tcW w:w="669" w:type="pct"/>
            <w:vMerge w:val="restart"/>
            <w:tcBorders>
              <w:tl2br w:val="nil"/>
              <w:tr2bl w:val="nil"/>
            </w:tcBorders>
            <w:noWrap w:val="0"/>
            <w:vAlign w:val="center"/>
          </w:tcPr>
          <w:p>
            <w:pPr>
              <w:spacing w:line="360" w:lineRule="exact"/>
              <w:jc w:val="center"/>
              <w:rPr>
                <w:rFonts w:hint="default" w:ascii="Times New Roman" w:hAnsi="Times New Roman" w:eastAsia="Times New Roman"/>
                <w:b/>
                <w:caps w:val="0"/>
                <w:smallCaps w:val="0"/>
                <w:color w:val="auto"/>
                <w:sz w:val="24"/>
                <w:u w:val="none"/>
                <w:lang w:val="zh-CN"/>
              </w:rPr>
            </w:pPr>
            <w:r>
              <w:rPr>
                <w:rFonts w:hint="eastAsia" w:ascii="Times New Roman" w:hAnsi="Times New Roman"/>
                <w:caps w:val="0"/>
                <w:smallCaps w:val="0"/>
                <w:color w:val="auto"/>
                <w:szCs w:val="21"/>
                <w:u w:val="none"/>
              </w:rPr>
              <w:t>废气</w:t>
            </w:r>
          </w:p>
        </w:tc>
        <w:tc>
          <w:tcPr>
            <w:tcW w:w="670" w:type="pct"/>
            <w:tcBorders>
              <w:tl2br w:val="nil"/>
              <w:tr2bl w:val="nil"/>
            </w:tcBorders>
            <w:noWrap w:val="0"/>
            <w:vAlign w:val="center"/>
          </w:tcPr>
          <w:p>
            <w:pPr>
              <w:spacing w:line="360" w:lineRule="exact"/>
              <w:jc w:val="center"/>
              <w:rPr>
                <w:rFonts w:ascii="Times New Roman" w:hAnsi="Times New Roman"/>
                <w:caps w:val="0"/>
                <w:smallCaps w:val="0"/>
                <w:color w:val="auto"/>
                <w:szCs w:val="21"/>
                <w:u w:val="none"/>
              </w:rPr>
            </w:pPr>
            <w:r>
              <w:rPr>
                <w:rFonts w:hint="default" w:ascii="Times New Roman" w:hAnsi="Times New Roman" w:eastAsia="Times New Roman"/>
                <w:b/>
                <w:caps w:val="0"/>
                <w:smallCaps w:val="0"/>
                <w:color w:val="auto"/>
                <w:sz w:val="24"/>
                <w:u w:val="none"/>
                <w:lang w:val="zh-CN"/>
              </w:rPr>
              <w:t>G</w:t>
            </w:r>
            <w:r>
              <w:rPr>
                <w:rFonts w:hint="eastAsia" w:ascii="Times New Roman" w:hAnsi="Times New Roman"/>
                <w:b/>
                <w:caps w:val="0"/>
                <w:smallCaps w:val="0"/>
                <w:color w:val="auto"/>
                <w:sz w:val="16"/>
                <w:u w:val="none"/>
                <w:lang w:val="en-US" w:eastAsia="zh-CN"/>
              </w:rPr>
              <w:t>1</w:t>
            </w:r>
          </w:p>
        </w:tc>
        <w:tc>
          <w:tcPr>
            <w:tcW w:w="1290" w:type="pct"/>
            <w:tcBorders>
              <w:tl2br w:val="nil"/>
              <w:tr2bl w:val="nil"/>
            </w:tcBorders>
            <w:noWrap w:val="0"/>
            <w:vAlign w:val="center"/>
          </w:tcPr>
          <w:p>
            <w:pPr>
              <w:spacing w:line="360" w:lineRule="exact"/>
              <w:jc w:val="center"/>
              <w:rPr>
                <w:rFonts w:hint="eastAsia" w:ascii="Times New Roman" w:hAnsi="Times New Roman"/>
                <w:caps w:val="0"/>
                <w:smallCaps w:val="0"/>
                <w:color w:val="auto"/>
                <w:szCs w:val="21"/>
                <w:u w:val="none"/>
                <w:lang w:eastAsia="zh-CN"/>
              </w:rPr>
            </w:pPr>
            <w:r>
              <w:rPr>
                <w:rFonts w:hint="eastAsia" w:ascii="Times New Roman" w:hAnsi="Times New Roman"/>
                <w:caps w:val="0"/>
                <w:smallCaps w:val="0"/>
                <w:color w:val="auto"/>
                <w:szCs w:val="21"/>
                <w:u w:val="none"/>
                <w:lang w:val="en-US" w:eastAsia="zh-CN"/>
              </w:rPr>
              <w:t>冷凝不凝气</w:t>
            </w:r>
          </w:p>
        </w:tc>
        <w:tc>
          <w:tcPr>
            <w:tcW w:w="855"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VOCs</w:t>
            </w:r>
            <w:r>
              <w:rPr>
                <w:rFonts w:hint="eastAsia" w:ascii="Times New Roman" w:hAnsi="Times New Roman"/>
                <w:caps w:val="0"/>
                <w:smallCaps w:val="0"/>
                <w:color w:val="auto"/>
                <w:szCs w:val="21"/>
                <w:u w:val="none"/>
                <w:lang w:eastAsia="zh-CN"/>
              </w:rPr>
              <w:t>、</w:t>
            </w:r>
            <w:r>
              <w:rPr>
                <w:rFonts w:hint="eastAsia" w:ascii="Times New Roman" w:hAnsi="Times New Roman"/>
                <w:caps w:val="0"/>
                <w:smallCaps w:val="0"/>
                <w:color w:val="auto"/>
                <w:szCs w:val="21"/>
                <w:u w:val="none"/>
                <w:lang w:val="en-US" w:eastAsia="zh-CN"/>
              </w:rPr>
              <w:t>甲醇</w:t>
            </w:r>
          </w:p>
        </w:tc>
        <w:tc>
          <w:tcPr>
            <w:tcW w:w="1513" w:type="pct"/>
            <w:vMerge w:val="restart"/>
            <w:tcBorders>
              <w:tl2br w:val="nil"/>
              <w:tr2bl w:val="nil"/>
            </w:tcBorders>
            <w:noWrap w:val="0"/>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 w:val="21"/>
                <w:szCs w:val="21"/>
                <w:u w:val="none"/>
                <w:lang w:val="en-US" w:eastAsia="zh-CN"/>
              </w:rPr>
              <w:t>“冷凝回收+碱液吸收+</w:t>
            </w:r>
            <w:r>
              <w:rPr>
                <w:rFonts w:hint="eastAsia" w:ascii="Times New Roman" w:hAnsi="Times New Roman"/>
                <w:caps w:val="0"/>
                <w:smallCaps w:val="0"/>
                <w:color w:val="auto"/>
                <w:sz w:val="21"/>
                <w:szCs w:val="21"/>
                <w:u w:val="none"/>
                <w:lang w:val="en-US" w:eastAsia="zh-Hans"/>
              </w:rPr>
              <w:t>炭吸收</w:t>
            </w:r>
            <w:r>
              <w:rPr>
                <w:rFonts w:hint="eastAsia" w:ascii="Times New Roman" w:hAnsi="Times New Roman"/>
                <w:caps w:val="0"/>
                <w:smallCaps w:val="0"/>
                <w:color w:val="auto"/>
                <w:sz w:val="21"/>
                <w:szCs w:val="21"/>
                <w:u w:val="none"/>
                <w:lang w:val="en-US" w:eastAsia="zh-CN"/>
              </w:rPr>
              <w:t>+</w:t>
            </w:r>
            <w:r>
              <w:rPr>
                <w:rFonts w:hint="eastAsia" w:ascii="Times New Roman" w:hAnsi="Times New Roman"/>
                <w:caps w:val="0"/>
                <w:smallCaps w:val="0"/>
                <w:color w:val="auto"/>
                <w:szCs w:val="21"/>
                <w:u w:val="none"/>
                <w:lang w:val="en-US" w:eastAsia="zh-CN"/>
              </w:rPr>
              <w:t>2</w:t>
            </w:r>
            <w:r>
              <w:rPr>
                <w:rFonts w:hint="eastAsia" w:ascii="Times New Roman" w:hAnsi="Times New Roman"/>
                <w:caps w:val="0"/>
                <w:smallCaps w:val="0"/>
                <w:color w:val="auto"/>
                <w:szCs w:val="21"/>
                <w:u w:val="none"/>
              </w:rPr>
              <w:t>0高排气筒</w:t>
            </w:r>
          </w:p>
        </w:tc>
      </w:tr>
      <w:tr>
        <w:trPr>
          <w:trHeight w:val="220" w:hRule="atLeast"/>
        </w:trPr>
        <w:tc>
          <w:tcPr>
            <w:tcW w:w="669" w:type="pct"/>
            <w:vMerge w:val="continue"/>
            <w:tcBorders>
              <w:tl2br w:val="nil"/>
              <w:tr2bl w:val="nil"/>
            </w:tcBorders>
            <w:noWrap w:val="0"/>
            <w:vAlign w:val="center"/>
          </w:tcPr>
          <w:p>
            <w:pPr>
              <w:spacing w:line="360" w:lineRule="exact"/>
              <w:jc w:val="center"/>
              <w:rPr>
                <w:rFonts w:hint="default" w:ascii="Times New Roman" w:hAnsi="Times New Roman" w:eastAsia="Times New Roman"/>
                <w:b/>
                <w:caps w:val="0"/>
                <w:smallCaps w:val="0"/>
                <w:color w:val="auto"/>
                <w:sz w:val="24"/>
                <w:u w:val="none"/>
                <w:lang w:val="zh-CN"/>
              </w:rPr>
            </w:pPr>
          </w:p>
        </w:tc>
        <w:tc>
          <w:tcPr>
            <w:tcW w:w="670" w:type="pct"/>
            <w:tcBorders>
              <w:tl2br w:val="nil"/>
              <w:tr2bl w:val="nil"/>
            </w:tcBorders>
            <w:noWrap w:val="0"/>
            <w:vAlign w:val="center"/>
          </w:tcPr>
          <w:p>
            <w:pPr>
              <w:spacing w:line="360" w:lineRule="exact"/>
              <w:jc w:val="center"/>
              <w:rPr>
                <w:rFonts w:hint="default" w:ascii="Times New Roman" w:hAnsi="Times New Roman" w:eastAsia="Times New Roman"/>
                <w:b/>
                <w:caps w:val="0"/>
                <w:smallCaps w:val="0"/>
                <w:color w:val="auto"/>
                <w:sz w:val="24"/>
                <w:u w:val="none"/>
                <w:lang w:val="zh-CN"/>
              </w:rPr>
            </w:pPr>
            <w:r>
              <w:rPr>
                <w:rFonts w:hint="default" w:ascii="Times New Roman" w:hAnsi="Times New Roman" w:eastAsia="Times New Roman"/>
                <w:b/>
                <w:caps w:val="0"/>
                <w:smallCaps w:val="0"/>
                <w:color w:val="auto"/>
                <w:sz w:val="24"/>
                <w:u w:val="none"/>
                <w:lang w:val="zh-CN"/>
              </w:rPr>
              <w:t>G</w:t>
            </w:r>
            <w:r>
              <w:rPr>
                <w:rFonts w:hint="eastAsia" w:ascii="Times New Roman" w:hAnsi="Times New Roman"/>
                <w:b/>
                <w:caps w:val="0"/>
                <w:smallCaps w:val="0"/>
                <w:color w:val="auto"/>
                <w:sz w:val="16"/>
                <w:u w:val="none"/>
                <w:lang w:val="en-US" w:eastAsia="zh-CN"/>
              </w:rPr>
              <w:t>2</w:t>
            </w:r>
          </w:p>
        </w:tc>
        <w:tc>
          <w:tcPr>
            <w:tcW w:w="1290" w:type="pct"/>
            <w:tcBorders>
              <w:tl2br w:val="nil"/>
              <w:tr2bl w:val="nil"/>
            </w:tcBorders>
            <w:noWrap w:val="0"/>
            <w:vAlign w:val="center"/>
          </w:tcPr>
          <w:p>
            <w:pPr>
              <w:spacing w:line="360" w:lineRule="exact"/>
              <w:jc w:val="center"/>
              <w:rPr>
                <w:rFonts w:hint="eastAsia" w:ascii="Times New Roman" w:hAnsi="Times New Roman"/>
                <w:caps w:val="0"/>
                <w:smallCaps w:val="0"/>
                <w:color w:val="auto"/>
                <w:szCs w:val="21"/>
                <w:u w:val="none"/>
                <w:lang w:eastAsia="zh-CN"/>
              </w:rPr>
            </w:pPr>
            <w:r>
              <w:rPr>
                <w:rFonts w:hint="eastAsia" w:ascii="Times New Roman" w:hAnsi="Times New Roman"/>
                <w:caps w:val="0"/>
                <w:smallCaps w:val="0"/>
                <w:color w:val="auto"/>
                <w:szCs w:val="21"/>
                <w:u w:val="none"/>
                <w:lang w:val="en-US" w:eastAsia="zh-CN"/>
              </w:rPr>
              <w:t>冷凝不凝气</w:t>
            </w:r>
          </w:p>
        </w:tc>
        <w:tc>
          <w:tcPr>
            <w:tcW w:w="855" w:type="pct"/>
            <w:tcBorders>
              <w:tl2br w:val="nil"/>
              <w:tr2bl w:val="nil"/>
            </w:tcBorders>
            <w:noWrap w:val="0"/>
            <w:vAlign w:val="center"/>
          </w:tcPr>
          <w:p>
            <w:pPr>
              <w:spacing w:line="360" w:lineRule="exact"/>
              <w:jc w:val="center"/>
              <w:rPr>
                <w:rFonts w:hint="eastAsia" w:ascii="Times New Roman" w:hAnsi="Times New Roman"/>
                <w:caps w:val="0"/>
                <w:smallCaps w:val="0"/>
                <w:color w:val="auto"/>
                <w:szCs w:val="21"/>
                <w:u w:val="none"/>
                <w:lang w:eastAsia="zh-CN"/>
              </w:rPr>
            </w:pPr>
            <w:r>
              <w:rPr>
                <w:rFonts w:hint="eastAsia" w:ascii="Times New Roman" w:hAnsi="Times New Roman"/>
                <w:caps w:val="0"/>
                <w:smallCaps w:val="0"/>
                <w:color w:val="auto"/>
                <w:szCs w:val="21"/>
                <w:u w:val="none"/>
                <w:lang w:val="en-US" w:eastAsia="zh-CN"/>
              </w:rPr>
              <w:t>VOCs</w:t>
            </w:r>
          </w:p>
        </w:tc>
        <w:tc>
          <w:tcPr>
            <w:tcW w:w="1513" w:type="pct"/>
            <w:vMerge w:val="continue"/>
            <w:tcBorders>
              <w:tl2br w:val="nil"/>
              <w:tr2bl w:val="nil"/>
            </w:tcBorders>
            <w:noWrap w:val="0"/>
            <w:vAlign w:val="center"/>
          </w:tcPr>
          <w:p>
            <w:pPr>
              <w:spacing w:line="360" w:lineRule="exact"/>
              <w:jc w:val="center"/>
              <w:rPr>
                <w:rFonts w:hint="eastAsia" w:ascii="Times New Roman" w:hAnsi="Times New Roman"/>
                <w:caps w:val="0"/>
                <w:smallCaps w:val="0"/>
                <w:color w:val="auto"/>
                <w:szCs w:val="21"/>
                <w:u w:val="none"/>
              </w:rPr>
            </w:pPr>
          </w:p>
        </w:tc>
      </w:tr>
      <w:tr>
        <w:trPr>
          <w:trHeight w:val="182" w:hRule="atLeast"/>
        </w:trPr>
        <w:tc>
          <w:tcPr>
            <w:tcW w:w="669" w:type="pct"/>
            <w:vMerge w:val="continue"/>
            <w:tcBorders>
              <w:tl2br w:val="nil"/>
              <w:tr2bl w:val="nil"/>
            </w:tcBorders>
            <w:noWrap w:val="0"/>
            <w:vAlign w:val="center"/>
          </w:tcPr>
          <w:p>
            <w:pPr>
              <w:spacing w:line="360" w:lineRule="exact"/>
              <w:jc w:val="center"/>
              <w:rPr>
                <w:rFonts w:hint="default" w:ascii="Times New Roman" w:hAnsi="Times New Roman" w:eastAsia="Times New Roman"/>
                <w:b/>
                <w:caps w:val="0"/>
                <w:smallCaps w:val="0"/>
                <w:color w:val="auto"/>
                <w:sz w:val="24"/>
                <w:u w:val="none"/>
                <w:lang w:val="zh-CN"/>
              </w:rPr>
            </w:pPr>
          </w:p>
        </w:tc>
        <w:tc>
          <w:tcPr>
            <w:tcW w:w="670" w:type="pct"/>
            <w:tcBorders>
              <w:tl2br w:val="nil"/>
              <w:tr2bl w:val="nil"/>
            </w:tcBorders>
            <w:noWrap w:val="0"/>
            <w:vAlign w:val="center"/>
          </w:tcPr>
          <w:p>
            <w:pPr>
              <w:spacing w:line="360" w:lineRule="exact"/>
              <w:jc w:val="center"/>
              <w:rPr>
                <w:rFonts w:hint="default" w:ascii="Times New Roman" w:hAnsi="Times New Roman" w:eastAsia="Times New Roman"/>
                <w:b/>
                <w:caps w:val="0"/>
                <w:smallCaps w:val="0"/>
                <w:color w:val="auto"/>
                <w:sz w:val="24"/>
                <w:u w:val="none"/>
                <w:lang w:val="zh-CN"/>
              </w:rPr>
            </w:pPr>
            <w:r>
              <w:rPr>
                <w:rFonts w:hint="default" w:ascii="Times New Roman" w:hAnsi="Times New Roman" w:eastAsia="Times New Roman"/>
                <w:b/>
                <w:caps w:val="0"/>
                <w:smallCaps w:val="0"/>
                <w:color w:val="auto"/>
                <w:sz w:val="24"/>
                <w:u w:val="none"/>
                <w:lang w:val="zh-CN"/>
              </w:rPr>
              <w:t>G</w:t>
            </w:r>
            <w:r>
              <w:rPr>
                <w:rFonts w:hint="eastAsia" w:ascii="Times New Roman" w:hAnsi="Times New Roman"/>
                <w:b/>
                <w:caps w:val="0"/>
                <w:smallCaps w:val="0"/>
                <w:color w:val="auto"/>
                <w:sz w:val="16"/>
                <w:u w:val="none"/>
                <w:lang w:val="en-US" w:eastAsia="zh-CN"/>
              </w:rPr>
              <w:t>3</w:t>
            </w:r>
          </w:p>
        </w:tc>
        <w:tc>
          <w:tcPr>
            <w:tcW w:w="1290" w:type="pct"/>
            <w:tcBorders>
              <w:tl2br w:val="nil"/>
              <w:tr2bl w:val="nil"/>
            </w:tcBorders>
            <w:noWrap w:val="0"/>
            <w:vAlign w:val="center"/>
          </w:tcPr>
          <w:p>
            <w:pPr>
              <w:spacing w:line="360" w:lineRule="exact"/>
              <w:jc w:val="center"/>
              <w:rPr>
                <w:rFonts w:hint="eastAsia" w:ascii="Times New Roman" w:hAnsi="Times New Roman"/>
                <w:caps w:val="0"/>
                <w:smallCaps w:val="0"/>
                <w:color w:val="auto"/>
                <w:szCs w:val="21"/>
                <w:u w:val="none"/>
                <w:lang w:eastAsia="zh-CN"/>
              </w:rPr>
            </w:pPr>
            <w:r>
              <w:rPr>
                <w:rFonts w:hint="eastAsia" w:ascii="Times New Roman" w:hAnsi="Times New Roman"/>
                <w:caps w:val="0"/>
                <w:smallCaps w:val="0"/>
                <w:color w:val="auto"/>
                <w:szCs w:val="21"/>
                <w:u w:val="none"/>
                <w:lang w:val="en-US" w:eastAsia="zh-CN"/>
              </w:rPr>
              <w:t>冷凝不凝气</w:t>
            </w:r>
          </w:p>
        </w:tc>
        <w:tc>
          <w:tcPr>
            <w:tcW w:w="855" w:type="pct"/>
            <w:tcBorders>
              <w:tl2br w:val="nil"/>
              <w:tr2bl w:val="nil"/>
            </w:tcBorders>
            <w:noWrap w:val="0"/>
            <w:vAlign w:val="center"/>
          </w:tcPr>
          <w:p>
            <w:pPr>
              <w:spacing w:line="360" w:lineRule="exact"/>
              <w:jc w:val="center"/>
              <w:rPr>
                <w:rFonts w:hint="eastAsia" w:ascii="Times New Roman" w:hAnsi="Times New Roman"/>
                <w:caps w:val="0"/>
                <w:smallCaps w:val="0"/>
                <w:color w:val="auto"/>
                <w:szCs w:val="21"/>
                <w:u w:val="none"/>
                <w:lang w:eastAsia="zh-CN"/>
              </w:rPr>
            </w:pPr>
            <w:r>
              <w:rPr>
                <w:rFonts w:hint="eastAsia" w:ascii="Times New Roman" w:hAnsi="Times New Roman"/>
                <w:caps w:val="0"/>
                <w:smallCaps w:val="0"/>
                <w:color w:val="auto"/>
                <w:szCs w:val="21"/>
                <w:u w:val="none"/>
                <w:lang w:val="en-US" w:eastAsia="zh-CN"/>
              </w:rPr>
              <w:t>VOCs</w:t>
            </w:r>
          </w:p>
        </w:tc>
        <w:tc>
          <w:tcPr>
            <w:tcW w:w="1513" w:type="pct"/>
            <w:vMerge w:val="continue"/>
            <w:tcBorders>
              <w:tl2br w:val="nil"/>
              <w:tr2bl w:val="nil"/>
            </w:tcBorders>
            <w:noWrap w:val="0"/>
            <w:vAlign w:val="center"/>
          </w:tcPr>
          <w:p>
            <w:pPr>
              <w:spacing w:line="360" w:lineRule="exact"/>
              <w:jc w:val="center"/>
              <w:rPr>
                <w:rFonts w:hint="eastAsia" w:ascii="Times New Roman" w:hAnsi="Times New Roman"/>
                <w:caps w:val="0"/>
                <w:smallCaps w:val="0"/>
                <w:color w:val="auto"/>
                <w:szCs w:val="21"/>
                <w:u w:val="none"/>
              </w:rPr>
            </w:pPr>
          </w:p>
        </w:tc>
      </w:tr>
      <w:tr>
        <w:trPr>
          <w:trHeight w:val="182" w:hRule="atLeast"/>
        </w:trPr>
        <w:tc>
          <w:tcPr>
            <w:tcW w:w="669" w:type="pct"/>
            <w:vMerge w:val="continue"/>
            <w:tcBorders>
              <w:tl2br w:val="nil"/>
              <w:tr2bl w:val="nil"/>
            </w:tcBorders>
            <w:noWrap w:val="0"/>
            <w:vAlign w:val="center"/>
          </w:tcPr>
          <w:p>
            <w:pPr>
              <w:spacing w:line="360" w:lineRule="exact"/>
              <w:jc w:val="center"/>
              <w:rPr>
                <w:rFonts w:hint="default" w:ascii="Times New Roman" w:hAnsi="Times New Roman" w:eastAsia="Times New Roman"/>
                <w:b/>
                <w:caps w:val="0"/>
                <w:smallCaps w:val="0"/>
                <w:color w:val="auto"/>
                <w:sz w:val="24"/>
                <w:u w:val="none"/>
                <w:lang w:val="zh-CN"/>
              </w:rPr>
            </w:pPr>
          </w:p>
        </w:tc>
        <w:tc>
          <w:tcPr>
            <w:tcW w:w="670" w:type="pct"/>
            <w:tcBorders>
              <w:tl2br w:val="nil"/>
              <w:tr2bl w:val="nil"/>
            </w:tcBorders>
            <w:noWrap w:val="0"/>
            <w:vAlign w:val="center"/>
          </w:tcPr>
          <w:p>
            <w:pPr>
              <w:spacing w:line="360" w:lineRule="exact"/>
              <w:jc w:val="center"/>
              <w:rPr>
                <w:rFonts w:hint="default" w:ascii="Times New Roman" w:hAnsi="Times New Roman" w:eastAsia="宋体"/>
                <w:b/>
                <w:caps w:val="0"/>
                <w:smallCaps w:val="0"/>
                <w:color w:val="auto"/>
                <w:sz w:val="24"/>
                <w:u w:val="none"/>
                <w:lang w:val="en-US" w:eastAsia="zh-CN"/>
              </w:rPr>
            </w:pPr>
            <w:r>
              <w:rPr>
                <w:rFonts w:hint="eastAsia" w:ascii="Times New Roman" w:hAnsi="Times New Roman"/>
                <w:b/>
                <w:caps w:val="0"/>
                <w:smallCaps w:val="0"/>
                <w:color w:val="auto"/>
                <w:sz w:val="24"/>
                <w:u w:val="none"/>
                <w:lang w:val="en-US" w:eastAsia="zh-CN"/>
              </w:rPr>
              <w:t>G</w:t>
            </w:r>
            <w:r>
              <w:rPr>
                <w:rFonts w:hint="eastAsia" w:ascii="Times New Roman" w:hAnsi="Times New Roman"/>
                <w:b/>
                <w:caps w:val="0"/>
                <w:smallCaps w:val="0"/>
                <w:color w:val="auto"/>
                <w:sz w:val="24"/>
                <w:u w:val="none"/>
                <w:vertAlign w:val="subscript"/>
                <w:lang w:val="en-US" w:eastAsia="zh-CN"/>
              </w:rPr>
              <w:t>4</w:t>
            </w:r>
          </w:p>
        </w:tc>
        <w:tc>
          <w:tcPr>
            <w:tcW w:w="1290" w:type="pct"/>
            <w:tcBorders>
              <w:tl2br w:val="nil"/>
              <w:tr2bl w:val="nil"/>
            </w:tcBorders>
            <w:noWrap w:val="0"/>
            <w:vAlign w:val="center"/>
          </w:tcPr>
          <w:p>
            <w:pPr>
              <w:spacing w:line="360" w:lineRule="exact"/>
              <w:jc w:val="center"/>
              <w:rPr>
                <w:rFonts w:hint="default" w:ascii="Times New Roman" w:hAnsi="Times New Roman"/>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干燥废气</w:t>
            </w:r>
          </w:p>
        </w:tc>
        <w:tc>
          <w:tcPr>
            <w:tcW w:w="855" w:type="pct"/>
            <w:tcBorders>
              <w:tl2br w:val="nil"/>
              <w:tr2bl w:val="nil"/>
            </w:tcBorders>
            <w:noWrap w:val="0"/>
            <w:vAlign w:val="center"/>
          </w:tcPr>
          <w:p>
            <w:pPr>
              <w:spacing w:line="360" w:lineRule="exact"/>
              <w:jc w:val="center"/>
              <w:rPr>
                <w:rFonts w:hint="default" w:ascii="Times New Roman" w:hAnsi="Times New Roman"/>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VOCs、甲醇</w:t>
            </w:r>
          </w:p>
        </w:tc>
        <w:tc>
          <w:tcPr>
            <w:tcW w:w="1513" w:type="pct"/>
            <w:vMerge w:val="continue"/>
            <w:tcBorders>
              <w:tl2br w:val="nil"/>
              <w:tr2bl w:val="nil"/>
            </w:tcBorders>
            <w:noWrap w:val="0"/>
            <w:vAlign w:val="center"/>
          </w:tcPr>
          <w:p>
            <w:pPr>
              <w:spacing w:line="360" w:lineRule="exact"/>
              <w:jc w:val="center"/>
              <w:rPr>
                <w:rFonts w:hint="eastAsia" w:ascii="Times New Roman" w:hAnsi="Times New Roman"/>
                <w:caps w:val="0"/>
                <w:smallCaps w:val="0"/>
                <w:color w:val="auto"/>
                <w:szCs w:val="21"/>
                <w:u w:val="none"/>
              </w:rPr>
            </w:pPr>
          </w:p>
        </w:tc>
      </w:tr>
      <w:tr>
        <w:trPr>
          <w:trHeight w:val="175" w:hRule="atLeast"/>
        </w:trPr>
        <w:tc>
          <w:tcPr>
            <w:tcW w:w="669" w:type="pct"/>
            <w:vMerge w:val="restar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废水</w:t>
            </w:r>
          </w:p>
        </w:tc>
        <w:tc>
          <w:tcPr>
            <w:tcW w:w="670" w:type="pct"/>
            <w:tcBorders>
              <w:tl2br w:val="nil"/>
              <w:tr2bl w:val="nil"/>
            </w:tcBorders>
            <w:noWrap w:val="0"/>
            <w:vAlign w:val="center"/>
          </w:tcPr>
          <w:p>
            <w:pPr>
              <w:spacing w:line="360" w:lineRule="exact"/>
              <w:jc w:val="center"/>
              <w:rPr>
                <w:rFonts w:hint="default" w:ascii="Times New Roman" w:hAnsi="Times New Roman" w:eastAsia="宋体"/>
                <w:b/>
                <w:caps w:val="0"/>
                <w:smallCaps w:val="0"/>
                <w:color w:val="auto"/>
                <w:sz w:val="24"/>
                <w:u w:val="none"/>
                <w:lang w:val="en-US" w:eastAsia="zh-CN"/>
              </w:rPr>
            </w:pPr>
            <w:r>
              <w:rPr>
                <w:rFonts w:hint="eastAsia" w:ascii="Times New Roman" w:hAnsi="Times New Roman"/>
                <w:b/>
                <w:caps w:val="0"/>
                <w:smallCaps w:val="0"/>
                <w:color w:val="auto"/>
                <w:sz w:val="24"/>
                <w:u w:val="none"/>
                <w:lang w:val="en-US" w:eastAsia="zh-CN"/>
              </w:rPr>
              <w:t>W</w:t>
            </w:r>
            <w:r>
              <w:rPr>
                <w:rFonts w:hint="eastAsia" w:ascii="Times New Roman" w:hAnsi="Times New Roman"/>
                <w:b/>
                <w:caps w:val="0"/>
                <w:smallCaps w:val="0"/>
                <w:color w:val="auto"/>
                <w:sz w:val="24"/>
                <w:u w:val="none"/>
                <w:vertAlign w:val="subscript"/>
                <w:lang w:val="en-US" w:eastAsia="zh-CN"/>
              </w:rPr>
              <w:t>1</w:t>
            </w:r>
          </w:p>
        </w:tc>
        <w:tc>
          <w:tcPr>
            <w:tcW w:w="1290"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酯化废水</w:t>
            </w:r>
          </w:p>
        </w:tc>
        <w:tc>
          <w:tcPr>
            <w:tcW w:w="855"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COD</w:t>
            </w:r>
          </w:p>
        </w:tc>
        <w:tc>
          <w:tcPr>
            <w:tcW w:w="1513" w:type="pct"/>
            <w:vMerge w:val="restar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厂区污水处理站</w:t>
            </w:r>
          </w:p>
        </w:tc>
      </w:tr>
      <w:tr>
        <w:trPr>
          <w:trHeight w:val="90" w:hRule="atLeast"/>
        </w:trPr>
        <w:tc>
          <w:tcPr>
            <w:tcW w:w="669" w:type="pct"/>
            <w:vMerge w:val="continue"/>
            <w:tcBorders>
              <w:tl2br w:val="nil"/>
              <w:tr2bl w:val="nil"/>
            </w:tcBorders>
            <w:noWrap w:val="0"/>
            <w:vAlign w:val="center"/>
          </w:tcPr>
          <w:p>
            <w:pPr>
              <w:spacing w:line="360" w:lineRule="exact"/>
              <w:jc w:val="center"/>
              <w:rPr>
                <w:color w:val="auto"/>
              </w:rPr>
            </w:pPr>
          </w:p>
        </w:tc>
        <w:tc>
          <w:tcPr>
            <w:tcW w:w="670"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none"/>
                <w:lang w:val="en-US" w:eastAsia="zh-CN"/>
              </w:rPr>
            </w:pPr>
            <w:r>
              <w:rPr>
                <w:rFonts w:hint="eastAsia" w:ascii="Times New Roman" w:hAnsi="Times New Roman" w:eastAsia="宋体"/>
                <w:b/>
                <w:bCs/>
                <w:caps w:val="0"/>
                <w:smallCaps w:val="0"/>
                <w:color w:val="auto"/>
                <w:szCs w:val="21"/>
                <w:u w:val="none"/>
                <w:lang w:val="en-US" w:eastAsia="zh-CN"/>
              </w:rPr>
              <w:t>W2</w:t>
            </w:r>
          </w:p>
        </w:tc>
        <w:tc>
          <w:tcPr>
            <w:tcW w:w="1290"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none"/>
                <w:lang w:val="en-US" w:eastAsia="zh-CN"/>
              </w:rPr>
            </w:pPr>
            <w:r>
              <w:rPr>
                <w:rFonts w:hint="eastAsia" w:ascii="Times New Roman" w:hAnsi="Times New Roman" w:eastAsia="宋体"/>
                <w:caps w:val="0"/>
                <w:smallCaps w:val="0"/>
                <w:color w:val="auto"/>
                <w:szCs w:val="21"/>
                <w:u w:val="none"/>
                <w:lang w:val="en-US" w:eastAsia="zh-CN"/>
              </w:rPr>
              <w:t>树脂冲洗废水</w:t>
            </w:r>
          </w:p>
        </w:tc>
        <w:tc>
          <w:tcPr>
            <w:tcW w:w="855"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none"/>
                <w:lang w:val="en-US" w:eastAsia="zh-CN"/>
              </w:rPr>
            </w:pPr>
            <w:r>
              <w:rPr>
                <w:rFonts w:hint="eastAsia" w:ascii="Times New Roman" w:hAnsi="Times New Roman" w:eastAsia="宋体"/>
                <w:caps w:val="0"/>
                <w:smallCaps w:val="0"/>
                <w:color w:val="auto"/>
                <w:szCs w:val="21"/>
                <w:u w:val="none"/>
                <w:lang w:val="en-US" w:eastAsia="zh-CN"/>
              </w:rPr>
              <w:t>乙醛酸</w:t>
            </w:r>
          </w:p>
        </w:tc>
        <w:tc>
          <w:tcPr>
            <w:tcW w:w="1513" w:type="pct"/>
            <w:vMerge w:val="continue"/>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u w:val="none"/>
                <w:lang w:val="en-US" w:eastAsia="zh-CN"/>
              </w:rPr>
            </w:pPr>
          </w:p>
        </w:tc>
      </w:tr>
      <w:tr>
        <w:trPr>
          <w:trHeight w:val="165" w:hRule="atLeast"/>
        </w:trPr>
        <w:tc>
          <w:tcPr>
            <w:tcW w:w="669" w:type="pct"/>
            <w:vMerge w:val="restart"/>
            <w:tcBorders>
              <w:tl2br w:val="nil"/>
              <w:tr2bl w:val="nil"/>
            </w:tcBorders>
            <w:noWrap w:val="0"/>
            <w:vAlign w:val="center"/>
          </w:tcPr>
          <w:p>
            <w:pPr>
              <w:spacing w:line="360" w:lineRule="exact"/>
              <w:jc w:val="center"/>
              <w:rPr>
                <w:rFonts w:hint="eastAsia" w:ascii="Times New Roman" w:hAnsi="Times New Roman" w:eastAsia="宋体"/>
                <w:b/>
                <w:caps w:val="0"/>
                <w:smallCaps w:val="0"/>
                <w:color w:val="auto"/>
                <w:sz w:val="24"/>
                <w:u w:val="none"/>
                <w:lang w:val="en-US" w:eastAsia="zh-CN"/>
              </w:rPr>
            </w:pPr>
            <w:r>
              <w:rPr>
                <w:rFonts w:hint="eastAsia" w:ascii="Times New Roman" w:hAnsi="Times New Roman"/>
                <w:caps w:val="0"/>
                <w:smallCaps w:val="0"/>
                <w:color w:val="auto"/>
                <w:szCs w:val="21"/>
                <w:u w:val="none"/>
              </w:rPr>
              <w:t>固废</w:t>
            </w:r>
          </w:p>
        </w:tc>
        <w:tc>
          <w:tcPr>
            <w:tcW w:w="670" w:type="pct"/>
            <w:tcBorders>
              <w:tl2br w:val="nil"/>
              <w:tr2bl w:val="nil"/>
            </w:tcBorders>
            <w:noWrap w:val="0"/>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eastAsia="宋体"/>
                <w:b/>
                <w:caps w:val="0"/>
                <w:smallCaps w:val="0"/>
                <w:color w:val="auto"/>
                <w:sz w:val="24"/>
                <w:u w:val="none"/>
                <w:lang w:val="en-US" w:eastAsia="zh-CN"/>
              </w:rPr>
              <w:t>S</w:t>
            </w:r>
            <w:r>
              <w:rPr>
                <w:rFonts w:hint="default" w:ascii="Times New Roman" w:hAnsi="Times New Roman" w:eastAsia="Times New Roman"/>
                <w:b/>
                <w:caps w:val="0"/>
                <w:smallCaps w:val="0"/>
                <w:color w:val="auto"/>
                <w:sz w:val="16"/>
                <w:u w:val="none"/>
                <w:lang w:val="zh-CN"/>
              </w:rPr>
              <w:t>1</w:t>
            </w:r>
          </w:p>
        </w:tc>
        <w:tc>
          <w:tcPr>
            <w:tcW w:w="1290"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酯化反应釜</w:t>
            </w:r>
          </w:p>
        </w:tc>
        <w:tc>
          <w:tcPr>
            <w:tcW w:w="855" w:type="pct"/>
            <w:tcBorders>
              <w:tl2br w:val="nil"/>
              <w:tr2bl w:val="nil"/>
            </w:tcBorders>
            <w:noWrap w:val="0"/>
            <w:vAlign w:val="center"/>
          </w:tcPr>
          <w:p>
            <w:pPr>
              <w:spacing w:line="360" w:lineRule="exact"/>
              <w:jc w:val="center"/>
              <w:rPr>
                <w:rFonts w:hint="eastAsia" w:ascii="Times New Roman" w:hAnsi="Times New Roman" w:eastAsia="宋体"/>
                <w:caps w:val="0"/>
                <w:smallCaps w:val="0"/>
                <w:color w:val="auto"/>
                <w:szCs w:val="21"/>
                <w:u w:val="none"/>
                <w:lang w:eastAsia="zh-CN"/>
              </w:rPr>
            </w:pPr>
            <w:r>
              <w:rPr>
                <w:rFonts w:hint="eastAsia" w:ascii="Times New Roman" w:hAnsi="Times New Roman"/>
                <w:caps w:val="0"/>
                <w:smallCaps w:val="0"/>
                <w:color w:val="auto"/>
                <w:szCs w:val="21"/>
                <w:u w:val="none"/>
                <w:lang w:val="en-US" w:eastAsia="zh-CN"/>
              </w:rPr>
              <w:t>釜渣</w:t>
            </w:r>
          </w:p>
        </w:tc>
        <w:tc>
          <w:tcPr>
            <w:tcW w:w="1513" w:type="pct"/>
            <w:tcBorders>
              <w:tl2br w:val="nil"/>
              <w:tr2bl w:val="nil"/>
            </w:tcBorders>
            <w:noWrap w:val="0"/>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交有资质单位处置</w:t>
            </w:r>
          </w:p>
        </w:tc>
      </w:tr>
      <w:tr>
        <w:trPr>
          <w:trHeight w:val="165" w:hRule="atLeast"/>
        </w:trPr>
        <w:tc>
          <w:tcPr>
            <w:tcW w:w="669" w:type="pct"/>
            <w:vMerge w:val="continue"/>
            <w:tcBorders>
              <w:tl2br w:val="nil"/>
              <w:tr2bl w:val="nil"/>
            </w:tcBorders>
            <w:noWrap w:val="0"/>
            <w:vAlign w:val="center"/>
          </w:tcPr>
          <w:p>
            <w:pPr>
              <w:spacing w:line="360" w:lineRule="exact"/>
              <w:jc w:val="center"/>
              <w:rPr>
                <w:rFonts w:hint="eastAsia" w:ascii="Times New Roman" w:hAnsi="Times New Roman"/>
                <w:caps w:val="0"/>
                <w:smallCaps w:val="0"/>
                <w:color w:val="auto"/>
                <w:szCs w:val="21"/>
                <w:u w:val="none"/>
              </w:rPr>
            </w:pPr>
          </w:p>
        </w:tc>
        <w:tc>
          <w:tcPr>
            <w:tcW w:w="670" w:type="pct"/>
            <w:tcBorders>
              <w:tl2br w:val="nil"/>
              <w:tr2bl w:val="nil"/>
            </w:tcBorders>
            <w:noWrap w:val="0"/>
            <w:vAlign w:val="center"/>
          </w:tcPr>
          <w:p>
            <w:pPr>
              <w:spacing w:line="360" w:lineRule="exact"/>
              <w:jc w:val="center"/>
              <w:rPr>
                <w:rFonts w:hint="eastAsia" w:ascii="Times New Roman" w:hAnsi="Times New Roman" w:eastAsia="宋体"/>
                <w:b/>
                <w:caps w:val="0"/>
                <w:smallCaps w:val="0"/>
                <w:color w:val="auto"/>
                <w:sz w:val="24"/>
                <w:u w:val="none"/>
                <w:lang w:val="en-US" w:eastAsia="zh-CN"/>
              </w:rPr>
            </w:pPr>
            <w:r>
              <w:rPr>
                <w:rFonts w:hint="eastAsia" w:ascii="Times New Roman" w:hAnsi="Times New Roman" w:eastAsia="宋体"/>
                <w:b/>
                <w:caps w:val="0"/>
                <w:smallCaps w:val="0"/>
                <w:color w:val="auto"/>
                <w:sz w:val="24"/>
                <w:u w:val="none"/>
                <w:lang w:val="en-US" w:eastAsia="zh-CN"/>
              </w:rPr>
              <w:t>S</w:t>
            </w:r>
            <w:r>
              <w:rPr>
                <w:rFonts w:hint="eastAsia" w:ascii="Times New Roman" w:hAnsi="Times New Roman"/>
                <w:b/>
                <w:caps w:val="0"/>
                <w:smallCaps w:val="0"/>
                <w:color w:val="auto"/>
                <w:sz w:val="16"/>
                <w:u w:val="none"/>
                <w:lang w:val="en-US" w:eastAsia="zh-CN"/>
              </w:rPr>
              <w:t>2</w:t>
            </w:r>
          </w:p>
        </w:tc>
        <w:tc>
          <w:tcPr>
            <w:tcW w:w="1290"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等离子交换树脂再生</w:t>
            </w:r>
          </w:p>
        </w:tc>
        <w:tc>
          <w:tcPr>
            <w:tcW w:w="855" w:type="pct"/>
            <w:tcBorders>
              <w:tl2br w:val="nil"/>
              <w:tr2bl w:val="nil"/>
            </w:tcBorders>
            <w:noWrap w:val="0"/>
            <w:vAlign w:val="center"/>
          </w:tcPr>
          <w:p>
            <w:pPr>
              <w:spacing w:line="360" w:lineRule="exact"/>
              <w:jc w:val="center"/>
              <w:rPr>
                <w:rFonts w:hint="default" w:ascii="Times New Roman" w:hAnsi="Times New Roman" w:eastAsia="宋体"/>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高浓度钠盐</w:t>
            </w:r>
          </w:p>
        </w:tc>
        <w:tc>
          <w:tcPr>
            <w:tcW w:w="1513" w:type="pct"/>
            <w:tcBorders>
              <w:tl2br w:val="nil"/>
              <w:tr2bl w:val="nil"/>
            </w:tcBorders>
            <w:noWrap w:val="0"/>
            <w:vAlign w:val="center"/>
          </w:tcPr>
          <w:p>
            <w:pPr>
              <w:spacing w:line="360" w:lineRule="exact"/>
              <w:jc w:val="center"/>
              <w:rPr>
                <w:rFonts w:hint="eastAsia" w:ascii="Times New Roman" w:hAnsi="Times New Roman"/>
                <w:caps w:val="0"/>
                <w:smallCaps w:val="0"/>
                <w:color w:val="auto"/>
                <w:szCs w:val="21"/>
                <w:u w:val="none"/>
              </w:rPr>
            </w:pPr>
            <w:r>
              <w:rPr>
                <w:rFonts w:hint="eastAsia" w:ascii="Times New Roman" w:hAnsi="Times New Roman"/>
                <w:caps w:val="0"/>
                <w:smallCaps w:val="0"/>
                <w:color w:val="auto"/>
                <w:szCs w:val="21"/>
                <w:u w:val="none"/>
              </w:rPr>
              <w:t>交有资质单位处置</w:t>
            </w:r>
          </w:p>
        </w:tc>
      </w:tr>
      <w:tr>
        <w:trPr>
          <w:trHeight w:val="165" w:hRule="atLeast"/>
        </w:trPr>
        <w:tc>
          <w:tcPr>
            <w:tcW w:w="669" w:type="pct"/>
            <w:vMerge w:val="continue"/>
            <w:tcBorders>
              <w:tl2br w:val="nil"/>
              <w:tr2bl w:val="nil"/>
            </w:tcBorders>
            <w:noWrap w:val="0"/>
            <w:vAlign w:val="center"/>
          </w:tcPr>
          <w:p>
            <w:pPr>
              <w:spacing w:line="360" w:lineRule="exact"/>
              <w:jc w:val="center"/>
              <w:rPr>
                <w:rFonts w:hint="eastAsia" w:ascii="Times New Roman" w:hAnsi="Times New Roman"/>
                <w:caps w:val="0"/>
                <w:smallCaps w:val="0"/>
                <w:color w:val="auto"/>
                <w:szCs w:val="21"/>
                <w:u w:val="none"/>
              </w:rPr>
            </w:pPr>
          </w:p>
        </w:tc>
        <w:tc>
          <w:tcPr>
            <w:tcW w:w="670" w:type="pct"/>
            <w:tcBorders>
              <w:tl2br w:val="nil"/>
              <w:tr2bl w:val="nil"/>
            </w:tcBorders>
            <w:noWrap w:val="0"/>
            <w:vAlign w:val="center"/>
          </w:tcPr>
          <w:p>
            <w:pPr>
              <w:spacing w:line="360" w:lineRule="exact"/>
              <w:jc w:val="center"/>
              <w:rPr>
                <w:rFonts w:hint="default" w:ascii="Times New Roman" w:hAnsi="Times New Roman" w:eastAsia="宋体"/>
                <w:b/>
                <w:caps w:val="0"/>
                <w:smallCaps w:val="0"/>
                <w:color w:val="auto"/>
                <w:sz w:val="24"/>
                <w:u w:val="none"/>
                <w:lang w:val="en-US" w:eastAsia="zh-CN"/>
              </w:rPr>
            </w:pPr>
            <w:r>
              <w:rPr>
                <w:rFonts w:hint="eastAsia" w:ascii="Times New Roman" w:hAnsi="Times New Roman"/>
                <w:b/>
                <w:caps w:val="0"/>
                <w:smallCaps w:val="0"/>
                <w:color w:val="auto"/>
                <w:sz w:val="24"/>
                <w:u w:val="none"/>
                <w:lang w:val="en-US" w:eastAsia="zh-CN"/>
              </w:rPr>
              <w:t>S</w:t>
            </w:r>
            <w:r>
              <w:rPr>
                <w:rFonts w:hint="eastAsia" w:ascii="Times New Roman" w:hAnsi="Times New Roman"/>
                <w:b/>
                <w:caps w:val="0"/>
                <w:smallCaps w:val="0"/>
                <w:color w:val="auto"/>
                <w:sz w:val="24"/>
                <w:u w:val="none"/>
                <w:vertAlign w:val="subscript"/>
                <w:lang w:val="en-US" w:eastAsia="zh-CN"/>
              </w:rPr>
              <w:t>3</w:t>
            </w:r>
          </w:p>
        </w:tc>
        <w:tc>
          <w:tcPr>
            <w:tcW w:w="1290" w:type="pct"/>
            <w:tcBorders>
              <w:tl2br w:val="nil"/>
              <w:tr2bl w:val="nil"/>
            </w:tcBorders>
            <w:noWrap w:val="0"/>
            <w:vAlign w:val="center"/>
          </w:tcPr>
          <w:p>
            <w:pPr>
              <w:spacing w:line="360" w:lineRule="exact"/>
              <w:jc w:val="center"/>
              <w:rPr>
                <w:rFonts w:hint="default" w:ascii="Times New Roman" w:hAnsi="Times New Roman"/>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原料桶、包装</w:t>
            </w:r>
          </w:p>
        </w:tc>
        <w:tc>
          <w:tcPr>
            <w:tcW w:w="855" w:type="pct"/>
            <w:tcBorders>
              <w:tl2br w:val="nil"/>
              <w:tr2bl w:val="nil"/>
            </w:tcBorders>
            <w:noWrap w:val="0"/>
            <w:vAlign w:val="center"/>
          </w:tcPr>
          <w:p>
            <w:pPr>
              <w:spacing w:line="360" w:lineRule="exact"/>
              <w:jc w:val="center"/>
              <w:rPr>
                <w:rFonts w:hint="default" w:ascii="Times New Roman" w:hAnsi="Times New Roman"/>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废原料桶包装</w:t>
            </w:r>
          </w:p>
        </w:tc>
        <w:tc>
          <w:tcPr>
            <w:tcW w:w="1513" w:type="pct"/>
            <w:tcBorders>
              <w:tl2br w:val="nil"/>
              <w:tr2bl w:val="nil"/>
            </w:tcBorders>
            <w:noWrap w:val="0"/>
            <w:vAlign w:val="center"/>
          </w:tcPr>
          <w:p>
            <w:pPr>
              <w:spacing w:line="360" w:lineRule="exact"/>
              <w:jc w:val="center"/>
              <w:rPr>
                <w:rFonts w:hint="eastAsia" w:ascii="Times New Roman" w:hAnsi="Times New Roman"/>
                <w:caps w:val="0"/>
                <w:smallCaps w:val="0"/>
                <w:color w:val="auto"/>
                <w:szCs w:val="21"/>
                <w:u w:val="none"/>
              </w:rPr>
            </w:pPr>
            <w:r>
              <w:rPr>
                <w:rFonts w:hint="eastAsia"/>
                <w:color w:val="auto"/>
                <w:lang w:eastAsia="zh-CN"/>
              </w:rPr>
              <w:t>定期由原料供应商回收重复利用，厂区内不设洗桶工序</w:t>
            </w:r>
          </w:p>
        </w:tc>
      </w:tr>
    </w:tbl>
    <w:p>
      <w:pPr>
        <w:pStyle w:val="31"/>
        <w:bidi w:val="0"/>
        <w:rPr>
          <w:rFonts w:hint="eastAsia"/>
          <w:color w:val="auto"/>
          <w:lang w:val="en-US" w:eastAsia="zh-CN"/>
        </w:rPr>
      </w:pPr>
      <w:bookmarkStart w:id="100" w:name="_Toc29703"/>
      <w:bookmarkStart w:id="101" w:name="_Toc7417"/>
      <w:r>
        <w:rPr>
          <w:rFonts w:hint="eastAsia"/>
          <w:color w:val="auto"/>
          <w:lang w:val="en-US" w:eastAsia="zh-CN"/>
        </w:rPr>
        <w:t>5.3工程物料平衡</w:t>
      </w:r>
      <w:bookmarkEnd w:id="100"/>
      <w:bookmarkEnd w:id="101"/>
    </w:p>
    <w:p>
      <w:pPr>
        <w:pStyle w:val="33"/>
        <w:bidi w:val="0"/>
        <w:rPr>
          <w:rFonts w:hint="eastAsia"/>
          <w:color w:val="auto"/>
        </w:rPr>
      </w:pPr>
      <w:r>
        <w:rPr>
          <w:rFonts w:hint="eastAsia"/>
          <w:color w:val="auto"/>
          <w:lang w:val="en-US" w:eastAsia="zh-CN"/>
        </w:rPr>
        <w:t>根据建设方提供资料，项目物料平衡如下：</w:t>
      </w:r>
    </w:p>
    <w:p>
      <w:pPr>
        <w:pStyle w:val="36"/>
        <w:bidi w:val="0"/>
        <w:rPr>
          <w:rFonts w:hint="eastAsia"/>
          <w:color w:val="auto"/>
          <w:lang w:eastAsia="zh-CN"/>
        </w:rPr>
      </w:pPr>
      <w:r>
        <w:rPr>
          <w:rFonts w:hint="eastAsia"/>
          <w:color w:val="auto"/>
        </w:rPr>
        <w:t>表</w:t>
      </w:r>
      <w:r>
        <w:rPr>
          <w:rFonts w:hint="eastAsia"/>
          <w:color w:val="auto"/>
          <w:lang w:val="en-US" w:eastAsia="zh-CN"/>
        </w:rPr>
        <w:t>5.3-1</w:t>
      </w:r>
      <w:r>
        <w:rPr>
          <w:color w:val="auto"/>
        </w:rPr>
        <w:t xml:space="preserve"> </w:t>
      </w:r>
      <w:r>
        <w:rPr>
          <w:rFonts w:hint="eastAsia"/>
          <w:color w:val="auto"/>
          <w:lang w:val="en-US" w:eastAsia="zh-CN"/>
        </w:rPr>
        <w:t>年</w:t>
      </w:r>
      <w:r>
        <w:rPr>
          <w:rFonts w:hint="eastAsia"/>
          <w:color w:val="auto"/>
        </w:rPr>
        <w:t>生产物料平衡表</w:t>
      </w:r>
      <w:r>
        <w:rPr>
          <w:rFonts w:hint="eastAsia"/>
          <w:color w:val="auto"/>
          <w:lang w:eastAsia="zh-CN"/>
        </w:rPr>
        <w:t>（</w:t>
      </w:r>
      <w:r>
        <w:rPr>
          <w:rFonts w:hint="eastAsia"/>
          <w:color w:val="auto"/>
          <w:lang w:val="en-US" w:eastAsia="zh-CN"/>
        </w:rPr>
        <w:t>t/a</w:t>
      </w:r>
      <w:r>
        <w:rPr>
          <w:rFonts w:hint="eastAsia"/>
          <w:color w:val="auto"/>
          <w:lang w:eastAsia="zh-CN"/>
        </w:rPr>
        <w:t>）</w:t>
      </w:r>
    </w:p>
    <w:tbl>
      <w:tblPr>
        <w:tblStyle w:val="27"/>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430"/>
        <w:gridCol w:w="1874"/>
        <w:gridCol w:w="1145"/>
        <w:gridCol w:w="1139"/>
        <w:gridCol w:w="1121"/>
        <w:gridCol w:w="999"/>
        <w:gridCol w:w="161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2386" w:type="pct"/>
            <w:gridSpan w:val="3"/>
            <w:tcBorders>
              <w:tl2br w:val="nil"/>
              <w:tr2bl w:val="nil"/>
            </w:tcBorders>
            <w:noWrap w:val="0"/>
            <w:vAlign w:val="center"/>
          </w:tcPr>
          <w:p>
            <w:pPr>
              <w:pStyle w:val="35"/>
              <w:bidi w:val="0"/>
              <w:jc w:val="center"/>
              <w:rPr>
                <w:rFonts w:hint="default"/>
                <w:b/>
                <w:bCs/>
                <w:color w:val="auto"/>
                <w:u w:val="single"/>
                <w:lang w:val="en-US" w:eastAsia="zh-CN"/>
              </w:rPr>
            </w:pPr>
            <w:r>
              <w:rPr>
                <w:rFonts w:hint="default"/>
                <w:b/>
                <w:bCs/>
                <w:color w:val="auto"/>
                <w:u w:val="single"/>
                <w:lang w:val="en-US" w:eastAsia="zh-CN"/>
              </w:rPr>
              <w:t>投入</w:t>
            </w:r>
          </w:p>
        </w:tc>
        <w:tc>
          <w:tcPr>
            <w:tcW w:w="2613" w:type="pct"/>
            <w:gridSpan w:val="4"/>
            <w:tcBorders>
              <w:tl2br w:val="nil"/>
              <w:tr2bl w:val="nil"/>
            </w:tcBorders>
            <w:noWrap w:val="0"/>
            <w:vAlign w:val="center"/>
          </w:tcPr>
          <w:p>
            <w:pPr>
              <w:pStyle w:val="35"/>
              <w:bidi w:val="0"/>
              <w:jc w:val="center"/>
              <w:rPr>
                <w:rFonts w:hint="eastAsia"/>
                <w:b/>
                <w:bCs/>
                <w:color w:val="auto"/>
                <w:u w:val="single"/>
              </w:rPr>
            </w:pPr>
            <w:r>
              <w:rPr>
                <w:rFonts w:hint="eastAsia"/>
                <w:b/>
                <w:bCs/>
                <w:color w:val="auto"/>
                <w:u w:val="single"/>
                <w:lang w:val="en-US" w:eastAsia="zh-CN"/>
              </w:rPr>
              <w:t>产出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67" w:type="pct"/>
            <w:tcBorders>
              <w:tl2br w:val="nil"/>
              <w:tr2bl w:val="nil"/>
            </w:tcBorders>
            <w:noWrap w:val="0"/>
            <w:vAlign w:val="center"/>
          </w:tcPr>
          <w:p>
            <w:pPr>
              <w:pStyle w:val="35"/>
              <w:bidi w:val="0"/>
              <w:jc w:val="center"/>
              <w:rPr>
                <w:rFonts w:hint="default"/>
                <w:b/>
                <w:bCs/>
                <w:color w:val="auto"/>
                <w:u w:val="single"/>
              </w:rPr>
            </w:pPr>
            <w:r>
              <w:rPr>
                <w:rFonts w:hint="default"/>
                <w:b/>
                <w:bCs/>
                <w:color w:val="auto"/>
                <w:u w:val="single"/>
                <w:lang w:val="en-US" w:eastAsia="zh-CN"/>
              </w:rPr>
              <w:t>原材料</w:t>
            </w:r>
          </w:p>
        </w:tc>
        <w:tc>
          <w:tcPr>
            <w:tcW w:w="1005" w:type="pct"/>
            <w:tcBorders>
              <w:tl2br w:val="nil"/>
              <w:tr2bl w:val="nil"/>
            </w:tcBorders>
            <w:noWrap w:val="0"/>
            <w:vAlign w:val="center"/>
          </w:tcPr>
          <w:p>
            <w:pPr>
              <w:pStyle w:val="35"/>
              <w:bidi w:val="0"/>
              <w:jc w:val="center"/>
              <w:rPr>
                <w:rFonts w:hint="default"/>
                <w:b/>
                <w:bCs/>
                <w:color w:val="auto"/>
                <w:u w:val="single"/>
              </w:rPr>
            </w:pPr>
            <w:r>
              <w:rPr>
                <w:rFonts w:hint="eastAsia"/>
                <w:b/>
                <w:bCs/>
                <w:color w:val="auto"/>
                <w:u w:val="single"/>
                <w:lang w:val="en-US" w:eastAsia="zh-CN"/>
              </w:rPr>
              <w:t>成分</w:t>
            </w:r>
          </w:p>
        </w:tc>
        <w:tc>
          <w:tcPr>
            <w:tcW w:w="614" w:type="pct"/>
            <w:tcBorders>
              <w:tl2br w:val="nil"/>
              <w:tr2bl w:val="nil"/>
            </w:tcBorders>
            <w:noWrap w:val="0"/>
            <w:vAlign w:val="center"/>
          </w:tcPr>
          <w:p>
            <w:pPr>
              <w:pStyle w:val="35"/>
              <w:bidi w:val="0"/>
              <w:jc w:val="center"/>
              <w:rPr>
                <w:rFonts w:hint="default"/>
                <w:b/>
                <w:bCs/>
                <w:color w:val="auto"/>
                <w:u w:val="single"/>
                <w:lang w:val="en-US"/>
              </w:rPr>
            </w:pPr>
            <w:r>
              <w:rPr>
                <w:rFonts w:hint="default"/>
                <w:b/>
                <w:bCs/>
                <w:color w:val="auto"/>
                <w:u w:val="single"/>
                <w:lang w:val="en-US" w:eastAsia="zh-CN"/>
              </w:rPr>
              <w:t>投入量（</w:t>
            </w:r>
            <w:r>
              <w:rPr>
                <w:rFonts w:hint="eastAsia"/>
                <w:b/>
                <w:bCs/>
                <w:color w:val="auto"/>
                <w:u w:val="single"/>
                <w:lang w:val="en-US" w:eastAsia="zh-CN"/>
              </w:rPr>
              <w:t>t</w:t>
            </w:r>
            <w:r>
              <w:rPr>
                <w:rFonts w:hint="default"/>
                <w:b/>
                <w:bCs/>
                <w:color w:val="auto"/>
                <w:u w:val="single"/>
                <w:lang w:val="en-US" w:eastAsia="zh-CN"/>
              </w:rPr>
              <w:t>/</w:t>
            </w:r>
            <w:r>
              <w:rPr>
                <w:rFonts w:hint="eastAsia"/>
                <w:b/>
                <w:bCs/>
                <w:color w:val="auto"/>
                <w:u w:val="single"/>
                <w:lang w:val="en-US" w:eastAsia="zh-CN"/>
              </w:rPr>
              <w:t>a）</w:t>
            </w:r>
          </w:p>
        </w:tc>
        <w:tc>
          <w:tcPr>
            <w:tcW w:w="1212" w:type="pct"/>
            <w:gridSpan w:val="2"/>
            <w:tcBorders>
              <w:tl2br w:val="nil"/>
              <w:tr2bl w:val="nil"/>
            </w:tcBorders>
            <w:noWrap w:val="0"/>
            <w:vAlign w:val="center"/>
          </w:tcPr>
          <w:p>
            <w:pPr>
              <w:pStyle w:val="35"/>
              <w:bidi w:val="0"/>
              <w:jc w:val="center"/>
              <w:rPr>
                <w:rFonts w:hint="default"/>
                <w:b/>
                <w:bCs/>
                <w:color w:val="auto"/>
                <w:u w:val="single"/>
              </w:rPr>
            </w:pPr>
            <w:r>
              <w:rPr>
                <w:rFonts w:hint="default"/>
                <w:b/>
                <w:bCs/>
                <w:color w:val="auto"/>
                <w:u w:val="single"/>
                <w:lang w:val="en-US" w:eastAsia="zh-CN"/>
              </w:rPr>
              <w:t>产物</w:t>
            </w:r>
          </w:p>
        </w:tc>
        <w:tc>
          <w:tcPr>
            <w:tcW w:w="536" w:type="pct"/>
            <w:tcBorders>
              <w:tl2br w:val="nil"/>
              <w:tr2bl w:val="nil"/>
            </w:tcBorders>
            <w:noWrap w:val="0"/>
            <w:vAlign w:val="center"/>
          </w:tcPr>
          <w:p>
            <w:pPr>
              <w:pStyle w:val="35"/>
              <w:bidi w:val="0"/>
              <w:jc w:val="center"/>
              <w:rPr>
                <w:rFonts w:hint="default"/>
                <w:b/>
                <w:bCs/>
                <w:color w:val="auto"/>
                <w:u w:val="single"/>
              </w:rPr>
            </w:pPr>
            <w:r>
              <w:rPr>
                <w:rFonts w:hint="default"/>
                <w:b/>
                <w:bCs/>
                <w:color w:val="auto"/>
                <w:u w:val="single"/>
                <w:lang w:val="en-US" w:eastAsia="zh-CN"/>
              </w:rPr>
              <w:t>产出量（</w:t>
            </w:r>
            <w:r>
              <w:rPr>
                <w:rFonts w:hint="eastAsia"/>
                <w:b/>
                <w:bCs/>
                <w:color w:val="auto"/>
                <w:u w:val="single"/>
                <w:lang w:val="en-US" w:eastAsia="zh-CN"/>
              </w:rPr>
              <w:t>t</w:t>
            </w:r>
            <w:r>
              <w:rPr>
                <w:rFonts w:hint="default"/>
                <w:b/>
                <w:bCs/>
                <w:color w:val="auto"/>
                <w:u w:val="single"/>
                <w:lang w:val="en-US" w:eastAsia="zh-CN"/>
              </w:rPr>
              <w:t>/</w:t>
            </w:r>
            <w:r>
              <w:rPr>
                <w:rFonts w:hint="eastAsia"/>
                <w:b/>
                <w:bCs/>
                <w:color w:val="auto"/>
                <w:u w:val="single"/>
                <w:lang w:val="en-US" w:eastAsia="zh-CN"/>
              </w:rPr>
              <w:t>a）</w:t>
            </w:r>
          </w:p>
        </w:tc>
        <w:tc>
          <w:tcPr>
            <w:tcW w:w="864" w:type="pct"/>
            <w:tcBorders>
              <w:tl2br w:val="nil"/>
              <w:tr2bl w:val="nil"/>
            </w:tcBorders>
            <w:noWrap w:val="0"/>
            <w:vAlign w:val="center"/>
          </w:tcPr>
          <w:p>
            <w:pPr>
              <w:pStyle w:val="35"/>
              <w:bidi w:val="0"/>
              <w:jc w:val="center"/>
              <w:rPr>
                <w:rFonts w:hint="eastAsia"/>
                <w:b/>
                <w:bCs/>
                <w:color w:val="auto"/>
                <w:u w:val="single"/>
              </w:rPr>
            </w:pPr>
            <w:r>
              <w:rPr>
                <w:rFonts w:hint="eastAsia"/>
                <w:b/>
                <w:bCs/>
                <w:color w:val="auto"/>
                <w:u w:val="single"/>
                <w:lang w:val="en-US" w:eastAsia="zh-CN"/>
              </w:rPr>
              <w:t>成分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284" w:hRule="atLeast"/>
          <w:jc w:val="center"/>
        </w:trPr>
        <w:tc>
          <w:tcPr>
            <w:tcW w:w="767"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粗碳酸二甲酯</w:t>
            </w:r>
          </w:p>
        </w:tc>
        <w:tc>
          <w:tcPr>
            <w:tcW w:w="1005" w:type="pct"/>
            <w:tcBorders>
              <w:tl2br w:val="nil"/>
              <w:tr2bl w:val="nil"/>
            </w:tcBorders>
            <w:noWrap w:val="0"/>
            <w:vAlign w:val="center"/>
          </w:tcPr>
          <w:p>
            <w:pPr>
              <w:pStyle w:val="35"/>
              <w:bidi w:val="0"/>
              <w:ind w:firstLine="0" w:firstLineChars="0"/>
              <w:jc w:val="center"/>
              <w:rPr>
                <w:rFonts w:hint="eastAsia"/>
                <w:color w:val="auto"/>
                <w:u w:val="single"/>
                <w:lang w:val="en-US" w:eastAsia="zh-CN"/>
              </w:rPr>
            </w:pPr>
            <w:r>
              <w:rPr>
                <w:rFonts w:hint="eastAsia"/>
                <w:color w:val="auto"/>
                <w:u w:val="single"/>
                <w:lang w:val="en-US" w:eastAsia="zh-CN"/>
              </w:rPr>
              <w:t>甲醇（40.2%）</w:t>
            </w:r>
          </w:p>
          <w:p>
            <w:pPr>
              <w:pStyle w:val="35"/>
              <w:bidi w:val="0"/>
              <w:ind w:firstLine="0" w:firstLineChars="0"/>
              <w:jc w:val="center"/>
              <w:rPr>
                <w:rFonts w:hint="eastAsia"/>
                <w:color w:val="auto"/>
                <w:u w:val="single"/>
                <w:lang w:val="en-US" w:eastAsia="zh-CN"/>
              </w:rPr>
            </w:pPr>
            <w:r>
              <w:rPr>
                <w:rFonts w:hint="eastAsia"/>
                <w:color w:val="auto"/>
                <w:u w:val="single"/>
                <w:lang w:val="en-US" w:eastAsia="zh-CN"/>
              </w:rPr>
              <w:t>碳酸二甲酯（57.5%）</w:t>
            </w:r>
          </w:p>
          <w:p>
            <w:pPr>
              <w:pStyle w:val="35"/>
              <w:bidi w:val="0"/>
              <w:ind w:firstLine="0" w:firstLineChars="0"/>
              <w:jc w:val="center"/>
              <w:rPr>
                <w:rFonts w:hint="eastAsia"/>
                <w:color w:val="auto"/>
                <w:u w:val="single"/>
                <w:lang w:val="en-US" w:eastAsia="zh-CN"/>
              </w:rPr>
            </w:pPr>
            <w:r>
              <w:rPr>
                <w:rFonts w:hint="eastAsia"/>
                <w:color w:val="auto"/>
                <w:u w:val="single"/>
                <w:lang w:val="en-US" w:eastAsia="zh-CN"/>
              </w:rPr>
              <w:t>乙醛酸（0.4%）</w:t>
            </w:r>
          </w:p>
          <w:p>
            <w:pPr>
              <w:pStyle w:val="35"/>
              <w:bidi w:val="0"/>
              <w:ind w:firstLine="0" w:firstLineChars="0"/>
              <w:jc w:val="center"/>
              <w:rPr>
                <w:rFonts w:hint="eastAsia"/>
                <w:color w:val="auto"/>
                <w:u w:val="single"/>
                <w:lang w:val="en-US" w:eastAsia="zh-CN"/>
              </w:rPr>
            </w:pPr>
            <w:r>
              <w:rPr>
                <w:rFonts w:hint="eastAsia"/>
                <w:color w:val="auto"/>
                <w:u w:val="single"/>
                <w:lang w:val="en-US" w:eastAsia="zh-CN"/>
              </w:rPr>
              <w:t>草酸二甲酯（0.6%）</w:t>
            </w:r>
          </w:p>
          <w:p>
            <w:pPr>
              <w:pStyle w:val="35"/>
              <w:bidi w:val="0"/>
              <w:ind w:firstLine="0" w:firstLineChars="0"/>
              <w:jc w:val="center"/>
              <w:rPr>
                <w:rFonts w:hint="eastAsia"/>
                <w:color w:val="auto"/>
                <w:u w:val="single"/>
                <w:lang w:val="en-US" w:eastAsia="zh-CN"/>
              </w:rPr>
            </w:pPr>
            <w:r>
              <w:rPr>
                <w:rFonts w:hint="eastAsia"/>
                <w:color w:val="auto"/>
                <w:u w:val="single"/>
                <w:lang w:val="en-US" w:eastAsia="zh-CN"/>
              </w:rPr>
              <w:t>水（0.6%）</w:t>
            </w:r>
          </w:p>
          <w:p>
            <w:pPr>
              <w:pStyle w:val="35"/>
              <w:bidi w:val="0"/>
              <w:ind w:firstLine="0" w:firstLineChars="0"/>
              <w:jc w:val="center"/>
              <w:rPr>
                <w:rFonts w:hint="eastAsia"/>
                <w:color w:val="auto"/>
                <w:u w:val="single"/>
                <w:lang w:val="en-US" w:eastAsia="zh-CN"/>
              </w:rPr>
            </w:pPr>
            <w:r>
              <w:rPr>
                <w:rFonts w:hint="eastAsia"/>
                <w:color w:val="auto"/>
                <w:u w:val="single"/>
                <w:lang w:val="en-US" w:eastAsia="zh-CN"/>
              </w:rPr>
              <w:t>其他（0.7%）</w:t>
            </w:r>
          </w:p>
        </w:tc>
        <w:tc>
          <w:tcPr>
            <w:tcW w:w="614" w:type="pct"/>
            <w:tcBorders>
              <w:tl2br w:val="nil"/>
              <w:tr2bl w:val="nil"/>
            </w:tcBorders>
            <w:noWrap w:val="0"/>
            <w:vAlign w:val="center"/>
          </w:tcPr>
          <w:p>
            <w:pPr>
              <w:pStyle w:val="35"/>
              <w:bidi w:val="0"/>
              <w:ind w:firstLine="0" w:firstLineChars="0"/>
              <w:jc w:val="center"/>
              <w:rPr>
                <w:rFonts w:hint="default"/>
                <w:color w:val="auto"/>
                <w:u w:val="single"/>
                <w:lang w:val="en-US" w:eastAsia="zh-CN"/>
              </w:rPr>
            </w:pPr>
            <w:r>
              <w:rPr>
                <w:rFonts w:hint="eastAsia"/>
                <w:color w:val="auto"/>
                <w:u w:val="single"/>
                <w:lang w:val="en-US" w:eastAsia="zh-CN"/>
              </w:rPr>
              <w:t>20450.7</w:t>
            </w:r>
          </w:p>
        </w:tc>
        <w:tc>
          <w:tcPr>
            <w:tcW w:w="611" w:type="pct"/>
            <w:vMerge w:val="restart"/>
            <w:tcBorders>
              <w:tl2br w:val="nil"/>
              <w:tr2bl w:val="nil"/>
            </w:tcBorders>
            <w:noWrap w:val="0"/>
            <w:vAlign w:val="center"/>
          </w:tcPr>
          <w:p>
            <w:pPr>
              <w:pStyle w:val="35"/>
              <w:bidi w:val="0"/>
              <w:jc w:val="center"/>
              <w:rPr>
                <w:rFonts w:hint="default"/>
                <w:color w:val="auto"/>
                <w:u w:val="single"/>
                <w:lang w:val="en-US"/>
              </w:rPr>
            </w:pPr>
            <w:r>
              <w:rPr>
                <w:rFonts w:hint="eastAsia"/>
                <w:color w:val="auto"/>
                <w:u w:val="single"/>
                <w:lang w:val="en-US" w:eastAsia="zh-CN"/>
              </w:rPr>
              <w:t>产品</w:t>
            </w:r>
          </w:p>
        </w:tc>
        <w:tc>
          <w:tcPr>
            <w:tcW w:w="600" w:type="pct"/>
            <w:tcBorders>
              <w:tl2br w:val="nil"/>
              <w:tr2bl w:val="nil"/>
            </w:tcBorders>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碳酸二甲酯</w:t>
            </w:r>
          </w:p>
        </w:tc>
        <w:tc>
          <w:tcPr>
            <w:tcW w:w="536" w:type="pct"/>
            <w:tcBorders>
              <w:tl2br w:val="nil"/>
              <w:tr2bl w:val="nil"/>
            </w:tcBorders>
            <w:noWrap w:val="0"/>
            <w:vAlign w:val="center"/>
          </w:tcPr>
          <w:p>
            <w:pPr>
              <w:pStyle w:val="35"/>
              <w:bidi w:val="0"/>
              <w:jc w:val="center"/>
              <w:rPr>
                <w:rFonts w:hint="default"/>
                <w:color w:val="auto"/>
                <w:u w:val="single"/>
                <w:lang w:val="en-US"/>
              </w:rPr>
            </w:pPr>
            <w:r>
              <w:rPr>
                <w:rFonts w:hint="eastAsia"/>
                <w:color w:val="auto"/>
                <w:u w:val="single"/>
                <w:lang w:val="en-US" w:eastAsia="zh-CN"/>
              </w:rPr>
              <w:t>15000</w:t>
            </w:r>
          </w:p>
        </w:tc>
        <w:tc>
          <w:tcPr>
            <w:tcW w:w="864" w:type="pct"/>
            <w:tcBorders>
              <w:tl2br w:val="nil"/>
              <w:tr2bl w:val="nil"/>
            </w:tcBorders>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碳酸二甲酯：14954</w:t>
            </w:r>
          </w:p>
          <w:p>
            <w:pPr>
              <w:pStyle w:val="35"/>
              <w:bidi w:val="0"/>
              <w:jc w:val="center"/>
              <w:rPr>
                <w:rFonts w:hint="default"/>
                <w:color w:val="auto"/>
                <w:u w:val="single"/>
                <w:lang w:val="en-US" w:eastAsia="zh-CN"/>
              </w:rPr>
            </w:pPr>
            <w:r>
              <w:rPr>
                <w:rFonts w:hint="eastAsia"/>
                <w:color w:val="auto"/>
                <w:u w:val="single"/>
                <w:lang w:val="en-US" w:eastAsia="zh-CN"/>
              </w:rPr>
              <w:t>甲醇：2.8</w:t>
            </w:r>
          </w:p>
          <w:p>
            <w:pPr>
              <w:pStyle w:val="35"/>
              <w:bidi w:val="0"/>
              <w:jc w:val="center"/>
              <w:rPr>
                <w:rFonts w:hint="default"/>
                <w:color w:val="auto"/>
                <w:u w:val="single"/>
                <w:lang w:val="en-US" w:eastAsia="zh-CN"/>
              </w:rPr>
            </w:pPr>
            <w:r>
              <w:rPr>
                <w:rFonts w:hint="eastAsia"/>
                <w:color w:val="auto"/>
                <w:u w:val="single"/>
                <w:lang w:val="en-US" w:eastAsia="zh-CN"/>
              </w:rPr>
              <w:t>草酸二甲酯：2.1</w:t>
            </w:r>
          </w:p>
          <w:p>
            <w:pPr>
              <w:pStyle w:val="35"/>
              <w:bidi w:val="0"/>
              <w:jc w:val="center"/>
              <w:rPr>
                <w:rFonts w:hint="default"/>
                <w:color w:val="auto"/>
                <w:u w:val="single"/>
                <w:lang w:val="en-US" w:eastAsia="zh-CN"/>
              </w:rPr>
            </w:pPr>
            <w:r>
              <w:rPr>
                <w:rFonts w:hint="eastAsia"/>
                <w:color w:val="auto"/>
                <w:u w:val="single"/>
                <w:lang w:val="en-US" w:eastAsia="zh-CN"/>
              </w:rPr>
              <w:t>水：2.8</w:t>
            </w:r>
          </w:p>
          <w:p>
            <w:pPr>
              <w:pStyle w:val="35"/>
              <w:bidi w:val="0"/>
              <w:jc w:val="center"/>
              <w:rPr>
                <w:rFonts w:hint="default"/>
                <w:color w:val="auto"/>
                <w:u w:val="single"/>
                <w:lang w:val="en-US" w:eastAsia="zh-CN"/>
              </w:rPr>
            </w:pPr>
            <w:r>
              <w:rPr>
                <w:rFonts w:hint="eastAsia"/>
                <w:color w:val="auto"/>
                <w:u w:val="single"/>
                <w:lang w:val="en-US" w:eastAsia="zh-CN"/>
              </w:rPr>
              <w:t>其他：38.3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45" w:hRule="atLeast"/>
          <w:jc w:val="center"/>
        </w:trPr>
        <w:tc>
          <w:tcPr>
            <w:tcW w:w="767" w:type="pct"/>
            <w:tcBorders>
              <w:tl2br w:val="nil"/>
              <w:tr2bl w:val="nil"/>
            </w:tcBorders>
            <w:noWrap w:val="0"/>
            <w:vAlign w:val="center"/>
          </w:tcPr>
          <w:p>
            <w:pPr>
              <w:pStyle w:val="35"/>
              <w:bidi w:val="0"/>
              <w:ind w:firstLine="0" w:firstLineChars="0"/>
              <w:jc w:val="center"/>
              <w:rPr>
                <w:rFonts w:hint="eastAsia"/>
                <w:color w:val="auto"/>
                <w:u w:val="single"/>
                <w:lang w:val="en-US" w:eastAsia="zh-CN"/>
              </w:rPr>
            </w:pPr>
            <w:r>
              <w:rPr>
                <w:rFonts w:hint="eastAsia"/>
                <w:color w:val="auto"/>
                <w:u w:val="single"/>
                <w:lang w:val="en-US" w:eastAsia="zh-CN"/>
              </w:rPr>
              <w:t>醋酸</w:t>
            </w:r>
          </w:p>
        </w:tc>
        <w:tc>
          <w:tcPr>
            <w:tcW w:w="1005" w:type="pct"/>
            <w:tcBorders>
              <w:tl2br w:val="nil"/>
              <w:tr2bl w:val="nil"/>
            </w:tcBorders>
            <w:noWrap w:val="0"/>
            <w:vAlign w:val="center"/>
          </w:tcPr>
          <w:p>
            <w:pPr>
              <w:pStyle w:val="35"/>
              <w:bidi w:val="0"/>
              <w:ind w:firstLine="0" w:firstLineChars="0"/>
              <w:jc w:val="center"/>
              <w:rPr>
                <w:rFonts w:hint="default"/>
                <w:color w:val="auto"/>
                <w:u w:val="single"/>
                <w:lang w:val="en-US"/>
              </w:rPr>
            </w:pPr>
            <w:r>
              <w:rPr>
                <w:rFonts w:hint="eastAsia"/>
                <w:color w:val="auto"/>
                <w:u w:val="single"/>
                <w:lang w:val="en-US" w:eastAsia="zh-CN"/>
              </w:rPr>
              <w:t>醋酸</w:t>
            </w:r>
          </w:p>
        </w:tc>
        <w:tc>
          <w:tcPr>
            <w:tcW w:w="614" w:type="pct"/>
            <w:tcBorders>
              <w:tl2br w:val="nil"/>
              <w:tr2bl w:val="nil"/>
            </w:tcBorders>
            <w:noWrap w:val="0"/>
            <w:vAlign w:val="center"/>
          </w:tcPr>
          <w:p>
            <w:pPr>
              <w:pStyle w:val="35"/>
              <w:bidi w:val="0"/>
              <w:ind w:firstLine="0" w:firstLineChars="0"/>
              <w:jc w:val="center"/>
              <w:rPr>
                <w:rFonts w:hint="default"/>
                <w:color w:val="auto"/>
                <w:u w:val="single"/>
                <w:lang w:val="en-US"/>
              </w:rPr>
            </w:pPr>
            <w:r>
              <w:rPr>
                <w:rFonts w:hint="eastAsia"/>
                <w:color w:val="auto"/>
                <w:u w:val="single"/>
                <w:lang w:val="en-US" w:eastAsia="zh-CN"/>
              </w:rPr>
              <w:t>7689</w:t>
            </w:r>
          </w:p>
        </w:tc>
        <w:tc>
          <w:tcPr>
            <w:tcW w:w="611" w:type="pct"/>
            <w:vMerge w:val="continue"/>
            <w:tcBorders>
              <w:tl2br w:val="nil"/>
              <w:tr2bl w:val="nil"/>
            </w:tcBorders>
            <w:noWrap w:val="0"/>
            <w:vAlign w:val="center"/>
          </w:tcPr>
          <w:p>
            <w:pPr>
              <w:pStyle w:val="35"/>
              <w:bidi w:val="0"/>
              <w:jc w:val="center"/>
              <w:rPr>
                <w:rFonts w:hint="default"/>
                <w:color w:val="auto"/>
                <w:u w:val="single"/>
                <w:lang w:val="en-US"/>
              </w:rPr>
            </w:pPr>
          </w:p>
        </w:tc>
        <w:tc>
          <w:tcPr>
            <w:tcW w:w="600" w:type="pct"/>
            <w:tcBorders>
              <w:tl2br w:val="nil"/>
              <w:tr2bl w:val="nil"/>
            </w:tcBorders>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醋酸甲酯</w:t>
            </w:r>
          </w:p>
        </w:tc>
        <w:tc>
          <w:tcPr>
            <w:tcW w:w="536" w:type="pct"/>
            <w:tcBorders>
              <w:tl2br w:val="nil"/>
              <w:tr2bl w:val="nil"/>
            </w:tcBorders>
            <w:noWrap w:val="0"/>
            <w:vAlign w:val="center"/>
          </w:tcPr>
          <w:p>
            <w:pPr>
              <w:pStyle w:val="35"/>
              <w:bidi w:val="0"/>
              <w:jc w:val="center"/>
              <w:rPr>
                <w:rFonts w:hint="default"/>
                <w:color w:val="auto"/>
                <w:u w:val="single"/>
                <w:lang w:val="en-US"/>
              </w:rPr>
            </w:pPr>
            <w:r>
              <w:rPr>
                <w:rFonts w:hint="eastAsia"/>
                <w:color w:val="auto"/>
                <w:u w:val="single"/>
                <w:lang w:val="en-US" w:eastAsia="zh-CN"/>
              </w:rPr>
              <w:t>10000.9</w:t>
            </w:r>
          </w:p>
        </w:tc>
        <w:tc>
          <w:tcPr>
            <w:tcW w:w="864"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醋酸甲酯：9311.3</w:t>
            </w:r>
          </w:p>
          <w:p>
            <w:pPr>
              <w:pStyle w:val="35"/>
              <w:bidi w:val="0"/>
              <w:jc w:val="center"/>
              <w:rPr>
                <w:rFonts w:hint="default"/>
                <w:color w:val="auto"/>
                <w:u w:val="single"/>
                <w:lang w:val="en-US" w:eastAsia="zh-CN"/>
              </w:rPr>
            </w:pPr>
            <w:r>
              <w:rPr>
                <w:rFonts w:hint="eastAsia"/>
                <w:color w:val="auto"/>
                <w:u w:val="single"/>
                <w:lang w:val="en-US" w:eastAsia="zh-CN"/>
              </w:rPr>
              <w:t>甲醇：529.2</w:t>
            </w:r>
          </w:p>
          <w:p>
            <w:pPr>
              <w:pStyle w:val="35"/>
              <w:bidi w:val="0"/>
              <w:jc w:val="center"/>
              <w:rPr>
                <w:rFonts w:hint="eastAsia"/>
                <w:color w:val="auto"/>
                <w:u w:val="single"/>
                <w:lang w:val="en-US" w:eastAsia="zh-CN"/>
              </w:rPr>
            </w:pPr>
            <w:r>
              <w:rPr>
                <w:rFonts w:hint="eastAsia"/>
                <w:color w:val="auto"/>
                <w:u w:val="single"/>
                <w:lang w:val="en-US" w:eastAsia="zh-CN"/>
              </w:rPr>
              <w:t>醋酸：2.8</w:t>
            </w:r>
          </w:p>
          <w:p>
            <w:pPr>
              <w:pStyle w:val="35"/>
              <w:bidi w:val="0"/>
              <w:jc w:val="center"/>
              <w:rPr>
                <w:rFonts w:hint="default"/>
                <w:color w:val="auto"/>
                <w:u w:val="single"/>
                <w:lang w:val="en-US" w:eastAsia="zh-CN"/>
              </w:rPr>
            </w:pPr>
            <w:r>
              <w:rPr>
                <w:rFonts w:hint="eastAsia"/>
                <w:color w:val="auto"/>
                <w:u w:val="single"/>
                <w:lang w:val="en-US" w:eastAsia="zh-CN"/>
              </w:rPr>
              <w:t>碳酸二甲酯：154.8</w:t>
            </w:r>
          </w:p>
          <w:p>
            <w:pPr>
              <w:pStyle w:val="35"/>
              <w:bidi w:val="0"/>
              <w:jc w:val="center"/>
              <w:rPr>
                <w:rFonts w:hint="default"/>
                <w:color w:val="auto"/>
                <w:u w:val="single"/>
                <w:lang w:val="en-US" w:eastAsia="zh-CN"/>
              </w:rPr>
            </w:pPr>
            <w:r>
              <w:rPr>
                <w:rFonts w:hint="eastAsia"/>
                <w:color w:val="auto"/>
                <w:u w:val="single"/>
                <w:lang w:val="en-US" w:eastAsia="zh-CN"/>
              </w:rPr>
              <w:t>水：2.8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75" w:hRule="atLeast"/>
          <w:jc w:val="center"/>
        </w:trPr>
        <w:tc>
          <w:tcPr>
            <w:tcW w:w="767" w:type="pct"/>
            <w:tcBorders>
              <w:tl2br w:val="nil"/>
              <w:tr2bl w:val="nil"/>
            </w:tcBorders>
            <w:noWrap w:val="0"/>
            <w:vAlign w:val="center"/>
          </w:tcPr>
          <w:p>
            <w:pPr>
              <w:pStyle w:val="35"/>
              <w:bidi w:val="0"/>
              <w:ind w:firstLine="0" w:firstLineChars="0"/>
              <w:jc w:val="center"/>
              <w:rPr>
                <w:rFonts w:hint="eastAsia"/>
                <w:color w:val="auto"/>
                <w:u w:val="single"/>
                <w:lang w:val="en-US" w:eastAsia="zh-CN"/>
              </w:rPr>
            </w:pPr>
            <w:r>
              <w:rPr>
                <w:rFonts w:hint="eastAsia"/>
                <w:color w:val="auto"/>
                <w:u w:val="single"/>
                <w:lang w:val="en-US" w:eastAsia="zh-CN"/>
              </w:rPr>
              <w:t>催化剂</w:t>
            </w:r>
          </w:p>
        </w:tc>
        <w:tc>
          <w:tcPr>
            <w:tcW w:w="1005" w:type="pct"/>
            <w:tcBorders>
              <w:tl2br w:val="nil"/>
              <w:tr2bl w:val="nil"/>
            </w:tcBorders>
            <w:noWrap w:val="0"/>
            <w:vAlign w:val="center"/>
          </w:tcPr>
          <w:p>
            <w:pPr>
              <w:pStyle w:val="35"/>
              <w:bidi w:val="0"/>
              <w:ind w:firstLine="0" w:firstLineChars="0"/>
              <w:jc w:val="center"/>
              <w:rPr>
                <w:rFonts w:hint="default"/>
                <w:color w:val="auto"/>
                <w:u w:val="single"/>
                <w:lang w:val="en-US"/>
              </w:rPr>
            </w:pPr>
            <w:r>
              <w:rPr>
                <w:rFonts w:hint="eastAsia"/>
                <w:color w:val="auto"/>
                <w:u w:val="single"/>
                <w:lang w:val="en-US" w:eastAsia="zh-CN"/>
              </w:rPr>
              <w:t>对甲苯磺酸</w:t>
            </w:r>
          </w:p>
        </w:tc>
        <w:tc>
          <w:tcPr>
            <w:tcW w:w="614" w:type="pct"/>
            <w:tcBorders>
              <w:tl2br w:val="nil"/>
              <w:tr2bl w:val="nil"/>
            </w:tcBorders>
            <w:noWrap w:val="0"/>
            <w:vAlign w:val="center"/>
          </w:tcPr>
          <w:p>
            <w:pPr>
              <w:pStyle w:val="35"/>
              <w:bidi w:val="0"/>
              <w:ind w:firstLine="0" w:firstLineChars="0"/>
              <w:jc w:val="center"/>
              <w:rPr>
                <w:rFonts w:hint="default"/>
                <w:color w:val="auto"/>
                <w:u w:val="single"/>
                <w:lang w:val="en-US"/>
              </w:rPr>
            </w:pPr>
            <w:r>
              <w:rPr>
                <w:rFonts w:hint="eastAsia"/>
                <w:color w:val="auto"/>
                <w:u w:val="single"/>
                <w:lang w:val="en-US" w:eastAsia="zh-CN"/>
              </w:rPr>
              <w:t>76</w:t>
            </w:r>
          </w:p>
        </w:tc>
        <w:tc>
          <w:tcPr>
            <w:tcW w:w="611" w:type="pct"/>
            <w:vMerge w:val="restart"/>
            <w:tcBorders>
              <w:tl2br w:val="nil"/>
              <w:tr2bl w:val="nil"/>
            </w:tcBorders>
            <w:noWrap w:val="0"/>
            <w:vAlign w:val="center"/>
          </w:tcPr>
          <w:p>
            <w:pPr>
              <w:pStyle w:val="35"/>
              <w:bidi w:val="0"/>
              <w:jc w:val="center"/>
              <w:rPr>
                <w:rFonts w:hint="eastAsia"/>
                <w:color w:val="auto"/>
                <w:u w:val="single"/>
              </w:rPr>
            </w:pPr>
            <w:r>
              <w:rPr>
                <w:rFonts w:hint="eastAsia"/>
                <w:color w:val="auto"/>
                <w:u w:val="single"/>
                <w:lang w:val="en-US" w:eastAsia="zh-CN"/>
              </w:rPr>
              <w:t>废气</w:t>
            </w:r>
          </w:p>
        </w:tc>
        <w:tc>
          <w:tcPr>
            <w:tcW w:w="600" w:type="pct"/>
            <w:tcBorders>
              <w:tl2br w:val="nil"/>
              <w:tr2bl w:val="nil"/>
            </w:tcBorders>
            <w:noWrap w:val="0"/>
            <w:vAlign w:val="center"/>
          </w:tcPr>
          <w:p>
            <w:pPr>
              <w:pStyle w:val="35"/>
              <w:bidi w:val="0"/>
              <w:ind w:firstLine="0" w:firstLineChars="0"/>
              <w:jc w:val="center"/>
              <w:rPr>
                <w:rFonts w:hint="eastAsia"/>
                <w:color w:val="auto"/>
                <w:u w:val="single"/>
                <w:lang w:val="en-US" w:eastAsia="zh-CN"/>
              </w:rPr>
            </w:pPr>
            <w:r>
              <w:rPr>
                <w:rFonts w:hint="eastAsia" w:ascii="Times New Roman" w:hAnsi="Times New Roman"/>
                <w:caps w:val="0"/>
                <w:smallCaps w:val="0"/>
                <w:color w:val="auto"/>
                <w:sz w:val="21"/>
                <w:szCs w:val="21"/>
                <w:u w:val="single"/>
                <w:lang w:val="en-US" w:eastAsia="zh-CN"/>
              </w:rPr>
              <w:t>G</w:t>
            </w:r>
            <w:r>
              <w:rPr>
                <w:rFonts w:hint="eastAsia"/>
                <w:caps w:val="0"/>
                <w:smallCaps w:val="0"/>
                <w:color w:val="auto"/>
                <w:sz w:val="21"/>
                <w:szCs w:val="21"/>
                <w:u w:val="single"/>
                <w:lang w:val="en-US" w:eastAsia="zh-CN"/>
              </w:rPr>
              <w:t>1</w:t>
            </w:r>
            <w:r>
              <w:rPr>
                <w:rFonts w:ascii="Times New Roman" w:hAnsi="Times New Roman"/>
                <w:caps w:val="0"/>
                <w:smallCaps w:val="0"/>
                <w:color w:val="auto"/>
                <w:sz w:val="21"/>
                <w:szCs w:val="21"/>
                <w:u w:val="single"/>
              </w:rPr>
              <w:t>不冷凝气体</w:t>
            </w:r>
          </w:p>
        </w:tc>
        <w:tc>
          <w:tcPr>
            <w:tcW w:w="536" w:type="pct"/>
            <w:tcBorders>
              <w:tl2br w:val="nil"/>
              <w:tr2bl w:val="nil"/>
            </w:tcBorders>
            <w:noWrap w:val="0"/>
            <w:vAlign w:val="center"/>
          </w:tcPr>
          <w:p>
            <w:pPr>
              <w:pStyle w:val="35"/>
              <w:bidi w:val="0"/>
              <w:ind w:firstLine="0" w:firstLineChars="0"/>
              <w:jc w:val="center"/>
              <w:rPr>
                <w:rFonts w:hint="default"/>
                <w:color w:val="auto"/>
                <w:u w:val="single"/>
                <w:lang w:val="en-US"/>
              </w:rPr>
            </w:pPr>
            <w:r>
              <w:rPr>
                <w:rFonts w:hint="eastAsia" w:ascii="Times New Roman" w:hAnsi="Times New Roman"/>
                <w:caps w:val="0"/>
                <w:smallCaps w:val="0"/>
                <w:color w:val="auto"/>
                <w:sz w:val="21"/>
                <w:szCs w:val="21"/>
                <w:u w:val="single"/>
                <w:lang w:val="en-US" w:eastAsia="zh-CN"/>
              </w:rPr>
              <w:t>2.4</w:t>
            </w:r>
          </w:p>
        </w:tc>
        <w:tc>
          <w:tcPr>
            <w:tcW w:w="864" w:type="pct"/>
            <w:tcBorders>
              <w:tl2br w:val="nil"/>
              <w:tr2bl w:val="nil"/>
            </w:tcBorders>
            <w:noWrap w:val="0"/>
            <w:vAlign w:val="center"/>
          </w:tcPr>
          <w:p>
            <w:pPr>
              <w:pStyle w:val="35"/>
              <w:bidi w:val="0"/>
              <w:jc w:val="center"/>
              <w:rPr>
                <w:rFonts w:hint="default" w:ascii="Times New Roman" w:hAnsi="Times New Roman"/>
                <w:caps w:val="0"/>
                <w:smallCaps w:val="0"/>
                <w:color w:val="auto"/>
                <w:sz w:val="21"/>
                <w:szCs w:val="21"/>
                <w:u w:val="single"/>
                <w:lang w:val="en-US" w:eastAsia="zh-CN"/>
              </w:rPr>
            </w:pPr>
            <w:r>
              <w:rPr>
                <w:rFonts w:hint="eastAsia" w:ascii="Times New Roman" w:hAnsi="Times New Roman"/>
                <w:caps w:val="0"/>
                <w:smallCaps w:val="0"/>
                <w:color w:val="auto"/>
                <w:sz w:val="21"/>
                <w:szCs w:val="21"/>
                <w:u w:val="single"/>
                <w:lang w:val="en-US" w:eastAsia="zh-CN"/>
              </w:rPr>
              <w:t>甲醇：2.3</w:t>
            </w:r>
          </w:p>
          <w:p>
            <w:pPr>
              <w:pStyle w:val="35"/>
              <w:bidi w:val="0"/>
              <w:ind w:firstLine="0" w:firstLineChars="0"/>
              <w:jc w:val="center"/>
              <w:rPr>
                <w:rFonts w:hint="default"/>
                <w:color w:val="auto"/>
                <w:u w:val="single"/>
                <w:lang w:val="en-US" w:eastAsia="zh-CN"/>
              </w:rPr>
            </w:pPr>
            <w:r>
              <w:rPr>
                <w:rFonts w:hint="eastAsia" w:ascii="Times New Roman" w:hAnsi="Times New Roman"/>
                <w:caps w:val="0"/>
                <w:smallCaps w:val="0"/>
                <w:color w:val="auto"/>
                <w:sz w:val="21"/>
                <w:szCs w:val="21"/>
                <w:u w:val="single"/>
                <w:lang w:val="en-US" w:eastAsia="zh-CN"/>
              </w:rPr>
              <w:t>碳酸二甲酯：0.1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61" w:hRule="atLeast"/>
          <w:jc w:val="center"/>
        </w:trPr>
        <w:tc>
          <w:tcPr>
            <w:tcW w:w="767" w:type="pct"/>
            <w:tcBorders>
              <w:tl2br w:val="nil"/>
              <w:tr2bl w:val="nil"/>
            </w:tcBorders>
            <w:noWrap w:val="0"/>
            <w:vAlign w:val="center"/>
          </w:tcPr>
          <w:p>
            <w:pPr>
              <w:pStyle w:val="35"/>
              <w:bidi w:val="0"/>
              <w:ind w:firstLine="0" w:firstLineChars="0"/>
              <w:jc w:val="center"/>
              <w:rPr>
                <w:color w:val="auto"/>
                <w:u w:val="single"/>
              </w:rPr>
            </w:pPr>
            <w:r>
              <w:rPr>
                <w:rFonts w:hint="eastAsia"/>
                <w:color w:val="auto"/>
                <w:u w:val="single"/>
                <w:lang w:val="en-US" w:eastAsia="zh-CN"/>
              </w:rPr>
              <w:t>萃取剂</w:t>
            </w:r>
          </w:p>
        </w:tc>
        <w:tc>
          <w:tcPr>
            <w:tcW w:w="1005" w:type="pct"/>
            <w:tcBorders>
              <w:tl2br w:val="nil"/>
              <w:tr2bl w:val="nil"/>
            </w:tcBorders>
            <w:noWrap w:val="0"/>
            <w:vAlign w:val="center"/>
          </w:tcPr>
          <w:p>
            <w:pPr>
              <w:pStyle w:val="35"/>
              <w:bidi w:val="0"/>
              <w:ind w:firstLine="0" w:firstLineChars="0"/>
              <w:jc w:val="center"/>
              <w:rPr>
                <w:color w:val="auto"/>
                <w:u w:val="single"/>
              </w:rPr>
            </w:pPr>
            <w:r>
              <w:rPr>
                <w:rFonts w:hint="eastAsia"/>
                <w:color w:val="auto"/>
                <w:u w:val="single"/>
                <w:lang w:val="en-US" w:eastAsia="zh-CN"/>
              </w:rPr>
              <w:t>58%NaCl溶液</w:t>
            </w:r>
          </w:p>
        </w:tc>
        <w:tc>
          <w:tcPr>
            <w:tcW w:w="614" w:type="pct"/>
            <w:tcBorders>
              <w:tl2br w:val="nil"/>
              <w:tr2bl w:val="nil"/>
            </w:tcBorders>
            <w:noWrap w:val="0"/>
            <w:vAlign w:val="center"/>
          </w:tcPr>
          <w:p>
            <w:pPr>
              <w:pStyle w:val="35"/>
              <w:bidi w:val="0"/>
              <w:ind w:firstLine="0" w:firstLineChars="0"/>
              <w:jc w:val="center"/>
              <w:rPr>
                <w:color w:val="auto"/>
                <w:u w:val="single"/>
              </w:rPr>
            </w:pPr>
            <w:r>
              <w:rPr>
                <w:rFonts w:hint="eastAsia"/>
                <w:color w:val="auto"/>
                <w:u w:val="single"/>
                <w:lang w:val="en-US" w:eastAsia="zh-CN"/>
              </w:rPr>
              <w:t>8000</w:t>
            </w:r>
          </w:p>
        </w:tc>
        <w:tc>
          <w:tcPr>
            <w:tcW w:w="611" w:type="pct"/>
            <w:vMerge w:val="continue"/>
            <w:tcBorders>
              <w:tl2br w:val="nil"/>
              <w:tr2bl w:val="nil"/>
            </w:tcBorders>
            <w:noWrap w:val="0"/>
            <w:vAlign w:val="center"/>
          </w:tcPr>
          <w:p>
            <w:pPr>
              <w:pStyle w:val="35"/>
              <w:bidi w:val="0"/>
              <w:jc w:val="center"/>
              <w:rPr>
                <w:color w:val="auto"/>
                <w:u w:val="single"/>
              </w:rPr>
            </w:pPr>
          </w:p>
        </w:tc>
        <w:tc>
          <w:tcPr>
            <w:tcW w:w="600" w:type="pct"/>
            <w:tcBorders>
              <w:tl2br w:val="nil"/>
              <w:tr2bl w:val="nil"/>
            </w:tcBorders>
            <w:noWrap w:val="0"/>
            <w:vAlign w:val="center"/>
          </w:tcPr>
          <w:p>
            <w:pPr>
              <w:pStyle w:val="35"/>
              <w:bidi w:val="0"/>
              <w:ind w:firstLine="0" w:firstLineChars="0"/>
              <w:jc w:val="center"/>
              <w:rPr>
                <w:rFonts w:ascii="Times New Roman" w:hAnsi="Times New Roman"/>
                <w:caps w:val="0"/>
                <w:smallCaps w:val="0"/>
                <w:color w:val="auto"/>
                <w:sz w:val="21"/>
                <w:szCs w:val="21"/>
                <w:u w:val="single"/>
              </w:rPr>
            </w:pPr>
            <w:r>
              <w:rPr>
                <w:rFonts w:hint="eastAsia" w:ascii="Times New Roman" w:hAnsi="Times New Roman"/>
                <w:caps w:val="0"/>
                <w:smallCaps w:val="0"/>
                <w:color w:val="auto"/>
                <w:sz w:val="21"/>
                <w:szCs w:val="21"/>
                <w:u w:val="single"/>
                <w:lang w:val="en-US" w:eastAsia="zh-CN"/>
              </w:rPr>
              <w:t>G</w:t>
            </w:r>
            <w:r>
              <w:rPr>
                <w:rFonts w:hint="eastAsia"/>
                <w:caps w:val="0"/>
                <w:smallCaps w:val="0"/>
                <w:color w:val="auto"/>
                <w:sz w:val="21"/>
                <w:szCs w:val="21"/>
                <w:u w:val="single"/>
                <w:lang w:val="en-US" w:eastAsia="zh-CN"/>
              </w:rPr>
              <w:t>2</w:t>
            </w:r>
            <w:r>
              <w:rPr>
                <w:rFonts w:ascii="Times New Roman" w:hAnsi="Times New Roman"/>
                <w:caps w:val="0"/>
                <w:smallCaps w:val="0"/>
                <w:color w:val="auto"/>
                <w:sz w:val="21"/>
                <w:szCs w:val="21"/>
                <w:u w:val="single"/>
              </w:rPr>
              <w:t>不凝气体</w:t>
            </w:r>
          </w:p>
        </w:tc>
        <w:tc>
          <w:tcPr>
            <w:tcW w:w="536" w:type="pct"/>
            <w:tcBorders>
              <w:tl2br w:val="nil"/>
              <w:tr2bl w:val="nil"/>
            </w:tcBorders>
            <w:noWrap w:val="0"/>
            <w:vAlign w:val="center"/>
          </w:tcPr>
          <w:p>
            <w:pPr>
              <w:pStyle w:val="35"/>
              <w:bidi w:val="0"/>
              <w:ind w:firstLine="0" w:firstLineChars="0"/>
              <w:jc w:val="center"/>
              <w:rPr>
                <w:rFonts w:hint="default" w:ascii="Times New Roman" w:hAnsi="Times New Roman" w:eastAsia="宋体"/>
                <w:caps w:val="0"/>
                <w:smallCaps w:val="0"/>
                <w:color w:val="auto"/>
                <w:sz w:val="21"/>
                <w:szCs w:val="21"/>
                <w:u w:val="single"/>
                <w:lang w:val="en-US" w:eastAsia="zh-CN"/>
              </w:rPr>
            </w:pPr>
            <w:r>
              <w:rPr>
                <w:rFonts w:hint="eastAsia"/>
                <w:color w:val="auto"/>
                <w:u w:val="single"/>
                <w:lang w:val="en-US" w:eastAsia="zh-CN"/>
              </w:rPr>
              <w:t>7.7</w:t>
            </w:r>
          </w:p>
        </w:tc>
        <w:tc>
          <w:tcPr>
            <w:tcW w:w="864"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碳酸二甲酯：7</w:t>
            </w:r>
          </w:p>
          <w:p>
            <w:pPr>
              <w:pStyle w:val="35"/>
              <w:bidi w:val="0"/>
              <w:ind w:firstLine="0" w:firstLineChars="0"/>
              <w:jc w:val="center"/>
              <w:rPr>
                <w:rFonts w:hint="default" w:ascii="Times New Roman" w:hAnsi="Times New Roman" w:eastAsia="宋体"/>
                <w:caps w:val="0"/>
                <w:smallCaps w:val="0"/>
                <w:color w:val="auto"/>
                <w:sz w:val="21"/>
                <w:szCs w:val="21"/>
                <w:u w:val="single"/>
                <w:lang w:val="en-US" w:eastAsia="zh-CN"/>
              </w:rPr>
            </w:pPr>
            <w:r>
              <w:rPr>
                <w:rFonts w:hint="eastAsia"/>
                <w:color w:val="auto"/>
                <w:u w:val="single"/>
                <w:lang w:val="en-US" w:eastAsia="zh-CN"/>
              </w:rPr>
              <w:t>草酸二甲酯：0.7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95" w:hRule="atLeast"/>
          <w:jc w:val="center"/>
        </w:trPr>
        <w:tc>
          <w:tcPr>
            <w:tcW w:w="767" w:type="pct"/>
            <w:tcBorders>
              <w:tl2br w:val="nil"/>
              <w:tr2bl w:val="nil"/>
            </w:tcBorders>
            <w:noWrap w:val="0"/>
            <w:vAlign w:val="center"/>
          </w:tcPr>
          <w:p>
            <w:pPr>
              <w:pStyle w:val="35"/>
              <w:bidi w:val="0"/>
              <w:ind w:firstLine="0" w:firstLineChars="0"/>
              <w:jc w:val="center"/>
              <w:rPr>
                <w:color w:val="auto"/>
                <w:u w:val="single"/>
              </w:rPr>
            </w:pPr>
            <w:r>
              <w:rPr>
                <w:rFonts w:hint="eastAsia"/>
                <w:color w:val="auto"/>
                <w:u w:val="single"/>
                <w:lang w:val="en-US" w:eastAsia="zh-CN"/>
              </w:rPr>
              <w:t>水</w:t>
            </w:r>
          </w:p>
        </w:tc>
        <w:tc>
          <w:tcPr>
            <w:tcW w:w="1005" w:type="pct"/>
            <w:tcBorders>
              <w:tl2br w:val="nil"/>
              <w:tr2bl w:val="nil"/>
            </w:tcBorders>
            <w:noWrap w:val="0"/>
            <w:vAlign w:val="center"/>
          </w:tcPr>
          <w:p>
            <w:pPr>
              <w:pStyle w:val="35"/>
              <w:bidi w:val="0"/>
              <w:ind w:firstLine="0" w:firstLineChars="0"/>
              <w:jc w:val="center"/>
              <w:rPr>
                <w:rFonts w:hint="default"/>
                <w:color w:val="auto"/>
                <w:u w:val="single"/>
                <w:lang w:val="en-US"/>
              </w:rPr>
            </w:pPr>
            <w:r>
              <w:rPr>
                <w:rFonts w:hint="eastAsia"/>
                <w:color w:val="auto"/>
                <w:u w:val="single"/>
                <w:lang w:val="en-US" w:eastAsia="zh-CN"/>
              </w:rPr>
              <w:t>树脂清洗水</w:t>
            </w:r>
          </w:p>
        </w:tc>
        <w:tc>
          <w:tcPr>
            <w:tcW w:w="614" w:type="pct"/>
            <w:tcBorders>
              <w:tl2br w:val="nil"/>
              <w:tr2bl w:val="nil"/>
            </w:tcBorders>
            <w:noWrap w:val="0"/>
            <w:vAlign w:val="center"/>
          </w:tcPr>
          <w:p>
            <w:pPr>
              <w:pStyle w:val="35"/>
              <w:bidi w:val="0"/>
              <w:ind w:firstLine="0" w:firstLineChars="0"/>
              <w:jc w:val="center"/>
              <w:rPr>
                <w:rFonts w:hint="default"/>
                <w:color w:val="auto"/>
                <w:u w:val="single"/>
                <w:lang w:val="en-US"/>
              </w:rPr>
            </w:pPr>
            <w:r>
              <w:rPr>
                <w:rFonts w:hint="eastAsia"/>
                <w:color w:val="auto"/>
                <w:u w:val="single"/>
                <w:lang w:val="en-US" w:eastAsia="zh-CN"/>
              </w:rPr>
              <w:t>152</w:t>
            </w:r>
          </w:p>
        </w:tc>
        <w:tc>
          <w:tcPr>
            <w:tcW w:w="611" w:type="pct"/>
            <w:vMerge w:val="continue"/>
            <w:tcBorders>
              <w:tl2br w:val="nil"/>
              <w:tr2bl w:val="nil"/>
            </w:tcBorders>
            <w:noWrap w:val="0"/>
            <w:vAlign w:val="center"/>
          </w:tcPr>
          <w:p>
            <w:pPr>
              <w:pStyle w:val="35"/>
              <w:bidi w:val="0"/>
              <w:jc w:val="center"/>
              <w:rPr>
                <w:color w:val="auto"/>
                <w:u w:val="single"/>
              </w:rPr>
            </w:pPr>
          </w:p>
        </w:tc>
        <w:tc>
          <w:tcPr>
            <w:tcW w:w="600" w:type="pct"/>
            <w:tcBorders>
              <w:tl2br w:val="nil"/>
              <w:tr2bl w:val="nil"/>
            </w:tcBorders>
            <w:noWrap w:val="0"/>
            <w:vAlign w:val="center"/>
          </w:tcPr>
          <w:p>
            <w:pPr>
              <w:pStyle w:val="35"/>
              <w:bidi w:val="0"/>
              <w:ind w:firstLine="0" w:firstLineChars="0"/>
              <w:jc w:val="center"/>
              <w:rPr>
                <w:rFonts w:ascii="Times New Roman" w:hAnsi="Times New Roman"/>
                <w:caps w:val="0"/>
                <w:smallCaps w:val="0"/>
                <w:color w:val="auto"/>
                <w:sz w:val="21"/>
                <w:szCs w:val="21"/>
                <w:u w:val="single"/>
              </w:rPr>
            </w:pPr>
            <w:r>
              <w:rPr>
                <w:rFonts w:hint="eastAsia" w:ascii="Times New Roman" w:hAnsi="Times New Roman"/>
                <w:caps w:val="0"/>
                <w:smallCaps w:val="0"/>
                <w:color w:val="auto"/>
                <w:sz w:val="21"/>
                <w:szCs w:val="21"/>
                <w:u w:val="single"/>
                <w:lang w:val="en-US" w:eastAsia="zh-CN"/>
              </w:rPr>
              <w:t>G</w:t>
            </w:r>
            <w:r>
              <w:rPr>
                <w:rFonts w:hint="eastAsia"/>
                <w:caps w:val="0"/>
                <w:smallCaps w:val="0"/>
                <w:color w:val="auto"/>
                <w:sz w:val="21"/>
                <w:szCs w:val="21"/>
                <w:u w:val="single"/>
                <w:lang w:val="en-US" w:eastAsia="zh-CN"/>
              </w:rPr>
              <w:t>3</w:t>
            </w:r>
            <w:r>
              <w:rPr>
                <w:rFonts w:ascii="Times New Roman" w:hAnsi="Times New Roman"/>
                <w:caps w:val="0"/>
                <w:smallCaps w:val="0"/>
                <w:color w:val="auto"/>
                <w:sz w:val="21"/>
                <w:szCs w:val="21"/>
                <w:u w:val="single"/>
              </w:rPr>
              <w:t>不冷凝气体</w:t>
            </w:r>
          </w:p>
        </w:tc>
        <w:tc>
          <w:tcPr>
            <w:tcW w:w="536" w:type="pct"/>
            <w:tcBorders>
              <w:tl2br w:val="nil"/>
              <w:tr2bl w:val="nil"/>
            </w:tcBorders>
            <w:noWrap w:val="0"/>
            <w:vAlign w:val="center"/>
          </w:tcPr>
          <w:p>
            <w:pPr>
              <w:pStyle w:val="35"/>
              <w:bidi w:val="0"/>
              <w:ind w:firstLine="0" w:firstLineChars="0"/>
              <w:jc w:val="center"/>
              <w:rPr>
                <w:rFonts w:hint="default" w:ascii="Times New Roman" w:hAnsi="Times New Roman" w:eastAsia="宋体"/>
                <w:caps w:val="0"/>
                <w:smallCaps w:val="0"/>
                <w:color w:val="auto"/>
                <w:sz w:val="21"/>
                <w:szCs w:val="21"/>
                <w:u w:val="single"/>
                <w:lang w:val="en-US" w:eastAsia="zh-CN"/>
              </w:rPr>
            </w:pPr>
            <w:r>
              <w:rPr>
                <w:rFonts w:hint="eastAsia" w:ascii="Times New Roman" w:hAnsi="Times New Roman"/>
                <w:caps w:val="0"/>
                <w:smallCaps w:val="0"/>
                <w:color w:val="auto"/>
                <w:sz w:val="21"/>
                <w:szCs w:val="21"/>
                <w:u w:val="single"/>
                <w:lang w:val="en-US" w:eastAsia="zh-CN"/>
              </w:rPr>
              <w:t>7.4</w:t>
            </w:r>
          </w:p>
        </w:tc>
        <w:tc>
          <w:tcPr>
            <w:tcW w:w="864" w:type="pct"/>
            <w:tcBorders>
              <w:tl2br w:val="nil"/>
              <w:tr2bl w:val="nil"/>
            </w:tcBorders>
            <w:noWrap w:val="0"/>
            <w:vAlign w:val="center"/>
          </w:tcPr>
          <w:p>
            <w:pPr>
              <w:pStyle w:val="35"/>
              <w:bidi w:val="0"/>
              <w:ind w:firstLine="0" w:firstLineChars="0"/>
              <w:jc w:val="center"/>
              <w:rPr>
                <w:rFonts w:hint="default" w:ascii="Times New Roman" w:hAnsi="Times New Roman"/>
                <w:caps w:val="0"/>
                <w:smallCaps w:val="0"/>
                <w:color w:val="auto"/>
                <w:sz w:val="21"/>
                <w:szCs w:val="21"/>
                <w:u w:val="single"/>
                <w:lang w:val="en-US" w:eastAsia="zh-CN"/>
              </w:rPr>
            </w:pPr>
            <w:r>
              <w:rPr>
                <w:rFonts w:hint="eastAsia" w:ascii="Times New Roman" w:hAnsi="Times New Roman"/>
                <w:caps w:val="0"/>
                <w:smallCaps w:val="0"/>
                <w:color w:val="auto"/>
                <w:sz w:val="21"/>
                <w:szCs w:val="21"/>
                <w:u w:val="single"/>
                <w:lang w:val="en-US" w:eastAsia="zh-CN"/>
              </w:rPr>
              <w:t>碳酸二甲酯：7.4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61" w:hRule="atLeast"/>
          <w:jc w:val="center"/>
        </w:trPr>
        <w:tc>
          <w:tcPr>
            <w:tcW w:w="1430" w:type="dxa"/>
            <w:tcBorders>
              <w:tl2br w:val="nil"/>
              <w:tr2bl w:val="nil"/>
            </w:tcBorders>
            <w:noWrap w:val="0"/>
            <w:vAlign w:val="center"/>
          </w:tcPr>
          <w:p>
            <w:pPr>
              <w:pStyle w:val="35"/>
              <w:bidi w:val="0"/>
              <w:ind w:firstLine="0" w:firstLineChars="0"/>
              <w:jc w:val="center"/>
              <w:rPr>
                <w:color w:val="auto"/>
                <w:u w:val="single"/>
              </w:rPr>
            </w:pPr>
            <w:r>
              <w:rPr>
                <w:rFonts w:hint="eastAsia"/>
                <w:color w:val="auto"/>
                <w:u w:val="single"/>
                <w:lang w:val="en-US" w:eastAsia="zh-CN"/>
              </w:rPr>
              <w:t>回用</w:t>
            </w:r>
          </w:p>
        </w:tc>
        <w:tc>
          <w:tcPr>
            <w:tcW w:w="1874" w:type="dxa"/>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甲醇：102.7</w:t>
            </w:r>
          </w:p>
          <w:p>
            <w:pPr>
              <w:pStyle w:val="35"/>
              <w:bidi w:val="0"/>
              <w:jc w:val="center"/>
              <w:rPr>
                <w:rFonts w:hint="default"/>
                <w:color w:val="auto"/>
                <w:u w:val="single"/>
                <w:lang w:val="en-US" w:eastAsia="zh-CN"/>
              </w:rPr>
            </w:pPr>
            <w:r>
              <w:rPr>
                <w:rFonts w:hint="eastAsia"/>
                <w:color w:val="auto"/>
                <w:u w:val="single"/>
                <w:lang w:val="en-US" w:eastAsia="zh-CN"/>
              </w:rPr>
              <w:t>碳酸二甲酯：422</w:t>
            </w:r>
          </w:p>
          <w:p>
            <w:pPr>
              <w:pStyle w:val="35"/>
              <w:bidi w:val="0"/>
              <w:jc w:val="center"/>
              <w:rPr>
                <w:rFonts w:hint="default"/>
                <w:color w:val="auto"/>
                <w:u w:val="single"/>
                <w:lang w:val="en-US" w:eastAsia="zh-CN"/>
              </w:rPr>
            </w:pPr>
            <w:r>
              <w:rPr>
                <w:rFonts w:hint="eastAsia"/>
                <w:color w:val="auto"/>
                <w:u w:val="single"/>
                <w:lang w:val="en-US" w:eastAsia="zh-CN"/>
              </w:rPr>
              <w:t>水：11.3</w:t>
            </w:r>
          </w:p>
          <w:p>
            <w:pPr>
              <w:pStyle w:val="35"/>
              <w:bidi w:val="0"/>
              <w:ind w:firstLine="0" w:firstLineChars="0"/>
              <w:jc w:val="center"/>
              <w:rPr>
                <w:color w:val="auto"/>
                <w:u w:val="single"/>
              </w:rPr>
            </w:pPr>
            <w:r>
              <w:rPr>
                <w:rFonts w:hint="eastAsia"/>
                <w:color w:val="auto"/>
                <w:u w:val="single"/>
                <w:lang w:val="en-US" w:eastAsia="zh-CN"/>
              </w:rPr>
              <w:t>其他：11</w:t>
            </w:r>
          </w:p>
        </w:tc>
        <w:tc>
          <w:tcPr>
            <w:tcW w:w="1145" w:type="dxa"/>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547</w:t>
            </w:r>
          </w:p>
          <w:p>
            <w:pPr>
              <w:pStyle w:val="35"/>
              <w:bidi w:val="0"/>
              <w:ind w:firstLine="0" w:firstLineChars="0"/>
              <w:jc w:val="center"/>
              <w:rPr>
                <w:color w:val="auto"/>
                <w:u w:val="single"/>
              </w:rPr>
            </w:pPr>
          </w:p>
        </w:tc>
        <w:tc>
          <w:tcPr>
            <w:tcW w:w="611" w:type="pct"/>
            <w:vMerge w:val="continue"/>
            <w:tcBorders>
              <w:tl2br w:val="nil"/>
              <w:tr2bl w:val="nil"/>
            </w:tcBorders>
            <w:noWrap w:val="0"/>
            <w:vAlign w:val="center"/>
          </w:tcPr>
          <w:p>
            <w:pPr>
              <w:pStyle w:val="35"/>
              <w:bidi w:val="0"/>
              <w:jc w:val="center"/>
              <w:rPr>
                <w:color w:val="auto"/>
                <w:u w:val="single"/>
              </w:rPr>
            </w:pPr>
          </w:p>
        </w:tc>
        <w:tc>
          <w:tcPr>
            <w:tcW w:w="600" w:type="pct"/>
            <w:tcBorders>
              <w:tl2br w:val="nil"/>
              <w:tr2bl w:val="nil"/>
            </w:tcBorders>
            <w:noWrap w:val="0"/>
            <w:vAlign w:val="center"/>
          </w:tcPr>
          <w:p>
            <w:pPr>
              <w:pStyle w:val="35"/>
              <w:bidi w:val="0"/>
              <w:jc w:val="center"/>
              <w:rPr>
                <w:rFonts w:hint="default" w:ascii="Times New Roman" w:hAnsi="Times New Roman" w:eastAsia="宋体"/>
                <w:caps w:val="0"/>
                <w:smallCaps w:val="0"/>
                <w:color w:val="auto"/>
                <w:sz w:val="21"/>
                <w:szCs w:val="21"/>
                <w:u w:val="single"/>
                <w:lang w:val="en-US" w:eastAsia="zh-CN"/>
              </w:rPr>
            </w:pPr>
            <w:r>
              <w:rPr>
                <w:rFonts w:hint="eastAsia" w:ascii="Times New Roman" w:hAnsi="Times New Roman"/>
                <w:caps w:val="0"/>
                <w:smallCaps w:val="0"/>
                <w:color w:val="auto"/>
                <w:sz w:val="21"/>
                <w:szCs w:val="21"/>
                <w:u w:val="single"/>
                <w:lang w:val="en-US" w:eastAsia="zh-CN"/>
              </w:rPr>
              <w:t>G4干燥废气</w:t>
            </w:r>
          </w:p>
        </w:tc>
        <w:tc>
          <w:tcPr>
            <w:tcW w:w="536" w:type="pct"/>
            <w:tcBorders>
              <w:tl2br w:val="nil"/>
              <w:tr2bl w:val="nil"/>
            </w:tcBorders>
            <w:noWrap w:val="0"/>
            <w:vAlign w:val="center"/>
          </w:tcPr>
          <w:p>
            <w:pPr>
              <w:pStyle w:val="35"/>
              <w:bidi w:val="0"/>
              <w:jc w:val="center"/>
              <w:rPr>
                <w:rFonts w:hint="default" w:ascii="Times New Roman" w:hAnsi="Times New Roman" w:eastAsia="宋体"/>
                <w:caps w:val="0"/>
                <w:smallCaps w:val="0"/>
                <w:color w:val="auto"/>
                <w:sz w:val="21"/>
                <w:szCs w:val="21"/>
                <w:u w:val="single"/>
                <w:lang w:val="en-US" w:eastAsia="zh-CN"/>
              </w:rPr>
            </w:pPr>
            <w:r>
              <w:rPr>
                <w:rFonts w:hint="eastAsia" w:ascii="Times New Roman" w:hAnsi="Times New Roman"/>
                <w:caps w:val="0"/>
                <w:smallCaps w:val="0"/>
                <w:color w:val="auto"/>
                <w:sz w:val="21"/>
                <w:szCs w:val="21"/>
                <w:u w:val="single"/>
                <w:lang w:val="en-US" w:eastAsia="zh-CN"/>
              </w:rPr>
              <w:t>1144.6</w:t>
            </w:r>
          </w:p>
        </w:tc>
        <w:tc>
          <w:tcPr>
            <w:tcW w:w="864" w:type="pct"/>
            <w:tcBorders>
              <w:tl2br w:val="nil"/>
              <w:tr2bl w:val="nil"/>
            </w:tcBorders>
            <w:noWrap w:val="0"/>
            <w:vAlign w:val="center"/>
          </w:tcPr>
          <w:p>
            <w:pPr>
              <w:pStyle w:val="35"/>
              <w:bidi w:val="0"/>
              <w:jc w:val="center"/>
              <w:rPr>
                <w:rFonts w:hint="default" w:ascii="Times New Roman" w:hAnsi="Times New Roman"/>
                <w:caps w:val="0"/>
                <w:smallCaps w:val="0"/>
                <w:color w:val="auto"/>
                <w:sz w:val="21"/>
                <w:szCs w:val="21"/>
                <w:u w:val="single"/>
                <w:lang w:val="en-US" w:eastAsia="zh-CN"/>
              </w:rPr>
            </w:pPr>
            <w:r>
              <w:rPr>
                <w:rFonts w:hint="eastAsia" w:ascii="Times New Roman" w:hAnsi="Times New Roman"/>
                <w:caps w:val="0"/>
                <w:smallCaps w:val="0"/>
                <w:color w:val="auto"/>
                <w:sz w:val="21"/>
                <w:szCs w:val="21"/>
                <w:u w:val="single"/>
                <w:lang w:val="en-US" w:eastAsia="zh-CN"/>
              </w:rPr>
              <w:t>水：1143.5</w:t>
            </w:r>
          </w:p>
          <w:p>
            <w:pPr>
              <w:pStyle w:val="35"/>
              <w:bidi w:val="0"/>
              <w:jc w:val="center"/>
              <w:rPr>
                <w:rFonts w:hint="default" w:ascii="Times New Roman" w:hAnsi="Times New Roman"/>
                <w:caps w:val="0"/>
                <w:smallCaps w:val="0"/>
                <w:color w:val="auto"/>
                <w:sz w:val="21"/>
                <w:szCs w:val="21"/>
                <w:u w:val="single"/>
                <w:lang w:val="en-US" w:eastAsia="zh-CN"/>
              </w:rPr>
            </w:pPr>
            <w:r>
              <w:rPr>
                <w:rFonts w:hint="eastAsia" w:ascii="Times New Roman" w:hAnsi="Times New Roman"/>
                <w:caps w:val="0"/>
                <w:smallCaps w:val="0"/>
                <w:color w:val="auto"/>
                <w:sz w:val="21"/>
                <w:szCs w:val="21"/>
                <w:u w:val="single"/>
                <w:lang w:val="en-US" w:eastAsia="zh-CN"/>
              </w:rPr>
              <w:t>甲醇：0.8</w:t>
            </w:r>
          </w:p>
          <w:p>
            <w:pPr>
              <w:pStyle w:val="35"/>
              <w:bidi w:val="0"/>
              <w:jc w:val="center"/>
              <w:rPr>
                <w:rFonts w:hint="default" w:ascii="Times New Roman" w:hAnsi="Times New Roman"/>
                <w:caps w:val="0"/>
                <w:smallCaps w:val="0"/>
                <w:color w:val="auto"/>
                <w:sz w:val="21"/>
                <w:szCs w:val="21"/>
                <w:u w:val="single"/>
                <w:lang w:val="en-US" w:eastAsia="zh-CN"/>
              </w:rPr>
            </w:pPr>
            <w:r>
              <w:rPr>
                <w:rFonts w:hint="eastAsia" w:ascii="Times New Roman" w:hAnsi="Times New Roman"/>
                <w:caps w:val="0"/>
                <w:smallCaps w:val="0"/>
                <w:color w:val="auto"/>
                <w:sz w:val="21"/>
                <w:szCs w:val="21"/>
                <w:u w:val="single"/>
                <w:lang w:val="en-US" w:eastAsia="zh-CN"/>
              </w:rPr>
              <w:t>碳酸二甲酯：0.3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67" w:type="pct"/>
            <w:tcBorders>
              <w:tl2br w:val="nil"/>
              <w:tr2bl w:val="nil"/>
            </w:tcBorders>
            <w:noWrap w:val="0"/>
            <w:vAlign w:val="center"/>
          </w:tcPr>
          <w:p>
            <w:pPr>
              <w:pStyle w:val="35"/>
              <w:bidi w:val="0"/>
              <w:ind w:firstLine="0" w:firstLineChars="0"/>
              <w:jc w:val="center"/>
              <w:rPr>
                <w:rFonts w:hint="eastAsia"/>
                <w:color w:val="auto"/>
                <w:u w:val="single"/>
                <w:lang w:val="en-US" w:eastAsia="zh-CN"/>
              </w:rPr>
            </w:pPr>
          </w:p>
        </w:tc>
        <w:tc>
          <w:tcPr>
            <w:tcW w:w="1005" w:type="pct"/>
            <w:tcBorders>
              <w:tl2br w:val="nil"/>
              <w:tr2bl w:val="nil"/>
            </w:tcBorders>
            <w:noWrap w:val="0"/>
            <w:vAlign w:val="center"/>
          </w:tcPr>
          <w:p>
            <w:pPr>
              <w:pStyle w:val="35"/>
              <w:bidi w:val="0"/>
              <w:ind w:firstLine="0" w:firstLineChars="0"/>
              <w:jc w:val="center"/>
              <w:rPr>
                <w:rFonts w:hint="default"/>
                <w:color w:val="auto"/>
                <w:u w:val="single"/>
                <w:lang w:val="en-US"/>
              </w:rPr>
            </w:pPr>
          </w:p>
        </w:tc>
        <w:tc>
          <w:tcPr>
            <w:tcW w:w="614" w:type="pct"/>
            <w:tcBorders>
              <w:tl2br w:val="nil"/>
              <w:tr2bl w:val="nil"/>
            </w:tcBorders>
            <w:noWrap w:val="0"/>
            <w:vAlign w:val="center"/>
          </w:tcPr>
          <w:p>
            <w:pPr>
              <w:pStyle w:val="35"/>
              <w:bidi w:val="0"/>
              <w:ind w:firstLine="0" w:firstLineChars="0"/>
              <w:jc w:val="center"/>
              <w:rPr>
                <w:rFonts w:hint="eastAsia"/>
                <w:color w:val="auto"/>
                <w:u w:val="single"/>
              </w:rPr>
            </w:pPr>
          </w:p>
        </w:tc>
        <w:tc>
          <w:tcPr>
            <w:tcW w:w="611" w:type="pct"/>
            <w:vMerge w:val="restar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废水</w:t>
            </w:r>
          </w:p>
        </w:tc>
        <w:tc>
          <w:tcPr>
            <w:tcW w:w="600"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酯化反应废水</w:t>
            </w:r>
          </w:p>
        </w:tc>
        <w:tc>
          <w:tcPr>
            <w:tcW w:w="536"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1294.2</w:t>
            </w:r>
          </w:p>
        </w:tc>
        <w:tc>
          <w:tcPr>
            <w:tcW w:w="864"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水：1157.6</w:t>
            </w:r>
          </w:p>
          <w:p>
            <w:pPr>
              <w:pStyle w:val="35"/>
              <w:bidi w:val="0"/>
              <w:jc w:val="center"/>
              <w:rPr>
                <w:rFonts w:hint="default"/>
                <w:color w:val="auto"/>
                <w:u w:val="single"/>
                <w:lang w:val="en-US" w:eastAsia="zh-CN"/>
              </w:rPr>
            </w:pPr>
            <w:r>
              <w:rPr>
                <w:rFonts w:hint="eastAsia"/>
                <w:color w:val="auto"/>
                <w:u w:val="single"/>
                <w:lang w:val="en-US" w:eastAsia="zh-CN"/>
              </w:rPr>
              <w:t>甲醇：15.2</w:t>
            </w:r>
          </w:p>
          <w:p>
            <w:pPr>
              <w:pStyle w:val="35"/>
              <w:bidi w:val="0"/>
              <w:jc w:val="center"/>
              <w:rPr>
                <w:rFonts w:hint="default"/>
                <w:color w:val="auto"/>
                <w:u w:val="single"/>
                <w:lang w:val="en-US" w:eastAsia="zh-CN"/>
              </w:rPr>
            </w:pPr>
            <w:r>
              <w:rPr>
                <w:rFonts w:hint="eastAsia"/>
                <w:color w:val="auto"/>
                <w:u w:val="single"/>
                <w:lang w:val="en-US" w:eastAsia="zh-CN"/>
              </w:rPr>
              <w:t>碳酸二甲酯：13.8</w:t>
            </w:r>
          </w:p>
          <w:p>
            <w:pPr>
              <w:pStyle w:val="35"/>
              <w:bidi w:val="0"/>
              <w:jc w:val="center"/>
              <w:rPr>
                <w:rFonts w:hint="default"/>
                <w:color w:val="auto"/>
                <w:u w:val="single"/>
                <w:lang w:val="en-US" w:eastAsia="zh-CN"/>
              </w:rPr>
            </w:pPr>
            <w:r>
              <w:rPr>
                <w:rFonts w:hint="eastAsia"/>
                <w:color w:val="auto"/>
                <w:u w:val="single"/>
                <w:lang w:val="en-US" w:eastAsia="zh-CN"/>
              </w:rPr>
              <w:t>醋酸：29.9</w:t>
            </w:r>
          </w:p>
          <w:p>
            <w:pPr>
              <w:pStyle w:val="35"/>
              <w:bidi w:val="0"/>
              <w:jc w:val="center"/>
              <w:rPr>
                <w:rFonts w:hint="default"/>
                <w:color w:val="auto"/>
                <w:u w:val="single"/>
                <w:lang w:val="en-US" w:eastAsia="zh-CN"/>
              </w:rPr>
            </w:pPr>
            <w:r>
              <w:rPr>
                <w:rFonts w:hint="eastAsia"/>
                <w:color w:val="auto"/>
                <w:u w:val="single"/>
                <w:lang w:val="en-US" w:eastAsia="zh-CN"/>
              </w:rPr>
              <w:t>醋酸甲酯：2.3</w:t>
            </w:r>
          </w:p>
          <w:p>
            <w:pPr>
              <w:pStyle w:val="35"/>
              <w:bidi w:val="0"/>
              <w:jc w:val="center"/>
              <w:rPr>
                <w:rFonts w:hint="default"/>
                <w:color w:val="auto"/>
                <w:u w:val="single"/>
                <w:lang w:val="en-US" w:eastAsia="zh-CN"/>
              </w:rPr>
            </w:pPr>
            <w:r>
              <w:rPr>
                <w:rFonts w:hint="eastAsia"/>
                <w:color w:val="auto"/>
                <w:u w:val="single"/>
                <w:lang w:val="en-US" w:eastAsia="zh-CN"/>
              </w:rPr>
              <w:t>对甲苯磺酸：75.4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67" w:type="pct"/>
            <w:tcBorders>
              <w:tl2br w:val="nil"/>
              <w:tr2bl w:val="nil"/>
            </w:tcBorders>
            <w:noWrap w:val="0"/>
            <w:vAlign w:val="center"/>
          </w:tcPr>
          <w:p>
            <w:pPr>
              <w:pStyle w:val="35"/>
              <w:bidi w:val="0"/>
              <w:ind w:firstLine="0" w:firstLineChars="0"/>
              <w:jc w:val="center"/>
              <w:rPr>
                <w:rFonts w:hint="eastAsia"/>
                <w:color w:val="auto"/>
                <w:u w:val="single"/>
                <w:lang w:val="en-US" w:eastAsia="zh-CN"/>
              </w:rPr>
            </w:pPr>
          </w:p>
        </w:tc>
        <w:tc>
          <w:tcPr>
            <w:tcW w:w="1005" w:type="pct"/>
            <w:tcBorders>
              <w:tl2br w:val="nil"/>
              <w:tr2bl w:val="nil"/>
            </w:tcBorders>
            <w:noWrap w:val="0"/>
            <w:vAlign w:val="center"/>
          </w:tcPr>
          <w:p>
            <w:pPr>
              <w:pStyle w:val="35"/>
              <w:bidi w:val="0"/>
              <w:ind w:firstLine="0" w:firstLineChars="0"/>
              <w:jc w:val="center"/>
              <w:rPr>
                <w:rFonts w:hint="eastAsia"/>
                <w:color w:val="auto"/>
                <w:u w:val="single"/>
                <w:lang w:val="en-US" w:eastAsia="zh-CN"/>
              </w:rPr>
            </w:pPr>
          </w:p>
        </w:tc>
        <w:tc>
          <w:tcPr>
            <w:tcW w:w="614" w:type="pct"/>
            <w:tcBorders>
              <w:tl2br w:val="nil"/>
              <w:tr2bl w:val="nil"/>
            </w:tcBorders>
            <w:noWrap w:val="0"/>
            <w:vAlign w:val="center"/>
          </w:tcPr>
          <w:p>
            <w:pPr>
              <w:pStyle w:val="35"/>
              <w:bidi w:val="0"/>
              <w:ind w:firstLine="0" w:firstLineChars="0"/>
              <w:jc w:val="center"/>
              <w:rPr>
                <w:rFonts w:hint="eastAsia"/>
                <w:color w:val="auto"/>
                <w:u w:val="single"/>
              </w:rPr>
            </w:pPr>
          </w:p>
        </w:tc>
        <w:tc>
          <w:tcPr>
            <w:tcW w:w="611" w:type="pct"/>
            <w:vMerge w:val="continue"/>
            <w:tcBorders>
              <w:tl2br w:val="nil"/>
              <w:tr2bl w:val="nil"/>
            </w:tcBorders>
            <w:noWrap w:val="0"/>
            <w:vAlign w:val="center"/>
          </w:tcPr>
          <w:p>
            <w:pPr>
              <w:pStyle w:val="35"/>
              <w:bidi w:val="0"/>
              <w:jc w:val="center"/>
              <w:rPr>
                <w:rFonts w:hint="default"/>
                <w:color w:val="auto"/>
                <w:u w:val="single"/>
                <w:lang w:val="en-US" w:eastAsia="zh-CN"/>
              </w:rPr>
            </w:pPr>
          </w:p>
        </w:tc>
        <w:tc>
          <w:tcPr>
            <w:tcW w:w="600"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树脂冲洗废水</w:t>
            </w:r>
          </w:p>
        </w:tc>
        <w:tc>
          <w:tcPr>
            <w:tcW w:w="536"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258.5</w:t>
            </w:r>
          </w:p>
        </w:tc>
        <w:tc>
          <w:tcPr>
            <w:tcW w:w="864" w:type="pct"/>
            <w:tcBorders>
              <w:tl2br w:val="nil"/>
              <w:tr2bl w:val="nil"/>
            </w:tcBorders>
            <w:noWrap w:val="0"/>
            <w:vAlign w:val="center"/>
          </w:tcPr>
          <w:p>
            <w:pPr>
              <w:pStyle w:val="35"/>
              <w:bidi w:val="0"/>
              <w:jc w:val="center"/>
              <w:rPr>
                <w:rFonts w:hint="eastAsia" w:eastAsia="宋体"/>
                <w:color w:val="auto"/>
                <w:u w:val="single"/>
                <w:lang w:val="en-US" w:eastAsia="zh-CN"/>
              </w:rPr>
            </w:pPr>
            <w:r>
              <w:rPr>
                <w:rFonts w:hint="eastAsia"/>
                <w:color w:val="auto"/>
                <w:u w:val="single"/>
                <w:lang w:val="en-US" w:eastAsia="zh-CN"/>
              </w:rPr>
              <w:t>乙</w:t>
            </w:r>
            <w:r>
              <w:rPr>
                <w:rFonts w:hint="eastAsia" w:eastAsia="宋体"/>
                <w:color w:val="auto"/>
                <w:u w:val="single"/>
                <w:lang w:val="en-US" w:eastAsia="zh-CN"/>
              </w:rPr>
              <w:t>醛酸106.5</w:t>
            </w:r>
          </w:p>
          <w:p>
            <w:pPr>
              <w:pStyle w:val="35"/>
              <w:bidi w:val="0"/>
              <w:jc w:val="center"/>
              <w:rPr>
                <w:rFonts w:hint="default"/>
                <w:color w:val="auto"/>
                <w:u w:val="single"/>
                <w:lang w:val="en-US"/>
              </w:rPr>
            </w:pPr>
            <w:r>
              <w:rPr>
                <w:rFonts w:hint="eastAsia" w:eastAsia="宋体"/>
                <w:color w:val="auto"/>
                <w:u w:val="single"/>
                <w:lang w:val="en-US" w:eastAsia="zh-CN"/>
              </w:rPr>
              <w:t>水152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67" w:type="pct"/>
            <w:tcBorders>
              <w:tl2br w:val="nil"/>
              <w:tr2bl w:val="nil"/>
            </w:tcBorders>
            <w:noWrap w:val="0"/>
            <w:vAlign w:val="center"/>
          </w:tcPr>
          <w:p>
            <w:pPr>
              <w:pStyle w:val="35"/>
              <w:bidi w:val="0"/>
              <w:jc w:val="center"/>
              <w:rPr>
                <w:rFonts w:hint="default"/>
                <w:color w:val="auto"/>
                <w:u w:val="single"/>
                <w:lang w:val="en-US" w:eastAsia="zh-CN"/>
              </w:rPr>
            </w:pPr>
          </w:p>
        </w:tc>
        <w:tc>
          <w:tcPr>
            <w:tcW w:w="1005" w:type="pct"/>
            <w:tcBorders>
              <w:tl2br w:val="nil"/>
              <w:tr2bl w:val="nil"/>
            </w:tcBorders>
            <w:noWrap w:val="0"/>
            <w:vAlign w:val="center"/>
          </w:tcPr>
          <w:p>
            <w:pPr>
              <w:pStyle w:val="35"/>
              <w:bidi w:val="0"/>
              <w:jc w:val="center"/>
              <w:rPr>
                <w:rFonts w:hint="default" w:eastAsia="宋体"/>
                <w:color w:val="auto"/>
                <w:u w:val="single"/>
                <w:lang w:val="en-US" w:eastAsia="zh-CN"/>
              </w:rPr>
            </w:pPr>
          </w:p>
        </w:tc>
        <w:tc>
          <w:tcPr>
            <w:tcW w:w="614" w:type="pct"/>
            <w:tcBorders>
              <w:tl2br w:val="nil"/>
              <w:tr2bl w:val="nil"/>
            </w:tcBorders>
            <w:noWrap w:val="0"/>
            <w:vAlign w:val="center"/>
          </w:tcPr>
          <w:p>
            <w:pPr>
              <w:pStyle w:val="35"/>
              <w:bidi w:val="0"/>
              <w:jc w:val="center"/>
              <w:rPr>
                <w:rFonts w:hint="default"/>
                <w:color w:val="auto"/>
                <w:u w:val="single"/>
                <w:lang w:val="en-US"/>
              </w:rPr>
            </w:pPr>
          </w:p>
        </w:tc>
        <w:tc>
          <w:tcPr>
            <w:tcW w:w="611" w:type="pct"/>
            <w:tcBorders>
              <w:tl2br w:val="nil"/>
              <w:tr2bl w:val="nil"/>
            </w:tcBorders>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废渣</w:t>
            </w:r>
          </w:p>
        </w:tc>
        <w:tc>
          <w:tcPr>
            <w:tcW w:w="600"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釜渣</w:t>
            </w:r>
          </w:p>
        </w:tc>
        <w:tc>
          <w:tcPr>
            <w:tcW w:w="536" w:type="pct"/>
            <w:tcBorders>
              <w:tl2br w:val="nil"/>
              <w:tr2bl w:val="nil"/>
            </w:tcBorders>
            <w:noWrap w:val="0"/>
            <w:vAlign w:val="center"/>
          </w:tcPr>
          <w:p>
            <w:pPr>
              <w:pStyle w:val="35"/>
              <w:bidi w:val="0"/>
              <w:jc w:val="center"/>
              <w:rPr>
                <w:rFonts w:hint="default" w:eastAsia="宋体"/>
                <w:color w:val="auto"/>
                <w:u w:val="single"/>
                <w:lang w:val="en-US" w:eastAsia="zh-CN"/>
              </w:rPr>
            </w:pPr>
            <w:r>
              <w:rPr>
                <w:rFonts w:hint="eastAsia"/>
                <w:color w:val="auto"/>
                <w:u w:val="single"/>
                <w:lang w:val="en-US" w:eastAsia="zh-CN"/>
              </w:rPr>
              <w:t>1.2</w:t>
            </w:r>
          </w:p>
        </w:tc>
        <w:tc>
          <w:tcPr>
            <w:tcW w:w="864"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醋酸甲酯：0.6</w:t>
            </w:r>
          </w:p>
          <w:p>
            <w:pPr>
              <w:pStyle w:val="35"/>
              <w:bidi w:val="0"/>
              <w:jc w:val="center"/>
              <w:rPr>
                <w:rFonts w:hint="default"/>
                <w:color w:val="auto"/>
                <w:u w:val="single"/>
                <w:lang w:val="en-US" w:eastAsia="zh-CN"/>
              </w:rPr>
            </w:pPr>
            <w:r>
              <w:rPr>
                <w:rFonts w:hint="eastAsia"/>
                <w:color w:val="auto"/>
                <w:u w:val="single"/>
                <w:lang w:val="en-US" w:eastAsia="zh-CN"/>
              </w:rPr>
              <w:t>对甲苯磺酸：0.6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67" w:type="pct"/>
            <w:tcBorders>
              <w:tl2br w:val="nil"/>
              <w:tr2bl w:val="nil"/>
            </w:tcBorders>
            <w:noWrap w:val="0"/>
            <w:vAlign w:val="center"/>
          </w:tcPr>
          <w:p>
            <w:pPr>
              <w:pStyle w:val="35"/>
              <w:bidi w:val="0"/>
              <w:ind w:firstLine="0" w:firstLineChars="0"/>
              <w:jc w:val="center"/>
              <w:rPr>
                <w:rFonts w:hint="eastAsia"/>
                <w:color w:val="auto"/>
                <w:u w:val="single"/>
                <w:lang w:val="en-US" w:eastAsia="zh-CN"/>
              </w:rPr>
            </w:pPr>
          </w:p>
        </w:tc>
        <w:tc>
          <w:tcPr>
            <w:tcW w:w="1005" w:type="pct"/>
            <w:tcBorders>
              <w:tl2br w:val="nil"/>
              <w:tr2bl w:val="nil"/>
            </w:tcBorders>
            <w:noWrap w:val="0"/>
            <w:vAlign w:val="center"/>
          </w:tcPr>
          <w:p>
            <w:pPr>
              <w:pStyle w:val="35"/>
              <w:bidi w:val="0"/>
              <w:ind w:firstLine="0" w:firstLineChars="0"/>
              <w:jc w:val="center"/>
              <w:rPr>
                <w:rFonts w:hint="default"/>
                <w:color w:val="auto"/>
                <w:u w:val="single"/>
                <w:lang w:val="en-US" w:eastAsia="zh-CN"/>
              </w:rPr>
            </w:pPr>
          </w:p>
        </w:tc>
        <w:tc>
          <w:tcPr>
            <w:tcW w:w="614" w:type="pct"/>
            <w:tcBorders>
              <w:tl2br w:val="nil"/>
              <w:tr2bl w:val="nil"/>
            </w:tcBorders>
            <w:noWrap w:val="0"/>
            <w:vAlign w:val="center"/>
          </w:tcPr>
          <w:p>
            <w:pPr>
              <w:pStyle w:val="35"/>
              <w:bidi w:val="0"/>
              <w:ind w:firstLine="0" w:firstLineChars="0"/>
              <w:jc w:val="center"/>
              <w:rPr>
                <w:rFonts w:hint="default"/>
                <w:color w:val="auto"/>
                <w:u w:val="single"/>
                <w:lang w:val="en-US" w:eastAsia="zh-CN"/>
              </w:rPr>
            </w:pPr>
          </w:p>
        </w:tc>
        <w:tc>
          <w:tcPr>
            <w:tcW w:w="1212" w:type="pct"/>
            <w:gridSpan w:val="2"/>
            <w:tcBorders>
              <w:tl2br w:val="nil"/>
              <w:tr2bl w:val="nil"/>
            </w:tcBorders>
            <w:noWrap w:val="0"/>
            <w:vAlign w:val="center"/>
          </w:tcPr>
          <w:p>
            <w:pPr>
              <w:pStyle w:val="35"/>
              <w:bidi w:val="0"/>
              <w:jc w:val="center"/>
              <w:rPr>
                <w:rFonts w:hint="eastAsia" w:eastAsia="宋体"/>
                <w:color w:val="auto"/>
                <w:u w:val="single"/>
                <w:lang w:val="en-US" w:eastAsia="zh-CN"/>
              </w:rPr>
            </w:pPr>
            <w:r>
              <w:rPr>
                <w:rFonts w:hint="eastAsia"/>
                <w:color w:val="auto"/>
                <w:u w:val="single"/>
                <w:lang w:val="en-US" w:eastAsia="zh-CN"/>
              </w:rPr>
              <w:t>回用</w:t>
            </w:r>
          </w:p>
        </w:tc>
        <w:tc>
          <w:tcPr>
            <w:tcW w:w="536" w:type="pct"/>
            <w:tcBorders>
              <w:tl2br w:val="nil"/>
              <w:tr2bl w:val="nil"/>
            </w:tcBorders>
            <w:noWrap w:val="0"/>
            <w:vAlign w:val="center"/>
          </w:tcPr>
          <w:p>
            <w:pPr>
              <w:pStyle w:val="35"/>
              <w:bidi w:val="0"/>
              <w:jc w:val="center"/>
              <w:rPr>
                <w:rFonts w:hint="default" w:eastAsia="宋体"/>
                <w:color w:val="auto"/>
                <w:u w:val="single"/>
                <w:lang w:val="en-US" w:eastAsia="zh-CN"/>
              </w:rPr>
            </w:pPr>
            <w:r>
              <w:rPr>
                <w:rFonts w:hint="eastAsia"/>
                <w:color w:val="auto"/>
                <w:u w:val="single"/>
                <w:lang w:val="en-US" w:eastAsia="zh-CN"/>
              </w:rPr>
              <w:t>547</w:t>
            </w:r>
          </w:p>
        </w:tc>
        <w:tc>
          <w:tcPr>
            <w:tcW w:w="864" w:type="pct"/>
            <w:tcBorders>
              <w:tl2br w:val="nil"/>
              <w:tr2bl w:val="nil"/>
            </w:tcBorders>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甲醇：102.7</w:t>
            </w:r>
          </w:p>
          <w:p>
            <w:pPr>
              <w:pStyle w:val="35"/>
              <w:bidi w:val="0"/>
              <w:jc w:val="center"/>
              <w:rPr>
                <w:rFonts w:hint="default"/>
                <w:color w:val="auto"/>
                <w:u w:val="single"/>
                <w:lang w:val="en-US" w:eastAsia="zh-CN"/>
              </w:rPr>
            </w:pPr>
            <w:r>
              <w:rPr>
                <w:rFonts w:hint="eastAsia"/>
                <w:color w:val="auto"/>
                <w:u w:val="single"/>
                <w:lang w:val="en-US" w:eastAsia="zh-CN"/>
              </w:rPr>
              <w:t>碳酸二甲酯：422</w:t>
            </w:r>
          </w:p>
          <w:p>
            <w:pPr>
              <w:pStyle w:val="35"/>
              <w:bidi w:val="0"/>
              <w:jc w:val="center"/>
              <w:rPr>
                <w:rFonts w:hint="default"/>
                <w:color w:val="auto"/>
                <w:u w:val="single"/>
                <w:lang w:val="en-US" w:eastAsia="zh-CN"/>
              </w:rPr>
            </w:pPr>
            <w:r>
              <w:rPr>
                <w:rFonts w:hint="eastAsia"/>
                <w:color w:val="auto"/>
                <w:u w:val="single"/>
                <w:lang w:val="en-US" w:eastAsia="zh-CN"/>
              </w:rPr>
              <w:t>水：11.3</w:t>
            </w:r>
          </w:p>
          <w:p>
            <w:pPr>
              <w:pStyle w:val="35"/>
              <w:bidi w:val="0"/>
              <w:jc w:val="center"/>
              <w:rPr>
                <w:rFonts w:hint="default"/>
                <w:color w:val="auto"/>
                <w:u w:val="single"/>
                <w:lang w:val="en-US" w:eastAsia="zh-CN"/>
              </w:rPr>
            </w:pPr>
            <w:r>
              <w:rPr>
                <w:rFonts w:hint="eastAsia"/>
                <w:color w:val="auto"/>
                <w:u w:val="single"/>
                <w:lang w:val="en-US" w:eastAsia="zh-CN"/>
              </w:rPr>
              <w:t>其他：11</w:t>
            </w:r>
          </w:p>
          <w:p>
            <w:pPr>
              <w:pStyle w:val="35"/>
              <w:bidi w:val="0"/>
              <w:jc w:val="center"/>
              <w:rPr>
                <w:rFonts w:hint="default"/>
                <w:color w:val="auto"/>
                <w:u w:val="singl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75" w:hRule="atLeast"/>
          <w:jc w:val="center"/>
        </w:trPr>
        <w:tc>
          <w:tcPr>
            <w:tcW w:w="767" w:type="pct"/>
            <w:vMerge w:val="restart"/>
            <w:tcBorders>
              <w:tl2br w:val="nil"/>
              <w:tr2bl w:val="nil"/>
            </w:tcBorders>
            <w:noWrap w:val="0"/>
            <w:vAlign w:val="center"/>
          </w:tcPr>
          <w:p>
            <w:pPr>
              <w:pStyle w:val="35"/>
              <w:bidi w:val="0"/>
              <w:ind w:firstLine="0" w:firstLineChars="0"/>
              <w:jc w:val="center"/>
              <w:rPr>
                <w:rFonts w:hint="default"/>
                <w:color w:val="auto"/>
                <w:u w:val="single"/>
                <w:lang w:val="en-US" w:eastAsia="zh-CN"/>
              </w:rPr>
            </w:pPr>
          </w:p>
        </w:tc>
        <w:tc>
          <w:tcPr>
            <w:tcW w:w="1005" w:type="pct"/>
            <w:vMerge w:val="restart"/>
            <w:tcBorders>
              <w:tl2br w:val="nil"/>
              <w:tr2bl w:val="nil"/>
            </w:tcBorders>
            <w:noWrap w:val="0"/>
            <w:vAlign w:val="center"/>
          </w:tcPr>
          <w:p>
            <w:pPr>
              <w:pStyle w:val="35"/>
              <w:bidi w:val="0"/>
              <w:ind w:firstLine="0" w:firstLineChars="0"/>
              <w:jc w:val="center"/>
              <w:rPr>
                <w:rFonts w:hint="default"/>
                <w:color w:val="auto"/>
                <w:u w:val="single"/>
                <w:lang w:val="en-US" w:eastAsia="zh-CN"/>
              </w:rPr>
            </w:pPr>
          </w:p>
        </w:tc>
        <w:tc>
          <w:tcPr>
            <w:tcW w:w="614" w:type="pct"/>
            <w:vMerge w:val="restart"/>
            <w:tcBorders>
              <w:tl2br w:val="nil"/>
              <w:tr2bl w:val="nil"/>
            </w:tcBorders>
            <w:noWrap w:val="0"/>
            <w:vAlign w:val="center"/>
          </w:tcPr>
          <w:p>
            <w:pPr>
              <w:pStyle w:val="35"/>
              <w:bidi w:val="0"/>
              <w:ind w:firstLine="0" w:firstLineChars="0"/>
              <w:jc w:val="center"/>
              <w:rPr>
                <w:rFonts w:hint="default"/>
                <w:color w:val="auto"/>
                <w:u w:val="single"/>
                <w:lang w:val="en-US" w:eastAsia="zh-CN"/>
              </w:rPr>
            </w:pPr>
          </w:p>
        </w:tc>
        <w:tc>
          <w:tcPr>
            <w:tcW w:w="1212" w:type="pct"/>
            <w:gridSpan w:val="2"/>
            <w:vMerge w:val="restart"/>
            <w:tcBorders>
              <w:tl2br w:val="nil"/>
              <w:tr2bl w:val="nil"/>
            </w:tcBorders>
            <w:noWrap w:val="0"/>
            <w:vAlign w:val="center"/>
          </w:tcPr>
          <w:p>
            <w:pPr>
              <w:pStyle w:val="35"/>
              <w:bidi w:val="0"/>
              <w:ind w:firstLine="0" w:firstLineChars="0"/>
              <w:jc w:val="center"/>
              <w:rPr>
                <w:rFonts w:hint="default"/>
                <w:color w:val="auto"/>
                <w:u w:val="single"/>
                <w:lang w:val="en-US" w:eastAsia="zh-CN"/>
              </w:rPr>
            </w:pPr>
            <w:r>
              <w:rPr>
                <w:rFonts w:hint="eastAsia"/>
                <w:color w:val="auto"/>
                <w:u w:val="single"/>
                <w:lang w:val="en-US" w:eastAsia="zh-CN"/>
              </w:rPr>
              <w:t>副产品</w:t>
            </w:r>
          </w:p>
          <w:p>
            <w:pPr>
              <w:pStyle w:val="35"/>
              <w:bidi w:val="0"/>
              <w:ind w:firstLine="0" w:firstLineChars="0"/>
              <w:jc w:val="center"/>
              <w:rPr>
                <w:rFonts w:hint="default"/>
                <w:color w:val="auto"/>
                <w:u w:val="single"/>
                <w:lang w:val="en-US" w:eastAsia="zh-CN"/>
              </w:rPr>
            </w:pPr>
            <w:r>
              <w:rPr>
                <w:rFonts w:hint="eastAsia"/>
                <w:color w:val="auto"/>
                <w:u w:val="single"/>
                <w:lang w:val="en-US" w:eastAsia="zh-CN"/>
              </w:rPr>
              <w:t>做溶剂出售</w:t>
            </w:r>
          </w:p>
        </w:tc>
        <w:tc>
          <w:tcPr>
            <w:tcW w:w="536" w:type="pct"/>
            <w:tcBorders>
              <w:tl2br w:val="nil"/>
              <w:tr2bl w:val="nil"/>
            </w:tcBorders>
            <w:noWrap w:val="0"/>
            <w:vAlign w:val="center"/>
          </w:tcPr>
          <w:p>
            <w:pPr>
              <w:pStyle w:val="35"/>
              <w:bidi w:val="0"/>
              <w:ind w:firstLine="0" w:firstLineChars="0"/>
              <w:jc w:val="center"/>
              <w:rPr>
                <w:rFonts w:hint="default"/>
                <w:color w:val="auto"/>
                <w:u w:val="single"/>
                <w:lang w:val="en-US" w:eastAsia="zh-CN"/>
              </w:rPr>
            </w:pPr>
            <w:r>
              <w:rPr>
                <w:rFonts w:hint="eastAsia"/>
                <w:color w:val="auto"/>
                <w:u w:val="single"/>
                <w:lang w:val="en-US" w:eastAsia="zh-CN"/>
              </w:rPr>
              <w:t>211</w:t>
            </w:r>
          </w:p>
        </w:tc>
        <w:tc>
          <w:tcPr>
            <w:tcW w:w="864" w:type="pct"/>
            <w:tcBorders>
              <w:tl2br w:val="nil"/>
              <w:tr2bl w:val="nil"/>
            </w:tcBorders>
            <w:noWrap w:val="0"/>
            <w:vAlign w:val="center"/>
          </w:tcPr>
          <w:p>
            <w:pPr>
              <w:pStyle w:val="35"/>
              <w:bidi w:val="0"/>
              <w:ind w:firstLine="0" w:firstLineChars="0"/>
              <w:jc w:val="center"/>
              <w:rPr>
                <w:rFonts w:hint="default"/>
                <w:color w:val="auto"/>
                <w:u w:val="single"/>
                <w:lang w:val="en-US" w:eastAsia="zh-CN"/>
              </w:rPr>
            </w:pPr>
            <w:r>
              <w:rPr>
                <w:rFonts w:hint="eastAsia"/>
                <w:color w:val="auto"/>
                <w:u w:val="single"/>
                <w:lang w:val="en-US" w:eastAsia="zh-CN"/>
              </w:rPr>
              <w:t>草酸二甲酯：105.5</w:t>
            </w:r>
          </w:p>
          <w:p>
            <w:pPr>
              <w:pStyle w:val="35"/>
              <w:bidi w:val="0"/>
              <w:ind w:firstLine="0" w:firstLineChars="0"/>
              <w:jc w:val="center"/>
              <w:rPr>
                <w:rFonts w:hint="default"/>
                <w:color w:val="auto"/>
                <w:u w:val="single"/>
                <w:lang w:val="en-US" w:eastAsia="zh-CN"/>
              </w:rPr>
            </w:pPr>
            <w:r>
              <w:rPr>
                <w:rFonts w:hint="eastAsia"/>
                <w:color w:val="auto"/>
                <w:u w:val="single"/>
                <w:lang w:val="en-US" w:eastAsia="zh-CN"/>
              </w:rPr>
              <w:t>水：105.5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75" w:hRule="atLeast"/>
          <w:jc w:val="center"/>
        </w:trPr>
        <w:tc>
          <w:tcPr>
            <w:tcW w:w="767" w:type="pct"/>
            <w:vMerge w:val="continue"/>
            <w:tcBorders>
              <w:tl2br w:val="nil"/>
              <w:tr2bl w:val="nil"/>
            </w:tcBorders>
            <w:noWrap w:val="0"/>
            <w:vAlign w:val="center"/>
          </w:tcPr>
          <w:p>
            <w:pPr>
              <w:pStyle w:val="35"/>
              <w:bidi w:val="0"/>
              <w:ind w:firstLine="0" w:firstLineChars="0"/>
              <w:jc w:val="center"/>
              <w:rPr>
                <w:color w:val="auto"/>
                <w:u w:val="single"/>
              </w:rPr>
            </w:pPr>
          </w:p>
        </w:tc>
        <w:tc>
          <w:tcPr>
            <w:tcW w:w="1005" w:type="pct"/>
            <w:vMerge w:val="continue"/>
            <w:tcBorders>
              <w:tl2br w:val="nil"/>
              <w:tr2bl w:val="nil"/>
            </w:tcBorders>
            <w:noWrap w:val="0"/>
            <w:vAlign w:val="center"/>
          </w:tcPr>
          <w:p>
            <w:pPr>
              <w:pStyle w:val="35"/>
              <w:bidi w:val="0"/>
              <w:ind w:firstLine="0" w:firstLineChars="0"/>
              <w:jc w:val="center"/>
              <w:rPr>
                <w:color w:val="auto"/>
                <w:u w:val="single"/>
              </w:rPr>
            </w:pPr>
          </w:p>
        </w:tc>
        <w:tc>
          <w:tcPr>
            <w:tcW w:w="614" w:type="pct"/>
            <w:vMerge w:val="continue"/>
            <w:tcBorders>
              <w:tl2br w:val="nil"/>
              <w:tr2bl w:val="nil"/>
            </w:tcBorders>
            <w:noWrap w:val="0"/>
            <w:vAlign w:val="center"/>
          </w:tcPr>
          <w:p>
            <w:pPr>
              <w:pStyle w:val="35"/>
              <w:bidi w:val="0"/>
              <w:ind w:firstLine="0" w:firstLineChars="0"/>
              <w:jc w:val="center"/>
              <w:rPr>
                <w:color w:val="auto"/>
                <w:u w:val="single"/>
              </w:rPr>
            </w:pPr>
          </w:p>
        </w:tc>
        <w:tc>
          <w:tcPr>
            <w:tcW w:w="1212" w:type="pct"/>
            <w:gridSpan w:val="2"/>
            <w:vMerge w:val="continue"/>
            <w:tcBorders>
              <w:tl2br w:val="nil"/>
              <w:tr2bl w:val="nil"/>
            </w:tcBorders>
            <w:noWrap w:val="0"/>
            <w:vAlign w:val="center"/>
          </w:tcPr>
          <w:p>
            <w:pPr>
              <w:pStyle w:val="35"/>
              <w:bidi w:val="0"/>
              <w:ind w:firstLine="0" w:firstLineChars="0"/>
              <w:jc w:val="center"/>
              <w:rPr>
                <w:color w:val="auto"/>
                <w:u w:val="single"/>
              </w:rPr>
            </w:pPr>
          </w:p>
        </w:tc>
        <w:tc>
          <w:tcPr>
            <w:tcW w:w="536" w:type="pct"/>
            <w:tcBorders>
              <w:tl2br w:val="nil"/>
              <w:tr2bl w:val="nil"/>
            </w:tcBorders>
            <w:noWrap w:val="0"/>
            <w:vAlign w:val="center"/>
          </w:tcPr>
          <w:p>
            <w:pPr>
              <w:pStyle w:val="35"/>
              <w:bidi w:val="0"/>
              <w:ind w:firstLine="0" w:firstLineChars="0"/>
              <w:jc w:val="center"/>
              <w:rPr>
                <w:rFonts w:hint="default"/>
                <w:color w:val="auto"/>
                <w:u w:val="single"/>
                <w:lang w:val="en-US" w:eastAsia="zh-CN"/>
              </w:rPr>
            </w:pPr>
            <w:r>
              <w:rPr>
                <w:rFonts w:hint="eastAsia"/>
                <w:color w:val="auto"/>
                <w:u w:val="single"/>
                <w:lang w:val="en-US" w:eastAsia="zh-CN"/>
              </w:rPr>
              <w:t>439.8</w:t>
            </w:r>
          </w:p>
        </w:tc>
        <w:tc>
          <w:tcPr>
            <w:tcW w:w="864" w:type="pct"/>
            <w:tcBorders>
              <w:tl2br w:val="nil"/>
              <w:tr2bl w:val="nil"/>
            </w:tcBorders>
            <w:noWrap w:val="0"/>
            <w:vAlign w:val="center"/>
          </w:tcPr>
          <w:p>
            <w:pPr>
              <w:pStyle w:val="35"/>
              <w:bidi w:val="0"/>
              <w:ind w:firstLine="0" w:firstLineChars="0"/>
              <w:jc w:val="center"/>
              <w:rPr>
                <w:rFonts w:hint="default"/>
                <w:color w:val="auto"/>
                <w:u w:val="single"/>
                <w:lang w:val="en-US" w:eastAsia="zh-CN"/>
              </w:rPr>
            </w:pPr>
            <w:r>
              <w:rPr>
                <w:rFonts w:hint="eastAsia"/>
                <w:color w:val="auto"/>
                <w:u w:val="single"/>
                <w:lang w:val="en-US" w:eastAsia="zh-CN"/>
              </w:rPr>
              <w:t>碳酸二甲酯：225.1</w:t>
            </w:r>
          </w:p>
          <w:p>
            <w:pPr>
              <w:pStyle w:val="35"/>
              <w:bidi w:val="0"/>
              <w:ind w:firstLine="0" w:firstLineChars="0"/>
              <w:jc w:val="center"/>
              <w:rPr>
                <w:rFonts w:hint="default"/>
                <w:color w:val="auto"/>
                <w:u w:val="single"/>
                <w:lang w:val="en-US" w:eastAsia="zh-CN"/>
              </w:rPr>
            </w:pPr>
            <w:r>
              <w:rPr>
                <w:rFonts w:hint="eastAsia"/>
                <w:color w:val="auto"/>
                <w:u w:val="single"/>
                <w:lang w:val="en-US" w:eastAsia="zh-CN"/>
              </w:rPr>
              <w:t>草酸二甲酯：53.4</w:t>
            </w:r>
          </w:p>
          <w:p>
            <w:pPr>
              <w:pStyle w:val="35"/>
              <w:bidi w:val="0"/>
              <w:ind w:firstLine="0" w:firstLineChars="0"/>
              <w:jc w:val="center"/>
              <w:rPr>
                <w:rFonts w:hint="default"/>
                <w:color w:val="auto"/>
                <w:u w:val="single"/>
                <w:lang w:val="en-US" w:eastAsia="zh-CN"/>
              </w:rPr>
            </w:pPr>
            <w:r>
              <w:rPr>
                <w:rFonts w:hint="eastAsia"/>
                <w:color w:val="auto"/>
                <w:u w:val="single"/>
                <w:lang w:val="en-US" w:eastAsia="zh-CN"/>
              </w:rPr>
              <w:t>其他：161.3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67" w:type="pct"/>
            <w:tcBorders>
              <w:tl2br w:val="nil"/>
              <w:tr2bl w:val="nil"/>
            </w:tcBorders>
            <w:noWrap w:val="0"/>
            <w:vAlign w:val="center"/>
          </w:tcPr>
          <w:p>
            <w:pPr>
              <w:pStyle w:val="35"/>
              <w:bidi w:val="0"/>
              <w:ind w:firstLine="0" w:firstLineChars="0"/>
              <w:jc w:val="center"/>
              <w:rPr>
                <w:rFonts w:hint="default"/>
                <w:color w:val="auto"/>
                <w:u w:val="single"/>
                <w:lang w:val="en-US" w:eastAsia="zh-CN"/>
              </w:rPr>
            </w:pPr>
          </w:p>
        </w:tc>
        <w:tc>
          <w:tcPr>
            <w:tcW w:w="1005" w:type="pct"/>
            <w:tcBorders>
              <w:tl2br w:val="nil"/>
              <w:tr2bl w:val="nil"/>
            </w:tcBorders>
            <w:noWrap w:val="0"/>
            <w:vAlign w:val="center"/>
          </w:tcPr>
          <w:p>
            <w:pPr>
              <w:pStyle w:val="35"/>
              <w:bidi w:val="0"/>
              <w:ind w:firstLine="0" w:firstLineChars="0"/>
              <w:jc w:val="center"/>
              <w:rPr>
                <w:rFonts w:hint="default"/>
                <w:color w:val="auto"/>
                <w:u w:val="single"/>
                <w:lang w:val="en-US" w:eastAsia="zh-CN"/>
              </w:rPr>
            </w:pPr>
          </w:p>
        </w:tc>
        <w:tc>
          <w:tcPr>
            <w:tcW w:w="614" w:type="pct"/>
            <w:tcBorders>
              <w:tl2br w:val="nil"/>
              <w:tr2bl w:val="nil"/>
            </w:tcBorders>
            <w:noWrap w:val="0"/>
            <w:vAlign w:val="center"/>
          </w:tcPr>
          <w:p>
            <w:pPr>
              <w:pStyle w:val="35"/>
              <w:bidi w:val="0"/>
              <w:ind w:firstLine="0" w:firstLineChars="0"/>
              <w:jc w:val="center"/>
              <w:rPr>
                <w:rFonts w:hint="default"/>
                <w:color w:val="auto"/>
                <w:u w:val="single"/>
                <w:lang w:val="en-US" w:eastAsia="zh-CN"/>
              </w:rPr>
            </w:pPr>
          </w:p>
        </w:tc>
        <w:tc>
          <w:tcPr>
            <w:tcW w:w="1212" w:type="pct"/>
            <w:gridSpan w:val="2"/>
            <w:tcBorders>
              <w:tl2br w:val="nil"/>
              <w:tr2bl w:val="nil"/>
            </w:tcBorders>
            <w:noWrap w:val="0"/>
            <w:vAlign w:val="center"/>
          </w:tcPr>
          <w:p>
            <w:pPr>
              <w:pStyle w:val="35"/>
              <w:bidi w:val="0"/>
              <w:ind w:firstLine="0" w:firstLineChars="0"/>
              <w:jc w:val="center"/>
              <w:rPr>
                <w:rFonts w:hint="default"/>
                <w:color w:val="auto"/>
                <w:u w:val="single"/>
              </w:rPr>
            </w:pPr>
            <w:r>
              <w:rPr>
                <w:rFonts w:hint="eastAsia"/>
                <w:color w:val="auto"/>
                <w:u w:val="single"/>
                <w:lang w:val="en-US" w:eastAsia="zh-CN"/>
              </w:rPr>
              <w:t>萃取剂（58%盐水）</w:t>
            </w:r>
          </w:p>
        </w:tc>
        <w:tc>
          <w:tcPr>
            <w:tcW w:w="536" w:type="pct"/>
            <w:tcBorders>
              <w:tl2br w:val="nil"/>
              <w:tr2bl w:val="nil"/>
            </w:tcBorders>
            <w:noWrap w:val="0"/>
            <w:vAlign w:val="center"/>
          </w:tcPr>
          <w:p>
            <w:pPr>
              <w:pStyle w:val="35"/>
              <w:bidi w:val="0"/>
              <w:ind w:firstLine="0" w:firstLineChars="0"/>
              <w:jc w:val="center"/>
              <w:rPr>
                <w:rFonts w:hint="default"/>
                <w:color w:val="auto"/>
                <w:u w:val="single"/>
                <w:lang w:val="en-US"/>
              </w:rPr>
            </w:pPr>
            <w:r>
              <w:rPr>
                <w:rFonts w:hint="eastAsia"/>
                <w:color w:val="auto"/>
                <w:u w:val="single"/>
                <w:lang w:val="en-US" w:eastAsia="zh-CN"/>
              </w:rPr>
              <w:t>8000</w:t>
            </w:r>
          </w:p>
        </w:tc>
        <w:tc>
          <w:tcPr>
            <w:tcW w:w="864" w:type="pct"/>
            <w:tcBorders>
              <w:tl2br w:val="nil"/>
              <w:tr2bl w:val="nil"/>
            </w:tcBorders>
            <w:noWrap w:val="0"/>
            <w:vAlign w:val="center"/>
          </w:tcPr>
          <w:p>
            <w:pPr>
              <w:pStyle w:val="35"/>
              <w:bidi w:val="0"/>
              <w:ind w:firstLine="0" w:firstLineChars="0"/>
              <w:jc w:val="center"/>
              <w:rPr>
                <w:rFonts w:hint="default"/>
                <w:color w:val="auto"/>
                <w:u w:val="single"/>
                <w:lang w:val="en-US"/>
              </w:rPr>
            </w:pPr>
            <w:r>
              <w:rPr>
                <w:rFonts w:hint="eastAsia"/>
                <w:color w:val="auto"/>
                <w:u w:val="single"/>
                <w:lang w:val="en-US" w:eastAsia="zh-CN"/>
              </w:rPr>
              <w:t>58%NaCl溶液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772" w:type="pct"/>
            <w:gridSpan w:val="2"/>
            <w:tcBorders>
              <w:tl2br w:val="nil"/>
              <w:tr2bl w:val="nil"/>
            </w:tcBorders>
            <w:noWrap w:val="0"/>
            <w:vAlign w:val="center"/>
          </w:tcPr>
          <w:p>
            <w:pPr>
              <w:pStyle w:val="35"/>
              <w:bidi w:val="0"/>
              <w:ind w:firstLine="0" w:firstLineChars="0"/>
              <w:jc w:val="center"/>
              <w:rPr>
                <w:rFonts w:hint="eastAsia" w:eastAsia="宋体"/>
                <w:color w:val="auto"/>
                <w:u w:val="single"/>
                <w:lang w:val="en-US" w:eastAsia="zh-CN"/>
              </w:rPr>
            </w:pPr>
            <w:r>
              <w:rPr>
                <w:rFonts w:hint="default" w:eastAsia="宋体"/>
                <w:color w:val="auto"/>
                <w:u w:val="single"/>
                <w:lang w:val="en-US" w:eastAsia="zh-CN"/>
              </w:rPr>
              <w:t>合计</w:t>
            </w:r>
          </w:p>
        </w:tc>
        <w:tc>
          <w:tcPr>
            <w:tcW w:w="614" w:type="pct"/>
            <w:tcBorders>
              <w:tl2br w:val="nil"/>
              <w:tr2bl w:val="nil"/>
            </w:tcBorders>
            <w:noWrap w:val="0"/>
            <w:vAlign w:val="center"/>
          </w:tcPr>
          <w:p>
            <w:pPr>
              <w:pStyle w:val="35"/>
              <w:bidi w:val="0"/>
              <w:ind w:firstLine="0" w:firstLineChars="0"/>
              <w:jc w:val="center"/>
              <w:rPr>
                <w:rFonts w:hint="default" w:eastAsia="宋体"/>
                <w:color w:val="auto"/>
                <w:u w:val="single"/>
                <w:lang w:val="en-US" w:eastAsia="zh-CN"/>
              </w:rPr>
            </w:pPr>
            <w:r>
              <w:rPr>
                <w:rFonts w:hint="eastAsia"/>
                <w:color w:val="auto"/>
                <w:u w:val="single"/>
                <w:lang w:val="en-US" w:eastAsia="zh-CN"/>
              </w:rPr>
              <w:t>36914.7</w:t>
            </w:r>
          </w:p>
        </w:tc>
        <w:tc>
          <w:tcPr>
            <w:tcW w:w="1212" w:type="pct"/>
            <w:gridSpan w:val="2"/>
            <w:tcBorders>
              <w:tl2br w:val="nil"/>
              <w:tr2bl w:val="nil"/>
            </w:tcBorders>
            <w:noWrap w:val="0"/>
            <w:vAlign w:val="center"/>
          </w:tcPr>
          <w:p>
            <w:pPr>
              <w:pStyle w:val="35"/>
              <w:bidi w:val="0"/>
              <w:ind w:firstLine="0" w:firstLineChars="0"/>
              <w:jc w:val="center"/>
              <w:rPr>
                <w:rFonts w:hint="eastAsia" w:eastAsia="宋体"/>
                <w:color w:val="auto"/>
                <w:u w:val="single"/>
                <w:lang w:val="en-US" w:eastAsia="zh-CN"/>
              </w:rPr>
            </w:pPr>
            <w:r>
              <w:rPr>
                <w:rFonts w:hint="eastAsia" w:eastAsia="宋体"/>
                <w:color w:val="auto"/>
                <w:u w:val="single"/>
                <w:lang w:val="en-US" w:eastAsia="zh-CN"/>
              </w:rPr>
              <w:t>合计</w:t>
            </w:r>
          </w:p>
        </w:tc>
        <w:tc>
          <w:tcPr>
            <w:tcW w:w="536" w:type="pct"/>
            <w:tcBorders>
              <w:tl2br w:val="nil"/>
              <w:tr2bl w:val="nil"/>
            </w:tcBorders>
            <w:noWrap w:val="0"/>
            <w:vAlign w:val="center"/>
          </w:tcPr>
          <w:p>
            <w:pPr>
              <w:pStyle w:val="35"/>
              <w:bidi w:val="0"/>
              <w:ind w:firstLine="0" w:firstLineChars="0"/>
              <w:jc w:val="center"/>
              <w:rPr>
                <w:rFonts w:hint="default"/>
                <w:color w:val="auto"/>
                <w:u w:val="single"/>
                <w:lang w:val="en-US" w:eastAsia="zh-CN"/>
              </w:rPr>
            </w:pPr>
            <w:r>
              <w:rPr>
                <w:rFonts w:hint="eastAsia"/>
                <w:color w:val="auto"/>
                <w:u w:val="single"/>
                <w:lang w:val="en-US" w:eastAsia="zh-CN"/>
              </w:rPr>
              <w:t>36914.7</w:t>
            </w:r>
          </w:p>
        </w:tc>
        <w:tc>
          <w:tcPr>
            <w:tcW w:w="864" w:type="pct"/>
            <w:tcBorders>
              <w:tl2br w:val="nil"/>
              <w:tr2bl w:val="nil"/>
            </w:tcBorders>
            <w:noWrap w:val="0"/>
            <w:vAlign w:val="center"/>
          </w:tcPr>
          <w:p>
            <w:pPr>
              <w:pStyle w:val="35"/>
              <w:bidi w:val="0"/>
              <w:jc w:val="center"/>
              <w:rPr>
                <w:rFonts w:hint="eastAsia" w:ascii="Times New Roman" w:hAnsi="Times New Roman"/>
                <w:color w:val="auto"/>
                <w:u w:val="single"/>
                <w:lang w:val="en-US" w:eastAsia="zh-CN"/>
              </w:rPr>
            </w:pPr>
          </w:p>
        </w:tc>
      </w:tr>
    </w:tbl>
    <w:p>
      <w:pPr>
        <w:pStyle w:val="7"/>
        <w:adjustRightInd/>
        <w:snapToGrid/>
        <w:jc w:val="center"/>
        <w:rPr>
          <w:rFonts w:ascii="Times New Roman" w:hAnsi="Times New Roman"/>
          <w:caps w:val="0"/>
          <w:smallCaps w:val="0"/>
          <w:color w:val="auto"/>
          <w:sz w:val="24"/>
          <w:szCs w:val="24"/>
          <w:u w:val="none"/>
        </w:rPr>
        <w:sectPr>
          <w:pgSz w:w="11906" w:h="16838"/>
          <w:pgMar w:top="1417" w:right="1304" w:bottom="1417" w:left="130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4"/>
        <w:rPr>
          <w:color w:val="auto"/>
        </w:rPr>
      </w:pPr>
      <w:r>
        <w:rPr>
          <w:color w:val="auto"/>
        </w:rPr>
        <w:object>
          <v:shape id="_x0000_i1035" o:spt="75" type="#_x0000_t75" style="height:332.35pt;width:698.95pt;" o:ole="t" filled="f" o:preferrelative="t" stroked="f" coordsize="21600,21600">
            <v:path/>
            <v:fill on="f" focussize="0,0"/>
            <v:stroke on="f"/>
            <v:imagedata r:id="rId44" o:title=""/>
            <o:lock v:ext="edit" aspectratio="f"/>
            <w10:wrap type="none"/>
            <w10:anchorlock/>
          </v:shape>
          <o:OLEObject Type="Embed" ProgID="Visio.Drawing.11" ShapeID="_x0000_i1035" DrawAspect="Content" ObjectID="_1468075735" r:id="rId43">
            <o:LockedField>false</o:LockedField>
          </o:OLEObject>
        </w:object>
      </w:r>
    </w:p>
    <w:p>
      <w:pPr>
        <w:pStyle w:val="36"/>
        <w:bidi w:val="0"/>
        <w:rPr>
          <w:rFonts w:hint="default"/>
          <w:color w:val="auto"/>
          <w:u w:val="single"/>
          <w:lang w:val="en-US" w:eastAsia="zh-CN"/>
        </w:rPr>
        <w:sectPr>
          <w:pgSz w:w="16838" w:h="11906" w:orient="landscape"/>
          <w:pgMar w:top="1304" w:right="1417" w:bottom="1304" w:left="141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color w:val="auto"/>
          <w:u w:val="single"/>
          <w:lang w:val="en-US" w:eastAsia="zh-CN"/>
        </w:rPr>
        <w:t>5.3-1项目物料平衡图（t/a）</w:t>
      </w:r>
    </w:p>
    <w:p>
      <w:pPr>
        <w:pStyle w:val="31"/>
        <w:bidi w:val="0"/>
        <w:rPr>
          <w:rFonts w:hint="eastAsia"/>
          <w:color w:val="auto"/>
          <w:lang w:val="en-US" w:eastAsia="zh-CN"/>
        </w:rPr>
      </w:pPr>
      <w:bookmarkStart w:id="102" w:name="_Toc1159"/>
      <w:bookmarkStart w:id="103" w:name="_Toc29186"/>
      <w:r>
        <w:rPr>
          <w:rFonts w:hint="eastAsia"/>
          <w:color w:val="auto"/>
          <w:lang w:val="en-US" w:eastAsia="zh-CN"/>
        </w:rPr>
        <w:t>5.4污染源分析</w:t>
      </w:r>
      <w:bookmarkEnd w:id="102"/>
      <w:bookmarkEnd w:id="103"/>
    </w:p>
    <w:p>
      <w:pPr>
        <w:pStyle w:val="32"/>
        <w:bidi w:val="0"/>
        <w:rPr>
          <w:rFonts w:hint="eastAsia"/>
          <w:color w:val="auto"/>
          <w:lang w:val="en-US" w:eastAsia="zh-CN"/>
        </w:rPr>
      </w:pPr>
      <w:bookmarkStart w:id="104" w:name="_Toc745"/>
      <w:r>
        <w:rPr>
          <w:rFonts w:hint="eastAsia"/>
          <w:color w:val="auto"/>
          <w:lang w:val="en-US" w:eastAsia="zh-CN"/>
        </w:rPr>
        <w:t>5.4.1废气污染源</w:t>
      </w:r>
      <w:bookmarkEnd w:id="104"/>
    </w:p>
    <w:p>
      <w:pPr>
        <w:pStyle w:val="33"/>
        <w:bidi w:val="0"/>
        <w:rPr>
          <w:rFonts w:hint="eastAsia"/>
          <w:color w:val="auto"/>
          <w:lang w:val="en-US" w:eastAsia="zh-CN"/>
        </w:rPr>
      </w:pPr>
      <w:r>
        <w:rPr>
          <w:rFonts w:hint="eastAsia"/>
          <w:color w:val="auto"/>
          <w:lang w:val="en-US" w:eastAsia="zh-CN"/>
        </w:rPr>
        <w:t>本项目生产过程中，废气产生环节主要有：低沸塔冷凝器不凝尾气G</w:t>
      </w:r>
      <w:r>
        <w:rPr>
          <w:rFonts w:hint="eastAsia"/>
          <w:color w:val="auto"/>
          <w:vertAlign w:val="subscript"/>
          <w:lang w:val="en-US" w:eastAsia="zh-CN"/>
        </w:rPr>
        <w:t>1</w:t>
      </w:r>
      <w:r>
        <w:rPr>
          <w:rFonts w:hint="eastAsia"/>
          <w:color w:val="auto"/>
          <w:lang w:val="en-US" w:eastAsia="zh-CN"/>
        </w:rPr>
        <w:t>、高沸塔冷凝器不凝尾气G</w:t>
      </w:r>
      <w:r>
        <w:rPr>
          <w:rFonts w:hint="eastAsia"/>
          <w:color w:val="auto"/>
          <w:vertAlign w:val="subscript"/>
          <w:lang w:val="en-US" w:eastAsia="zh-CN"/>
        </w:rPr>
        <w:t>2</w:t>
      </w:r>
      <w:r>
        <w:rPr>
          <w:rFonts w:hint="eastAsia"/>
          <w:color w:val="auto"/>
          <w:lang w:val="en-US" w:eastAsia="zh-CN"/>
        </w:rPr>
        <w:t>、甲醇蒸馏塔冷凝器不凝尾气G</w:t>
      </w:r>
      <w:r>
        <w:rPr>
          <w:rFonts w:hint="eastAsia"/>
          <w:color w:val="auto"/>
          <w:vertAlign w:val="subscript"/>
          <w:lang w:val="en-US" w:eastAsia="zh-CN"/>
        </w:rPr>
        <w:t>3</w:t>
      </w:r>
      <w:r>
        <w:rPr>
          <w:rFonts w:hint="eastAsia"/>
          <w:color w:val="auto"/>
          <w:lang w:val="en-US" w:eastAsia="zh-CN"/>
        </w:rPr>
        <w:t>、树脂干燥废气G</w:t>
      </w:r>
      <w:r>
        <w:rPr>
          <w:rFonts w:hint="eastAsia"/>
          <w:color w:val="auto"/>
          <w:vertAlign w:val="subscript"/>
          <w:lang w:val="en-US" w:eastAsia="zh-CN"/>
        </w:rPr>
        <w:t>4</w:t>
      </w:r>
      <w:r>
        <w:rPr>
          <w:rFonts w:hint="eastAsia"/>
          <w:color w:val="auto"/>
          <w:lang w:val="en-US" w:eastAsia="zh-CN"/>
        </w:rPr>
        <w:t>。均进“</w:t>
      </w:r>
      <w:r>
        <w:rPr>
          <w:rFonts w:hint="eastAsia" w:ascii="Times New Roman" w:hAnsi="Times New Roman"/>
          <w:caps w:val="0"/>
          <w:smallCaps w:val="0"/>
          <w:color w:val="auto"/>
          <w:sz w:val="24"/>
          <w:szCs w:val="24"/>
          <w:lang w:eastAsia="zh-CN"/>
        </w:rPr>
        <w:t>冷凝回收</w:t>
      </w:r>
      <w:r>
        <w:rPr>
          <w:rFonts w:hint="eastAsia" w:ascii="Times New Roman" w:hAnsi="Times New Roman"/>
          <w:caps w:val="0"/>
          <w:smallCaps w:val="0"/>
          <w:color w:val="auto"/>
          <w:sz w:val="24"/>
          <w:szCs w:val="24"/>
          <w:lang w:val="en-US" w:eastAsia="zh-CN"/>
        </w:rPr>
        <w:t>+</w:t>
      </w:r>
      <w:r>
        <w:rPr>
          <w:rFonts w:hint="eastAsia" w:ascii="Times New Roman" w:hAnsi="Times New Roman"/>
          <w:caps w:val="0"/>
          <w:smallCaps w:val="0"/>
          <w:color w:val="auto"/>
          <w:sz w:val="24"/>
          <w:szCs w:val="24"/>
        </w:rPr>
        <w:t>碱</w:t>
      </w:r>
      <w:r>
        <w:rPr>
          <w:rFonts w:hint="eastAsia" w:ascii="Times New Roman" w:hAnsi="Times New Roman"/>
          <w:caps w:val="0"/>
          <w:smallCaps w:val="0"/>
          <w:color w:val="auto"/>
          <w:sz w:val="24"/>
          <w:szCs w:val="24"/>
          <w:lang w:eastAsia="zh-CN"/>
        </w:rPr>
        <w:t>液</w:t>
      </w:r>
      <w:r>
        <w:rPr>
          <w:rFonts w:hint="eastAsia" w:ascii="Times New Roman" w:hAnsi="Times New Roman"/>
          <w:caps w:val="0"/>
          <w:smallCaps w:val="0"/>
          <w:color w:val="auto"/>
          <w:sz w:val="24"/>
          <w:szCs w:val="24"/>
        </w:rPr>
        <w:t>吸收</w:t>
      </w:r>
      <w:r>
        <w:rPr>
          <w:rFonts w:hint="eastAsia" w:ascii="Times New Roman" w:hAnsi="Times New Roman"/>
          <w:caps w:val="0"/>
          <w:smallCaps w:val="0"/>
          <w:color w:val="auto"/>
          <w:sz w:val="24"/>
          <w:szCs w:val="24"/>
          <w:lang w:val="en-US" w:eastAsia="zh-CN"/>
        </w:rPr>
        <w:t>+</w:t>
      </w:r>
      <w:r>
        <w:rPr>
          <w:rFonts w:hint="eastAsia"/>
          <w:caps w:val="0"/>
          <w:smallCaps w:val="0"/>
          <w:color w:val="auto"/>
          <w:sz w:val="24"/>
          <w:szCs w:val="24"/>
          <w:lang w:val="en-US" w:eastAsia="zh-Hans"/>
        </w:rPr>
        <w:t>炭吸收</w:t>
      </w:r>
      <w:r>
        <w:rPr>
          <w:rFonts w:hint="eastAsia"/>
          <w:color w:val="auto"/>
          <w:lang w:val="en-US" w:eastAsia="zh-CN"/>
        </w:rPr>
        <w:t>”处理后经20米高排气筒排放。项目产品和粗品碳酸二甲酯原料存储在罐区中，储罐呼吸会产生废气。</w:t>
      </w:r>
    </w:p>
    <w:p>
      <w:pPr>
        <w:pStyle w:val="33"/>
        <w:bidi w:val="0"/>
        <w:rPr>
          <w:rFonts w:hint="eastAsia"/>
          <w:color w:val="auto"/>
          <w:lang w:val="en-US" w:eastAsia="zh-CN"/>
        </w:rPr>
      </w:pPr>
      <w:r>
        <w:rPr>
          <w:rFonts w:hint="eastAsia"/>
          <w:color w:val="auto"/>
          <w:lang w:val="en-US" w:eastAsia="zh-CN"/>
        </w:rPr>
        <w:t>污染源参数主要依据项目可行性研究、物料平衡确定，并经过业主单位确认认可，结合《污染源源强核算技术指南 准则》（HJ884-2018）要求进行分析。</w:t>
      </w:r>
    </w:p>
    <w:p>
      <w:pPr>
        <w:pStyle w:val="33"/>
        <w:bidi w:val="0"/>
        <w:rPr>
          <w:color w:val="auto"/>
        </w:rPr>
      </w:pPr>
      <w:r>
        <w:rPr>
          <w:rFonts w:hint="eastAsia"/>
          <w:b/>
          <w:bCs/>
          <w:color w:val="auto"/>
          <w:lang w:val="en-US" w:eastAsia="zh-CN"/>
        </w:rPr>
        <w:t>（1）有组织排放废气</w:t>
      </w:r>
    </w:p>
    <w:p>
      <w:pPr>
        <w:pStyle w:val="33"/>
        <w:bidi w:val="0"/>
        <w:rPr>
          <w:rFonts w:hint="eastAsia"/>
          <w:color w:val="auto"/>
          <w:u w:val="single"/>
          <w:lang w:val="en-US" w:eastAsia="zh-CN"/>
        </w:rPr>
      </w:pPr>
      <w:r>
        <w:rPr>
          <w:rFonts w:hint="eastAsia"/>
          <w:color w:val="auto"/>
          <w:u w:val="single"/>
          <w:lang w:val="en-US" w:eastAsia="zh-CN"/>
        </w:rPr>
        <w:t>1）生产装置区生产废气</w:t>
      </w:r>
    </w:p>
    <w:p>
      <w:pPr>
        <w:pStyle w:val="33"/>
        <w:bidi w:val="0"/>
        <w:rPr>
          <w:rFonts w:hint="default"/>
          <w:color w:val="auto"/>
          <w:u w:val="single"/>
          <w:lang w:val="en-US" w:eastAsia="zh-CN"/>
        </w:rPr>
      </w:pPr>
      <w:r>
        <w:rPr>
          <w:rFonts w:hint="eastAsia"/>
          <w:color w:val="auto"/>
          <w:u w:val="single"/>
          <w:lang w:val="en-US" w:eastAsia="zh-CN"/>
        </w:rPr>
        <w:t>G1甲醇精馏塔不凝尾气：通过甲醇精馏塔塔顶的液体经过冷凝塔进行冷凝回收，在回收过程中冷凝不下来的少量不凝尾气中仍存在甲醇和碳酸二甲酯（以VOCs计）气体；通过前面的加热过程，成品接受槽中含有含水的蒸汽，该部分蒸汽直接通过真空泵进入汽水分离器进行分离，根据建设方提供的资料以及物料平衡计算可知，汽水分离器（含不冷凝气）分离过程中会有甲醇和VOCs气体，甲醇产生量为2.3t/a，VOCs产生量0.1t/a。</w:t>
      </w:r>
    </w:p>
    <w:p>
      <w:pPr>
        <w:pStyle w:val="33"/>
        <w:bidi w:val="0"/>
        <w:rPr>
          <w:rFonts w:hint="eastAsia"/>
          <w:color w:val="auto"/>
          <w:u w:val="single"/>
          <w:lang w:val="en-US" w:eastAsia="zh-CN"/>
        </w:rPr>
      </w:pPr>
      <w:r>
        <w:rPr>
          <w:rFonts w:hint="eastAsia"/>
          <w:color w:val="auto"/>
          <w:u w:val="single"/>
          <w:lang w:val="en-US" w:eastAsia="zh-CN"/>
        </w:rPr>
        <w:t>G2低沸塔不凝尾气：通过低沸精馏塔塔顶的液体经过冷凝塔进行冷凝回收，在回收过程中冷凝不下来的少量不凝尾气中仍存在碳酸二甲酯和草酸二甲酯气体（以VOCs计）；通过前面的加热过程，成品接受槽中含有含水的蒸汽，该部分蒸汽直接通过真空泵进入汽水分离器进行分离，根据建设方提供的资料以及物料平衡计算可知，汽水分离器（含不冷凝气）分离过程中会有VOCs气体，产生量为7.7t/a。</w:t>
      </w:r>
    </w:p>
    <w:p>
      <w:pPr>
        <w:pStyle w:val="33"/>
        <w:bidi w:val="0"/>
        <w:rPr>
          <w:rFonts w:hint="default"/>
          <w:color w:val="auto"/>
          <w:u w:val="single"/>
          <w:lang w:val="en-US" w:eastAsia="zh-CN"/>
        </w:rPr>
      </w:pPr>
      <w:r>
        <w:rPr>
          <w:rFonts w:hint="eastAsia"/>
          <w:color w:val="auto"/>
          <w:u w:val="single"/>
          <w:lang w:val="en-US" w:eastAsia="zh-CN"/>
        </w:rPr>
        <w:t>G3高沸塔不凝尾气：通过高沸精馏塔塔顶的液体经过冷凝塔进行冷凝回收，在回收过程中冷凝不下来的少量不凝尾气中仍存在碳酸二甲酯气体（以VOCs计）；通过前面的加热过程，成品接受槽中含有含水的蒸汽，该部分蒸汽直接通过真空泵进入汽水分离器进行分离，根据建设方提供的资料以及物料平衡计算可知，汽水分离器（含不冷凝气）分离过程中会有VOCs气体，产生量为7.4t/a。</w:t>
      </w:r>
    </w:p>
    <w:p>
      <w:pPr>
        <w:pStyle w:val="33"/>
        <w:bidi w:val="0"/>
        <w:rPr>
          <w:rFonts w:hint="eastAsia"/>
          <w:color w:val="auto"/>
          <w:u w:val="single"/>
          <w:lang w:val="en-US" w:eastAsia="zh-CN"/>
        </w:rPr>
      </w:pPr>
      <w:r>
        <w:rPr>
          <w:rFonts w:hint="eastAsia"/>
          <w:color w:val="auto"/>
          <w:u w:val="single"/>
          <w:lang w:val="en-US" w:eastAsia="zh-CN"/>
        </w:rPr>
        <w:t>G4干燥废气：醋酸甲酯产品需要进行脱水，采样树脂进行吸附脱水，树脂干燥后循环使用，在密闭容器中蒸汽间接加热，干燥废气主要为水蒸汽含少量的甲醇和碳酸二甲酯（以VOCs计），根据建设方提供的资料以及物料平衡计算，干燥废气中甲醇废气产生量为0.8t/a，VOCs产生量为0.3t/a。</w:t>
      </w:r>
    </w:p>
    <w:p>
      <w:pPr>
        <w:pStyle w:val="33"/>
        <w:bidi w:val="0"/>
        <w:rPr>
          <w:rFonts w:hint="eastAsia"/>
          <w:color w:val="auto"/>
          <w:u w:val="single"/>
          <w:lang w:val="en-US" w:eastAsia="zh-CN"/>
        </w:rPr>
      </w:pPr>
      <w:r>
        <w:rPr>
          <w:rFonts w:hint="eastAsia"/>
          <w:color w:val="auto"/>
          <w:u w:val="single"/>
          <w:lang w:val="en-US" w:eastAsia="zh-CN"/>
        </w:rPr>
        <w:t>本期项目生产装置有组织废气污染物产生量为VOCs15.5t/a，甲醇产生量为3.1t/a。</w:t>
      </w:r>
      <w:r>
        <w:rPr>
          <w:rFonts w:hint="default"/>
          <w:color w:val="auto"/>
          <w:u w:val="single"/>
          <w:lang w:val="en-US" w:eastAsia="zh-CN"/>
        </w:rPr>
        <w:t>项目生产装置区的有组织废气采用</w:t>
      </w:r>
      <w:r>
        <w:rPr>
          <w:rFonts w:ascii="宋体" w:hAnsi="宋体" w:eastAsia="宋体" w:cs="宋体"/>
          <w:color w:val="auto"/>
          <w:sz w:val="24"/>
          <w:szCs w:val="24"/>
          <w:u w:val="single"/>
        </w:rPr>
        <w:t>冷凝回收</w:t>
      </w:r>
      <w:r>
        <w:rPr>
          <w:rFonts w:hint="eastAsia" w:ascii="宋体" w:hAnsi="宋体" w:cs="宋体"/>
          <w:color w:val="auto"/>
          <w:sz w:val="24"/>
          <w:szCs w:val="24"/>
          <w:u w:val="single"/>
          <w:lang w:val="en-US" w:eastAsia="zh-CN"/>
        </w:rPr>
        <w:t>（新建）</w:t>
      </w:r>
      <w:r>
        <w:rPr>
          <w:rFonts w:ascii="宋体" w:hAnsi="宋体" w:eastAsia="宋体" w:cs="宋体"/>
          <w:color w:val="auto"/>
          <w:sz w:val="24"/>
          <w:szCs w:val="24"/>
          <w:u w:val="single"/>
        </w:rPr>
        <w:t>+活性炭</w:t>
      </w:r>
      <w:r>
        <w:rPr>
          <w:rFonts w:hint="eastAsia" w:ascii="宋体" w:hAnsi="宋体" w:cs="宋体"/>
          <w:color w:val="auto"/>
          <w:sz w:val="24"/>
          <w:szCs w:val="24"/>
          <w:u w:val="single"/>
          <w:lang w:val="en-US" w:eastAsia="zh-CN"/>
        </w:rPr>
        <w:t>吸附（新建）</w:t>
      </w:r>
      <w:r>
        <w:rPr>
          <w:rFonts w:hint="default"/>
          <w:color w:val="auto"/>
          <w:u w:val="single"/>
          <w:lang w:val="en-US" w:eastAsia="zh-CN"/>
        </w:rPr>
        <w:t>+</w:t>
      </w:r>
      <w:r>
        <w:rPr>
          <w:rFonts w:ascii="宋体" w:hAnsi="宋体" w:eastAsia="宋体" w:cs="宋体"/>
          <w:color w:val="auto"/>
          <w:sz w:val="24"/>
          <w:szCs w:val="24"/>
          <w:u w:val="single"/>
        </w:rPr>
        <w:t>冷凝+碱液喷淋+炭吸</w:t>
      </w:r>
      <w:r>
        <w:rPr>
          <w:rFonts w:hint="eastAsia" w:ascii="宋体" w:hAnsi="宋体" w:cs="宋体"/>
          <w:color w:val="auto"/>
          <w:sz w:val="24"/>
          <w:szCs w:val="24"/>
          <w:u w:val="single"/>
          <w:lang w:val="en-US" w:eastAsia="zh-CN"/>
        </w:rPr>
        <w:t>附</w:t>
      </w:r>
      <w:r>
        <w:rPr>
          <w:rFonts w:hint="eastAsia" w:ascii="宋体" w:hAnsi="宋体" w:eastAsia="宋体" w:cs="宋体"/>
          <w:color w:val="auto"/>
          <w:sz w:val="24"/>
          <w:szCs w:val="24"/>
          <w:u w:val="single"/>
          <w:lang w:val="en-US" w:eastAsia="zh-CN"/>
        </w:rPr>
        <w:t>装置</w:t>
      </w:r>
      <w:r>
        <w:rPr>
          <w:rFonts w:hint="default"/>
          <w:color w:val="auto"/>
          <w:u w:val="single"/>
          <w:lang w:val="en-US" w:eastAsia="zh-CN"/>
        </w:rPr>
        <w:t>+2</w:t>
      </w:r>
      <w:r>
        <w:rPr>
          <w:rFonts w:hint="eastAsia"/>
          <w:color w:val="auto"/>
          <w:u w:val="single"/>
          <w:lang w:val="en-US" w:eastAsia="zh-CN"/>
        </w:rPr>
        <w:t>0</w:t>
      </w:r>
      <w:r>
        <w:rPr>
          <w:rFonts w:hint="default"/>
          <w:color w:val="auto"/>
          <w:u w:val="single"/>
          <w:lang w:val="en-US" w:eastAsia="zh-CN"/>
        </w:rPr>
        <w:t>m排气筒外排</w:t>
      </w:r>
      <w:r>
        <w:rPr>
          <w:rFonts w:hint="eastAsia"/>
          <w:color w:val="auto"/>
          <w:u w:val="single"/>
          <w:lang w:val="en-US" w:eastAsia="zh-CN"/>
        </w:rPr>
        <w:t>（利用一期现有）</w:t>
      </w:r>
      <w:r>
        <w:rPr>
          <w:rFonts w:hint="default"/>
          <w:color w:val="auto"/>
          <w:u w:val="single"/>
          <w:lang w:val="en-US" w:eastAsia="zh-CN"/>
        </w:rPr>
        <w:t>。</w:t>
      </w:r>
    </w:p>
    <w:p>
      <w:pPr>
        <w:pStyle w:val="33"/>
        <w:bidi w:val="0"/>
        <w:rPr>
          <w:rFonts w:hint="eastAsia"/>
          <w:color w:val="auto"/>
          <w:lang w:val="en-US" w:eastAsia="zh-CN"/>
        </w:rPr>
      </w:pPr>
      <w:r>
        <w:rPr>
          <w:rFonts w:hint="eastAsia"/>
          <w:color w:val="auto"/>
          <w:lang w:val="en-US" w:eastAsia="zh-CN"/>
        </w:rPr>
        <w:t>2）</w:t>
      </w:r>
      <w:r>
        <w:rPr>
          <w:color w:val="auto"/>
          <w:sz w:val="24"/>
        </w:rPr>
        <w:t>储罐区呼吸废气</w:t>
      </w:r>
    </w:p>
    <w:p>
      <w:pPr>
        <w:pStyle w:val="33"/>
        <w:bidi w:val="0"/>
        <w:rPr>
          <w:rFonts w:hint="eastAsia"/>
          <w:color w:val="auto"/>
        </w:rPr>
      </w:pPr>
      <w:r>
        <w:rPr>
          <w:rFonts w:hint="eastAsia"/>
          <w:color w:val="auto"/>
        </w:rPr>
        <w:t>本项目</w:t>
      </w:r>
      <w:r>
        <w:rPr>
          <w:rFonts w:hint="eastAsia"/>
          <w:color w:val="auto"/>
          <w:lang w:val="en-US" w:eastAsia="zh-CN"/>
        </w:rPr>
        <w:t>碳酸二甲酯原料</w:t>
      </w:r>
      <w:r>
        <w:rPr>
          <w:rFonts w:hint="eastAsia"/>
          <w:color w:val="auto"/>
        </w:rPr>
        <w:t>、</w:t>
      </w:r>
      <w:r>
        <w:rPr>
          <w:rFonts w:hint="eastAsia"/>
          <w:color w:val="auto"/>
          <w:lang w:val="en-US" w:eastAsia="zh-CN"/>
        </w:rPr>
        <w:t>DMC产品和醋酸甲酯产品</w:t>
      </w:r>
      <w:r>
        <w:rPr>
          <w:rFonts w:hint="eastAsia"/>
          <w:color w:val="auto"/>
        </w:rPr>
        <w:t>采用储罐储存，厂区无组织排放废气主要产生于</w:t>
      </w:r>
      <w:r>
        <w:rPr>
          <w:rFonts w:hint="eastAsia"/>
          <w:color w:val="auto"/>
          <w:lang w:val="en-US" w:eastAsia="zh-CN"/>
        </w:rPr>
        <w:t>碳酸二甲酯</w:t>
      </w:r>
      <w:r>
        <w:rPr>
          <w:rFonts w:hint="eastAsia"/>
          <w:color w:val="auto"/>
        </w:rPr>
        <w:t>、</w:t>
      </w:r>
      <w:r>
        <w:rPr>
          <w:rFonts w:hint="eastAsia"/>
          <w:color w:val="auto"/>
          <w:lang w:val="en-US" w:eastAsia="zh-CN"/>
        </w:rPr>
        <w:t>碳酸甲酯</w:t>
      </w:r>
      <w:r>
        <w:rPr>
          <w:rFonts w:hint="eastAsia"/>
          <w:color w:val="auto"/>
        </w:rPr>
        <w:t>储存使用过程中的排放等。</w:t>
      </w:r>
      <w:r>
        <w:rPr>
          <w:rFonts w:hint="eastAsia"/>
          <w:color w:val="auto"/>
          <w:lang w:val="en-US" w:eastAsia="zh-CN"/>
        </w:rPr>
        <w:t>碳酸二甲酯原料</w:t>
      </w:r>
      <w:r>
        <w:rPr>
          <w:rFonts w:hint="eastAsia"/>
          <w:color w:val="auto"/>
        </w:rPr>
        <w:t>储罐1台，体积为</w:t>
      </w:r>
      <w:r>
        <w:rPr>
          <w:rFonts w:hint="eastAsia"/>
          <w:color w:val="auto"/>
          <w:lang w:val="en-US" w:eastAsia="zh-CN"/>
        </w:rPr>
        <w:t>400</w:t>
      </w:r>
      <w:r>
        <w:rPr>
          <w:rFonts w:hint="eastAsia"/>
          <w:color w:val="auto"/>
        </w:rPr>
        <w:t>m</w:t>
      </w:r>
      <w:r>
        <w:rPr>
          <w:rFonts w:hint="eastAsia"/>
          <w:color w:val="auto"/>
          <w:vertAlign w:val="superscript"/>
        </w:rPr>
        <w:t>3</w:t>
      </w:r>
      <w:r>
        <w:rPr>
          <w:rFonts w:hint="eastAsia"/>
          <w:color w:val="auto"/>
        </w:rPr>
        <w:t>，</w:t>
      </w:r>
      <w:r>
        <w:rPr>
          <w:rFonts w:hint="eastAsia"/>
          <w:color w:val="auto"/>
          <w:lang w:val="en-US" w:eastAsia="zh-CN"/>
        </w:rPr>
        <w:t>DMC产品储罐1台，体积为400</w:t>
      </w:r>
      <w:r>
        <w:rPr>
          <w:rFonts w:hint="eastAsia"/>
          <w:color w:val="auto"/>
        </w:rPr>
        <w:t>m</w:t>
      </w:r>
      <w:r>
        <w:rPr>
          <w:rFonts w:hint="eastAsia"/>
          <w:color w:val="auto"/>
          <w:vertAlign w:val="superscript"/>
        </w:rPr>
        <w:t>3</w:t>
      </w:r>
      <w:r>
        <w:rPr>
          <w:rFonts w:hint="eastAsia"/>
          <w:color w:val="auto"/>
        </w:rPr>
        <w:t>，</w:t>
      </w:r>
      <w:r>
        <w:rPr>
          <w:rFonts w:hint="eastAsia"/>
          <w:color w:val="auto"/>
          <w:lang w:val="en-US" w:eastAsia="zh-CN"/>
        </w:rPr>
        <w:t>醋酸甲酯</w:t>
      </w:r>
      <w:r>
        <w:rPr>
          <w:rFonts w:hint="eastAsia"/>
          <w:color w:val="auto"/>
        </w:rPr>
        <w:t>储罐</w:t>
      </w:r>
      <w:r>
        <w:rPr>
          <w:rFonts w:hint="eastAsia"/>
          <w:color w:val="auto"/>
          <w:lang w:val="en-US" w:eastAsia="zh-CN"/>
        </w:rPr>
        <w:t>1</w:t>
      </w:r>
      <w:r>
        <w:rPr>
          <w:rFonts w:hint="eastAsia"/>
          <w:color w:val="auto"/>
        </w:rPr>
        <w:t>台，体积为</w:t>
      </w:r>
      <w:r>
        <w:rPr>
          <w:rFonts w:hint="eastAsia"/>
          <w:color w:val="auto"/>
          <w:lang w:val="en-US" w:eastAsia="zh-CN"/>
        </w:rPr>
        <w:t>400</w:t>
      </w:r>
      <w:r>
        <w:rPr>
          <w:rFonts w:hint="eastAsia"/>
          <w:color w:val="auto"/>
        </w:rPr>
        <w:t>m</w:t>
      </w:r>
      <w:r>
        <w:rPr>
          <w:rFonts w:hint="eastAsia"/>
          <w:color w:val="auto"/>
          <w:vertAlign w:val="superscript"/>
        </w:rPr>
        <w:t>3</w:t>
      </w:r>
      <w:r>
        <w:rPr>
          <w:rFonts w:hint="eastAsia"/>
          <w:color w:val="auto"/>
        </w:rPr>
        <w:t>。</w:t>
      </w:r>
    </w:p>
    <w:p>
      <w:pPr>
        <w:pStyle w:val="33"/>
        <w:bidi w:val="0"/>
        <w:rPr>
          <w:rFonts w:hint="eastAsia"/>
          <w:color w:val="auto"/>
        </w:rPr>
      </w:pPr>
      <w:r>
        <w:rPr>
          <w:rFonts w:hint="eastAsia"/>
          <w:color w:val="auto"/>
        </w:rPr>
        <w:t>储罐静止时，由于气体空间温度和废气浓度的昼夜变化引起的损耗称为储罐的静止储存损耗，又称储罐的“小呼吸损耗”。</w:t>
      </w:r>
    </w:p>
    <w:p>
      <w:pPr>
        <w:pStyle w:val="33"/>
        <w:bidi w:val="0"/>
        <w:rPr>
          <w:rFonts w:hint="default" w:eastAsia="宋体"/>
          <w:color w:val="auto"/>
          <w:sz w:val="24"/>
          <w:szCs w:val="24"/>
          <w:lang w:val="en-US" w:eastAsia="zh-CN"/>
        </w:rPr>
      </w:pPr>
      <w:r>
        <w:rPr>
          <w:rFonts w:hint="eastAsia"/>
          <w:color w:val="auto"/>
          <w:sz w:val="24"/>
          <w:szCs w:val="24"/>
          <w:lang w:val="en-US" w:eastAsia="zh-CN"/>
        </w:rPr>
        <w:t>储罐小呼吸排放量：</w:t>
      </w:r>
    </w:p>
    <w:p>
      <w:pPr>
        <w:pStyle w:val="33"/>
        <w:bidi w:val="0"/>
        <w:rPr>
          <w:color w:val="auto"/>
        </w:rPr>
      </w:pPr>
      <w:r>
        <w:rPr>
          <w:color w:val="auto"/>
        </w:rPr>
        <w:t>固定顶罐的呼吸排放可用下式估算其污染物的排放量：</w:t>
      </w:r>
    </w:p>
    <w:p>
      <w:pPr>
        <w:pStyle w:val="33"/>
        <w:bidi w:val="0"/>
        <w:rPr>
          <w:color w:val="auto"/>
          <w:kern w:val="0"/>
          <w:sz w:val="24"/>
          <w:szCs w:val="24"/>
        </w:rPr>
      </w:pPr>
      <w:r>
        <w:rPr>
          <w:color w:val="auto"/>
          <w:kern w:val="0"/>
          <w:sz w:val="24"/>
          <w:szCs w:val="24"/>
        </w:rPr>
        <w:t>L</w:t>
      </w:r>
      <w:r>
        <w:rPr>
          <w:color w:val="auto"/>
          <w:kern w:val="0"/>
          <w:sz w:val="24"/>
          <w:szCs w:val="24"/>
          <w:vertAlign w:val="subscript"/>
        </w:rPr>
        <w:t>B</w:t>
      </w:r>
      <w:r>
        <w:rPr>
          <w:color w:val="auto"/>
          <w:kern w:val="0"/>
          <w:sz w:val="24"/>
          <w:szCs w:val="24"/>
        </w:rPr>
        <w:t>=0.191×M（P/（100910-P））</w:t>
      </w:r>
      <w:r>
        <w:rPr>
          <w:color w:val="auto"/>
          <w:kern w:val="0"/>
          <w:sz w:val="24"/>
          <w:szCs w:val="24"/>
          <w:vertAlign w:val="superscript"/>
        </w:rPr>
        <w:t>0.68</w:t>
      </w:r>
      <w:r>
        <w:rPr>
          <w:color w:val="auto"/>
          <w:kern w:val="0"/>
          <w:sz w:val="24"/>
          <w:szCs w:val="24"/>
        </w:rPr>
        <w:t>×D</w:t>
      </w:r>
      <w:r>
        <w:rPr>
          <w:color w:val="auto"/>
          <w:kern w:val="0"/>
          <w:sz w:val="24"/>
          <w:szCs w:val="24"/>
          <w:vertAlign w:val="superscript"/>
        </w:rPr>
        <w:t>1.73</w:t>
      </w:r>
      <w:r>
        <w:rPr>
          <w:color w:val="auto"/>
          <w:kern w:val="0"/>
          <w:sz w:val="24"/>
          <w:szCs w:val="24"/>
        </w:rPr>
        <w:t>×H</w:t>
      </w:r>
      <w:r>
        <w:rPr>
          <w:color w:val="auto"/>
          <w:kern w:val="0"/>
          <w:sz w:val="24"/>
          <w:szCs w:val="24"/>
          <w:vertAlign w:val="superscript"/>
        </w:rPr>
        <w:t>0.51</w:t>
      </w:r>
      <w:r>
        <w:rPr>
          <w:color w:val="auto"/>
          <w:kern w:val="0"/>
          <w:sz w:val="24"/>
          <w:szCs w:val="24"/>
        </w:rPr>
        <w:t>×</w:t>
      </w:r>
      <w:r>
        <w:rPr>
          <w:rFonts w:ascii="Cambria Math" w:hAnsi="Cambria Math" w:cs="Cambria Math"/>
          <w:color w:val="auto"/>
          <w:kern w:val="0"/>
          <w:sz w:val="24"/>
          <w:szCs w:val="24"/>
        </w:rPr>
        <w:t>△</w:t>
      </w:r>
      <w:r>
        <w:rPr>
          <w:color w:val="auto"/>
          <w:kern w:val="0"/>
          <w:sz w:val="24"/>
          <w:szCs w:val="24"/>
        </w:rPr>
        <w:t>T</w:t>
      </w:r>
      <w:r>
        <w:rPr>
          <w:color w:val="auto"/>
          <w:kern w:val="0"/>
          <w:sz w:val="24"/>
          <w:szCs w:val="24"/>
          <w:vertAlign w:val="superscript"/>
        </w:rPr>
        <w:t>0.45</w:t>
      </w:r>
      <w:r>
        <w:rPr>
          <w:color w:val="auto"/>
          <w:kern w:val="0"/>
          <w:sz w:val="24"/>
          <w:szCs w:val="24"/>
        </w:rPr>
        <w:t>×FP×C×KC</w:t>
      </w:r>
    </w:p>
    <w:p>
      <w:pPr>
        <w:pStyle w:val="33"/>
        <w:bidi w:val="0"/>
        <w:rPr>
          <w:color w:val="auto"/>
          <w:lang w:val="zh-CN"/>
        </w:rPr>
      </w:pPr>
      <w:r>
        <w:rPr>
          <w:color w:val="auto"/>
          <w:lang w:val="zh-CN"/>
        </w:rPr>
        <w:t>式中：L</w:t>
      </w:r>
      <w:r>
        <w:rPr>
          <w:color w:val="auto"/>
          <w:vertAlign w:val="subscript"/>
          <w:lang w:val="zh-CN"/>
        </w:rPr>
        <w:t>B</w:t>
      </w:r>
      <w:r>
        <w:rPr>
          <w:color w:val="auto"/>
          <w:lang w:val="zh-CN"/>
        </w:rPr>
        <w:t>-固定顶罐的呼吸排放量（Kg/a）；</w:t>
      </w:r>
    </w:p>
    <w:p>
      <w:pPr>
        <w:pStyle w:val="33"/>
        <w:bidi w:val="0"/>
        <w:ind w:firstLine="1200" w:firstLineChars="500"/>
        <w:rPr>
          <w:color w:val="auto"/>
          <w:lang w:val="zh-CN"/>
        </w:rPr>
      </w:pPr>
      <w:r>
        <w:rPr>
          <w:color w:val="auto"/>
          <w:lang w:val="zh-CN"/>
        </w:rPr>
        <w:t>M-储罐内蒸气的分子量；</w:t>
      </w:r>
    </w:p>
    <w:p>
      <w:pPr>
        <w:pStyle w:val="33"/>
        <w:bidi w:val="0"/>
        <w:ind w:firstLine="1200" w:firstLineChars="500"/>
        <w:rPr>
          <w:color w:val="auto"/>
          <w:lang w:val="zh-CN"/>
        </w:rPr>
      </w:pPr>
      <w:r>
        <w:rPr>
          <w:color w:val="auto"/>
          <w:lang w:val="zh-CN"/>
        </w:rPr>
        <w:t>P-在大量液体状态下，真实的蒸气压力（Pa）；</w:t>
      </w:r>
    </w:p>
    <w:p>
      <w:pPr>
        <w:pStyle w:val="33"/>
        <w:bidi w:val="0"/>
        <w:ind w:firstLine="1200" w:firstLineChars="500"/>
        <w:rPr>
          <w:color w:val="auto"/>
          <w:lang w:val="zh-CN"/>
        </w:rPr>
      </w:pPr>
      <w:r>
        <w:rPr>
          <w:color w:val="auto"/>
          <w:lang w:val="zh-CN"/>
        </w:rPr>
        <w:t>D-罐的直径（m）；</w:t>
      </w:r>
    </w:p>
    <w:p>
      <w:pPr>
        <w:pStyle w:val="33"/>
        <w:bidi w:val="0"/>
        <w:ind w:firstLine="1200" w:firstLineChars="500"/>
        <w:rPr>
          <w:color w:val="auto"/>
          <w:lang w:val="zh-CN"/>
        </w:rPr>
      </w:pPr>
      <w:r>
        <w:rPr>
          <w:color w:val="auto"/>
          <w:lang w:val="zh-CN"/>
        </w:rPr>
        <w:t>H-平均蒸气空间高度（m）；</w:t>
      </w:r>
    </w:p>
    <w:p>
      <w:pPr>
        <w:pStyle w:val="33"/>
        <w:bidi w:val="0"/>
        <w:ind w:firstLine="1200" w:firstLineChars="500"/>
        <w:rPr>
          <w:color w:val="auto"/>
          <w:kern w:val="0"/>
          <w:sz w:val="24"/>
          <w:szCs w:val="24"/>
          <w:lang w:val="zh-CN"/>
        </w:rPr>
      </w:pPr>
      <w:r>
        <w:rPr>
          <w:rFonts w:ascii="Cambria Math" w:hAnsi="Cambria Math" w:cs="Cambria Math"/>
          <w:color w:val="auto"/>
          <w:kern w:val="0"/>
          <w:sz w:val="24"/>
          <w:szCs w:val="24"/>
          <w:lang w:val="zh-CN"/>
        </w:rPr>
        <w:t>△</w:t>
      </w:r>
      <w:r>
        <w:rPr>
          <w:color w:val="auto"/>
          <w:kern w:val="0"/>
          <w:sz w:val="24"/>
          <w:szCs w:val="24"/>
          <w:lang w:val="zh-CN"/>
        </w:rPr>
        <w:t>T-一天之内的平均温度差（</w:t>
      </w:r>
      <w:r>
        <w:rPr>
          <w:rFonts w:hint="eastAsia" w:ascii="宋体" w:hAnsi="宋体" w:cs="宋体"/>
          <w:color w:val="auto"/>
          <w:kern w:val="0"/>
          <w:sz w:val="24"/>
          <w:szCs w:val="24"/>
          <w:lang w:val="zh-CN"/>
        </w:rPr>
        <w:t>℃</w:t>
      </w:r>
      <w:r>
        <w:rPr>
          <w:color w:val="auto"/>
          <w:kern w:val="0"/>
          <w:sz w:val="24"/>
          <w:szCs w:val="24"/>
          <w:lang w:val="zh-CN"/>
        </w:rPr>
        <w:t>）；</w:t>
      </w:r>
    </w:p>
    <w:p>
      <w:pPr>
        <w:pStyle w:val="33"/>
        <w:bidi w:val="0"/>
        <w:ind w:firstLine="960" w:firstLineChars="400"/>
        <w:rPr>
          <w:color w:val="auto"/>
          <w:lang w:val="zh-CN"/>
        </w:rPr>
      </w:pPr>
      <w:r>
        <w:rPr>
          <w:color w:val="auto"/>
          <w:lang w:val="zh-CN"/>
        </w:rPr>
        <w:t>F</w:t>
      </w:r>
      <w:r>
        <w:rPr>
          <w:color w:val="auto"/>
          <w:vertAlign w:val="subscript"/>
          <w:lang w:val="zh-CN"/>
        </w:rPr>
        <w:t>P</w:t>
      </w:r>
      <w:r>
        <w:rPr>
          <w:color w:val="auto"/>
          <w:lang w:val="zh-CN"/>
        </w:rPr>
        <w:t>-涂层因子（无量纲），根据油漆状况取值在1~1.5之间；</w:t>
      </w:r>
    </w:p>
    <w:p>
      <w:pPr>
        <w:pStyle w:val="33"/>
        <w:bidi w:val="0"/>
        <w:ind w:firstLine="960" w:firstLineChars="400"/>
        <w:rPr>
          <w:color w:val="auto"/>
          <w:kern w:val="0"/>
          <w:sz w:val="24"/>
          <w:szCs w:val="24"/>
          <w:lang w:val="zh-CN"/>
        </w:rPr>
      </w:pPr>
      <w:r>
        <w:rPr>
          <w:color w:val="auto"/>
          <w:kern w:val="0"/>
          <w:sz w:val="24"/>
          <w:szCs w:val="24"/>
          <w:lang w:val="zh-CN"/>
        </w:rPr>
        <w:t>C-用于小直径罐的调节因子（无量纲）;直径在0~9m之间的罐体，C=1-0.0123(D-9)</w:t>
      </w:r>
      <w:r>
        <w:rPr>
          <w:color w:val="auto"/>
          <w:kern w:val="0"/>
          <w:sz w:val="24"/>
          <w:szCs w:val="24"/>
          <w:vertAlign w:val="superscript"/>
          <w:lang w:val="zh-CN"/>
        </w:rPr>
        <w:t>2</w:t>
      </w:r>
      <w:r>
        <w:rPr>
          <w:color w:val="auto"/>
          <w:kern w:val="0"/>
          <w:sz w:val="24"/>
          <w:szCs w:val="24"/>
          <w:lang w:val="zh-CN"/>
        </w:rPr>
        <w:t>；罐径大于9m的C=1；</w:t>
      </w:r>
    </w:p>
    <w:p>
      <w:pPr>
        <w:pStyle w:val="33"/>
        <w:bidi w:val="0"/>
        <w:ind w:firstLine="960" w:firstLineChars="400"/>
        <w:rPr>
          <w:color w:val="auto"/>
          <w:lang w:val="zh-CN"/>
        </w:rPr>
      </w:pPr>
      <w:r>
        <w:rPr>
          <w:color w:val="auto"/>
          <w:lang w:val="zh-CN"/>
        </w:rPr>
        <w:t>KC-产品因子（有机液体取1.0）</w:t>
      </w:r>
    </w:p>
    <w:p>
      <w:pPr>
        <w:pStyle w:val="33"/>
        <w:bidi w:val="0"/>
        <w:ind w:firstLine="960" w:firstLineChars="400"/>
        <w:rPr>
          <w:rFonts w:hint="eastAsia"/>
          <w:color w:val="auto"/>
          <w:lang w:val="en-US" w:eastAsia="zh-CN"/>
        </w:rPr>
      </w:pPr>
      <w:r>
        <w:rPr>
          <w:rFonts w:hint="eastAsia"/>
          <w:color w:val="auto"/>
          <w:lang w:val="en-US" w:eastAsia="zh-CN"/>
        </w:rPr>
        <w:t>项目计算参数选取见表5.4-1。</w:t>
      </w:r>
    </w:p>
    <w:p>
      <w:pPr>
        <w:pStyle w:val="33"/>
        <w:bidi w:val="0"/>
        <w:ind w:firstLine="961" w:firstLineChars="400"/>
        <w:jc w:val="center"/>
        <w:rPr>
          <w:rFonts w:hint="eastAsia"/>
          <w:b/>
          <w:bCs/>
          <w:color w:val="auto"/>
          <w:lang w:val="en-US" w:eastAsia="zh-CN"/>
        </w:rPr>
      </w:pPr>
      <w:r>
        <w:rPr>
          <w:rFonts w:hint="eastAsia"/>
          <w:b/>
          <w:bCs/>
          <w:color w:val="auto"/>
          <w:lang w:val="en-US" w:eastAsia="zh-CN"/>
        </w:rPr>
        <w:t>表5.4-1 项目储罐小呼吸计算参数一览表（温度20℃）</w:t>
      </w:r>
    </w:p>
    <w:tbl>
      <w:tblPr>
        <w:tblStyle w:val="2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3"/>
        <w:gridCol w:w="691"/>
        <w:gridCol w:w="939"/>
        <w:gridCol w:w="939"/>
        <w:gridCol w:w="939"/>
        <w:gridCol w:w="939"/>
        <w:gridCol w:w="939"/>
        <w:gridCol w:w="942"/>
      </w:tblGrid>
      <w:tr>
        <w:tc>
          <w:tcPr>
            <w:tcW w:w="1062"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物料</w:t>
            </w:r>
          </w:p>
        </w:tc>
        <w:tc>
          <w:tcPr>
            <w:tcW w:w="406"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规格</w:t>
            </w:r>
          </w:p>
        </w:tc>
        <w:tc>
          <w:tcPr>
            <w:tcW w:w="386"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M</w:t>
            </w:r>
          </w:p>
        </w:tc>
        <w:tc>
          <w:tcPr>
            <w:tcW w:w="523"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P</w:t>
            </w:r>
          </w:p>
        </w:tc>
        <w:tc>
          <w:tcPr>
            <w:tcW w:w="523"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D</w:t>
            </w:r>
          </w:p>
        </w:tc>
        <w:tc>
          <w:tcPr>
            <w:tcW w:w="523"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H</w:t>
            </w:r>
          </w:p>
        </w:tc>
        <w:tc>
          <w:tcPr>
            <w:tcW w:w="523" w:type="pct"/>
            <w:tcBorders>
              <w:tl2br w:val="nil"/>
              <w:tr2bl w:val="nil"/>
            </w:tcBorders>
            <w:noWrap w:val="0"/>
            <w:vAlign w:val="center"/>
          </w:tcPr>
          <w:p>
            <w:pPr>
              <w:pStyle w:val="35"/>
              <w:bidi w:val="0"/>
              <w:jc w:val="center"/>
              <w:rPr>
                <w:rFonts w:hint="default"/>
                <w:b/>
                <w:bCs/>
                <w:color w:val="auto"/>
                <w:lang w:val="en-US" w:eastAsia="zh-CN"/>
              </w:rPr>
            </w:pPr>
            <w:r>
              <w:rPr>
                <w:b/>
                <w:bCs/>
                <w:color w:val="auto"/>
                <w:lang w:val="zh-CN"/>
              </w:rPr>
              <w:t>△T</w:t>
            </w:r>
          </w:p>
        </w:tc>
        <w:tc>
          <w:tcPr>
            <w:tcW w:w="523" w:type="pct"/>
            <w:tcBorders>
              <w:tl2br w:val="nil"/>
              <w:tr2bl w:val="nil"/>
            </w:tcBorders>
            <w:noWrap w:val="0"/>
            <w:vAlign w:val="center"/>
          </w:tcPr>
          <w:p>
            <w:pPr>
              <w:pStyle w:val="35"/>
              <w:bidi w:val="0"/>
              <w:jc w:val="center"/>
              <w:rPr>
                <w:rFonts w:hint="default"/>
                <w:b/>
                <w:bCs/>
                <w:color w:val="auto"/>
                <w:lang w:val="en-US" w:eastAsia="zh-CN"/>
              </w:rPr>
            </w:pPr>
            <w:r>
              <w:rPr>
                <w:b/>
                <w:bCs/>
                <w:color w:val="auto"/>
                <w:lang w:val="zh-CN"/>
              </w:rPr>
              <w:t>FP</w:t>
            </w:r>
          </w:p>
        </w:tc>
        <w:tc>
          <w:tcPr>
            <w:tcW w:w="525"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C</w:t>
            </w:r>
          </w:p>
        </w:tc>
      </w:tr>
      <w:tr>
        <w:tc>
          <w:tcPr>
            <w:tcW w:w="106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碳酸二甲酯原料（40%甲醇，57%碳酸甲酯）</w:t>
            </w:r>
          </w:p>
        </w:tc>
        <w:tc>
          <w:tcPr>
            <w:tcW w:w="406"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400m</w:t>
            </w:r>
            <w:r>
              <w:rPr>
                <w:rFonts w:hint="eastAsia"/>
                <w:color w:val="auto"/>
                <w:vertAlign w:val="superscript"/>
                <w:lang w:val="en-US" w:eastAsia="zh-CN"/>
              </w:rPr>
              <w:t>3</w:t>
            </w:r>
          </w:p>
        </w:tc>
        <w:tc>
          <w:tcPr>
            <w:tcW w:w="386" w:type="pct"/>
            <w:tcBorders>
              <w:tl2br w:val="nil"/>
              <w:tr2bl w:val="nil"/>
            </w:tcBorders>
            <w:noWrap w:val="0"/>
            <w:vAlign w:val="center"/>
          </w:tcPr>
          <w:p>
            <w:pPr>
              <w:pStyle w:val="35"/>
              <w:bidi w:val="0"/>
              <w:jc w:val="center"/>
              <w:rPr>
                <w:rFonts w:hint="default"/>
                <w:color w:val="auto"/>
                <w:lang w:val="en-US" w:eastAsia="zh-CN"/>
              </w:rPr>
            </w:pPr>
            <w:r>
              <w:rPr>
                <w:rFonts w:hint="default"/>
                <w:color w:val="auto"/>
                <w:lang w:val="en-US" w:eastAsia="zh-CN"/>
              </w:rPr>
              <w:t>90.</w:t>
            </w:r>
            <w:r>
              <w:rPr>
                <w:rFonts w:hint="eastAsia"/>
                <w:color w:val="auto"/>
                <w:lang w:val="en-US" w:eastAsia="zh-CN"/>
              </w:rPr>
              <w:t>1</w:t>
            </w:r>
          </w:p>
        </w:tc>
        <w:tc>
          <w:tcPr>
            <w:tcW w:w="52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6.27</w:t>
            </w:r>
          </w:p>
        </w:tc>
        <w:tc>
          <w:tcPr>
            <w:tcW w:w="52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7.5</w:t>
            </w:r>
          </w:p>
        </w:tc>
        <w:tc>
          <w:tcPr>
            <w:tcW w:w="52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6</w:t>
            </w:r>
          </w:p>
        </w:tc>
        <w:tc>
          <w:tcPr>
            <w:tcW w:w="52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15</w:t>
            </w:r>
          </w:p>
        </w:tc>
        <w:tc>
          <w:tcPr>
            <w:tcW w:w="52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1.2</w:t>
            </w:r>
          </w:p>
        </w:tc>
        <w:tc>
          <w:tcPr>
            <w:tcW w:w="525"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0.97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6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DMC</w:t>
            </w:r>
          </w:p>
        </w:tc>
        <w:tc>
          <w:tcPr>
            <w:tcW w:w="406"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400m</w:t>
            </w:r>
            <w:r>
              <w:rPr>
                <w:rFonts w:hint="eastAsia"/>
                <w:color w:val="auto"/>
                <w:vertAlign w:val="superscript"/>
                <w:lang w:val="en-US" w:eastAsia="zh-CN"/>
              </w:rPr>
              <w:t>3</w:t>
            </w:r>
          </w:p>
        </w:tc>
        <w:tc>
          <w:tcPr>
            <w:tcW w:w="386"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default"/>
                <w:color w:val="auto"/>
                <w:lang w:val="en-US" w:eastAsia="zh-CN"/>
              </w:rPr>
              <w:t>90.</w:t>
            </w:r>
            <w:r>
              <w:rPr>
                <w:rFonts w:hint="eastAsia"/>
                <w:color w:val="auto"/>
                <w:lang w:val="en-US" w:eastAsia="zh-CN"/>
              </w:rPr>
              <w:t>1</w:t>
            </w:r>
          </w:p>
        </w:tc>
        <w:tc>
          <w:tcPr>
            <w:tcW w:w="523"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6.27</w:t>
            </w:r>
          </w:p>
        </w:tc>
        <w:tc>
          <w:tcPr>
            <w:tcW w:w="523"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7.5</w:t>
            </w:r>
          </w:p>
        </w:tc>
        <w:tc>
          <w:tcPr>
            <w:tcW w:w="523"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6</w:t>
            </w:r>
          </w:p>
        </w:tc>
        <w:tc>
          <w:tcPr>
            <w:tcW w:w="523"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15</w:t>
            </w:r>
          </w:p>
        </w:tc>
        <w:tc>
          <w:tcPr>
            <w:tcW w:w="523"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1.2</w:t>
            </w:r>
          </w:p>
        </w:tc>
        <w:tc>
          <w:tcPr>
            <w:tcW w:w="525"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0.97</w:t>
            </w:r>
          </w:p>
        </w:tc>
      </w:tr>
      <w:tr>
        <w:tc>
          <w:tcPr>
            <w:tcW w:w="106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醋酸甲酯</w:t>
            </w:r>
          </w:p>
        </w:tc>
        <w:tc>
          <w:tcPr>
            <w:tcW w:w="406"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400m</w:t>
            </w:r>
            <w:r>
              <w:rPr>
                <w:rFonts w:hint="eastAsia"/>
                <w:color w:val="auto"/>
                <w:vertAlign w:val="superscript"/>
                <w:lang w:val="en-US" w:eastAsia="zh-CN"/>
              </w:rPr>
              <w:t>3</w:t>
            </w:r>
          </w:p>
        </w:tc>
        <w:tc>
          <w:tcPr>
            <w:tcW w:w="386" w:type="pct"/>
            <w:tcBorders>
              <w:tl2br w:val="nil"/>
              <w:tr2bl w:val="nil"/>
            </w:tcBorders>
            <w:noWrap w:val="0"/>
            <w:vAlign w:val="center"/>
          </w:tcPr>
          <w:p>
            <w:pPr>
              <w:pStyle w:val="35"/>
              <w:bidi w:val="0"/>
              <w:jc w:val="center"/>
              <w:rPr>
                <w:rFonts w:hint="default"/>
                <w:color w:val="auto"/>
                <w:lang w:val="en-US" w:eastAsia="zh-CN"/>
              </w:rPr>
            </w:pPr>
            <w:r>
              <w:rPr>
                <w:rFonts w:hint="default"/>
                <w:color w:val="auto"/>
                <w:lang w:val="en-US" w:eastAsia="zh-CN"/>
              </w:rPr>
              <w:t>74.08</w:t>
            </w:r>
          </w:p>
        </w:tc>
        <w:tc>
          <w:tcPr>
            <w:tcW w:w="523" w:type="pct"/>
            <w:tcBorders>
              <w:tl2br w:val="nil"/>
              <w:tr2bl w:val="nil"/>
            </w:tcBorders>
            <w:noWrap w:val="0"/>
            <w:vAlign w:val="center"/>
          </w:tcPr>
          <w:p>
            <w:pPr>
              <w:pStyle w:val="35"/>
              <w:bidi w:val="0"/>
              <w:jc w:val="center"/>
              <w:rPr>
                <w:rFonts w:hint="default"/>
                <w:color w:val="auto"/>
                <w:lang w:val="en-US" w:eastAsia="zh-CN"/>
              </w:rPr>
            </w:pPr>
            <w:r>
              <w:rPr>
                <w:rFonts w:hint="default"/>
                <w:color w:val="auto"/>
                <w:lang w:val="en-US" w:eastAsia="zh-CN"/>
              </w:rPr>
              <w:t>13.33</w:t>
            </w:r>
          </w:p>
        </w:tc>
        <w:tc>
          <w:tcPr>
            <w:tcW w:w="52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7.5</w:t>
            </w:r>
          </w:p>
        </w:tc>
        <w:tc>
          <w:tcPr>
            <w:tcW w:w="52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6</w:t>
            </w:r>
          </w:p>
        </w:tc>
        <w:tc>
          <w:tcPr>
            <w:tcW w:w="52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15</w:t>
            </w:r>
          </w:p>
        </w:tc>
        <w:tc>
          <w:tcPr>
            <w:tcW w:w="52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1.2</w:t>
            </w:r>
          </w:p>
        </w:tc>
        <w:tc>
          <w:tcPr>
            <w:tcW w:w="525"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0.97</w:t>
            </w:r>
          </w:p>
        </w:tc>
      </w:tr>
    </w:tbl>
    <w:p>
      <w:pPr>
        <w:pStyle w:val="33"/>
        <w:bidi w:val="0"/>
        <w:rPr>
          <w:rFonts w:hint="eastAsia"/>
          <w:color w:val="auto"/>
        </w:rPr>
      </w:pPr>
      <w:r>
        <w:rPr>
          <w:rFonts w:hint="eastAsia"/>
          <w:color w:val="auto"/>
        </w:rPr>
        <w:t>根据上式计算，本项目1个</w:t>
      </w:r>
      <w:r>
        <w:rPr>
          <w:rFonts w:hint="eastAsia"/>
          <w:color w:val="auto"/>
          <w:lang w:val="en-US" w:eastAsia="zh-CN"/>
        </w:rPr>
        <w:t>400</w:t>
      </w:r>
      <w:r>
        <w:rPr>
          <w:rFonts w:hint="eastAsia"/>
          <w:color w:val="auto"/>
        </w:rPr>
        <w:t>m</w:t>
      </w:r>
      <w:r>
        <w:rPr>
          <w:rFonts w:hint="eastAsia"/>
          <w:color w:val="auto"/>
          <w:vertAlign w:val="superscript"/>
        </w:rPr>
        <w:t>3</w:t>
      </w:r>
      <w:r>
        <w:rPr>
          <w:rFonts w:hint="eastAsia"/>
          <w:color w:val="auto"/>
          <w:lang w:val="en-US" w:eastAsia="zh-CN"/>
        </w:rPr>
        <w:t>碳酸甲酯原料储</w:t>
      </w:r>
      <w:r>
        <w:rPr>
          <w:rFonts w:hint="eastAsia"/>
          <w:color w:val="auto"/>
        </w:rPr>
        <w:t>罐小呼吸量为7.62kg/a，1个</w:t>
      </w:r>
      <w:r>
        <w:rPr>
          <w:rFonts w:hint="eastAsia"/>
          <w:color w:val="auto"/>
          <w:lang w:val="en-US" w:eastAsia="zh-CN"/>
        </w:rPr>
        <w:t>400</w:t>
      </w:r>
      <w:r>
        <w:rPr>
          <w:rFonts w:hint="eastAsia"/>
          <w:color w:val="auto"/>
        </w:rPr>
        <w:t>m</w:t>
      </w:r>
      <w:r>
        <w:rPr>
          <w:rFonts w:hint="eastAsia"/>
          <w:color w:val="auto"/>
          <w:vertAlign w:val="superscript"/>
        </w:rPr>
        <w:t>3</w:t>
      </w:r>
      <w:r>
        <w:rPr>
          <w:rFonts w:hint="eastAsia"/>
          <w:color w:val="auto"/>
          <w:lang w:val="en-US" w:eastAsia="zh-CN"/>
        </w:rPr>
        <w:t>DMC储</w:t>
      </w:r>
      <w:r>
        <w:rPr>
          <w:rFonts w:hint="eastAsia"/>
          <w:color w:val="auto"/>
        </w:rPr>
        <w:t>罐小呼吸量为7.62kg</w:t>
      </w:r>
      <w:r>
        <w:rPr>
          <w:rFonts w:hint="eastAsia"/>
          <w:color w:val="auto"/>
          <w:lang w:val="en-US" w:eastAsia="zh-CN"/>
        </w:rPr>
        <w:t>/</w:t>
      </w:r>
      <w:r>
        <w:rPr>
          <w:rFonts w:hint="eastAsia"/>
          <w:color w:val="auto"/>
        </w:rPr>
        <w:t>a，1个</w:t>
      </w:r>
      <w:r>
        <w:rPr>
          <w:rFonts w:hint="eastAsia"/>
          <w:color w:val="auto"/>
          <w:lang w:val="en-US" w:eastAsia="zh-CN"/>
        </w:rPr>
        <w:t>400</w:t>
      </w:r>
      <w:r>
        <w:rPr>
          <w:rFonts w:hint="eastAsia"/>
          <w:color w:val="auto"/>
        </w:rPr>
        <w:t>m</w:t>
      </w:r>
      <w:r>
        <w:rPr>
          <w:rFonts w:hint="eastAsia"/>
          <w:color w:val="auto"/>
          <w:vertAlign w:val="superscript"/>
        </w:rPr>
        <w:t>3</w:t>
      </w:r>
      <w:r>
        <w:rPr>
          <w:rFonts w:hint="eastAsia"/>
          <w:color w:val="auto"/>
          <w:lang w:val="en-US" w:eastAsia="zh-CN"/>
        </w:rPr>
        <w:t>醋酸甲酯储</w:t>
      </w:r>
      <w:r>
        <w:rPr>
          <w:rFonts w:hint="eastAsia"/>
          <w:color w:val="auto"/>
        </w:rPr>
        <w:t>罐</w:t>
      </w:r>
      <w:r>
        <w:rPr>
          <w:rFonts w:hint="eastAsia"/>
          <w:color w:val="auto"/>
          <w:lang w:val="en-US" w:eastAsia="zh-CN"/>
        </w:rPr>
        <w:t>小呼吸量为10.47</w:t>
      </w:r>
      <w:r>
        <w:rPr>
          <w:rFonts w:hint="eastAsia"/>
          <w:color w:val="auto"/>
        </w:rPr>
        <w:t>kg</w:t>
      </w:r>
      <w:r>
        <w:rPr>
          <w:rFonts w:hint="eastAsia"/>
          <w:color w:val="auto"/>
          <w:lang w:val="en-US" w:eastAsia="zh-CN"/>
        </w:rPr>
        <w:t>/</w:t>
      </w:r>
      <w:r>
        <w:rPr>
          <w:rFonts w:hint="eastAsia"/>
          <w:color w:val="auto"/>
        </w:rPr>
        <w:t>a。</w:t>
      </w:r>
    </w:p>
    <w:p>
      <w:pPr>
        <w:pStyle w:val="33"/>
        <w:bidi w:val="0"/>
        <w:rPr>
          <w:rFonts w:hint="eastAsia"/>
          <w:color w:val="auto"/>
          <w:lang w:val="en-US" w:eastAsia="zh-CN"/>
        </w:rPr>
      </w:pPr>
      <w:r>
        <w:rPr>
          <w:rFonts w:hint="eastAsia"/>
          <w:color w:val="auto"/>
          <w:lang w:val="en-US" w:eastAsia="zh-CN"/>
        </w:rPr>
        <w:t>储罐</w:t>
      </w:r>
      <w:r>
        <w:rPr>
          <w:color w:val="auto"/>
        </w:rPr>
        <w:t>大呼吸</w:t>
      </w:r>
      <w:r>
        <w:rPr>
          <w:rFonts w:hint="eastAsia"/>
          <w:color w:val="auto"/>
          <w:lang w:val="en-US" w:eastAsia="zh-CN"/>
        </w:rPr>
        <w:t>排放量：</w:t>
      </w:r>
    </w:p>
    <w:p>
      <w:pPr>
        <w:pStyle w:val="33"/>
        <w:bidi w:val="0"/>
        <w:ind w:firstLine="720" w:firstLineChars="300"/>
        <w:jc w:val="center"/>
        <w:rPr>
          <w:color w:val="auto"/>
          <w:kern w:val="0"/>
          <w:sz w:val="24"/>
          <w:szCs w:val="24"/>
          <w:vertAlign w:val="subscript"/>
        </w:rPr>
      </w:pPr>
      <w:r>
        <w:rPr>
          <w:color w:val="auto"/>
          <w:kern w:val="0"/>
          <w:sz w:val="24"/>
          <w:szCs w:val="24"/>
        </w:rPr>
        <w:t>LW=4.188×10</w:t>
      </w:r>
      <w:r>
        <w:rPr>
          <w:color w:val="auto"/>
          <w:kern w:val="0"/>
          <w:sz w:val="24"/>
          <w:szCs w:val="24"/>
          <w:vertAlign w:val="superscript"/>
        </w:rPr>
        <w:t>-7</w:t>
      </w:r>
      <w:r>
        <w:rPr>
          <w:color w:val="auto"/>
          <w:kern w:val="0"/>
          <w:sz w:val="24"/>
          <w:szCs w:val="24"/>
        </w:rPr>
        <w:t>×M×P×K</w:t>
      </w:r>
      <w:r>
        <w:rPr>
          <w:color w:val="auto"/>
          <w:kern w:val="0"/>
          <w:sz w:val="24"/>
          <w:szCs w:val="24"/>
          <w:vertAlign w:val="subscript"/>
        </w:rPr>
        <w:t>N</w:t>
      </w:r>
      <w:r>
        <w:rPr>
          <w:color w:val="auto"/>
          <w:kern w:val="0"/>
          <w:sz w:val="24"/>
          <w:szCs w:val="24"/>
        </w:rPr>
        <w:t>×K</w:t>
      </w:r>
      <w:r>
        <w:rPr>
          <w:color w:val="auto"/>
          <w:kern w:val="0"/>
          <w:sz w:val="24"/>
          <w:szCs w:val="24"/>
          <w:vertAlign w:val="subscript"/>
        </w:rPr>
        <w:t>C</w:t>
      </w:r>
    </w:p>
    <w:p>
      <w:pPr>
        <w:pStyle w:val="33"/>
        <w:bidi w:val="0"/>
        <w:rPr>
          <w:color w:val="auto"/>
          <w:kern w:val="0"/>
          <w:sz w:val="24"/>
          <w:szCs w:val="24"/>
        </w:rPr>
      </w:pPr>
      <w:r>
        <w:rPr>
          <w:color w:val="auto"/>
          <w:kern w:val="0"/>
          <w:sz w:val="24"/>
          <w:szCs w:val="24"/>
        </w:rPr>
        <w:t>式中：LW-固定顶罐的工作损失（Kg/m</w:t>
      </w:r>
      <w:r>
        <w:rPr>
          <w:color w:val="auto"/>
          <w:kern w:val="0"/>
          <w:sz w:val="24"/>
          <w:szCs w:val="24"/>
          <w:vertAlign w:val="superscript"/>
        </w:rPr>
        <w:t>3</w:t>
      </w:r>
      <w:r>
        <w:rPr>
          <w:color w:val="auto"/>
          <w:kern w:val="0"/>
          <w:sz w:val="24"/>
          <w:szCs w:val="24"/>
        </w:rPr>
        <w:t>投入量）；</w:t>
      </w:r>
    </w:p>
    <w:p>
      <w:pPr>
        <w:pStyle w:val="33"/>
        <w:bidi w:val="0"/>
        <w:rPr>
          <w:rFonts w:hint="eastAsia"/>
          <w:color w:val="auto"/>
          <w:lang w:val="zh-CN"/>
        </w:rPr>
      </w:pPr>
      <w:r>
        <w:rPr>
          <w:color w:val="auto"/>
          <w:lang w:val="zh-CN"/>
        </w:rPr>
        <w:t>K</w:t>
      </w:r>
      <w:r>
        <w:rPr>
          <w:color w:val="auto"/>
          <w:vertAlign w:val="subscript"/>
          <w:lang w:val="zh-CN"/>
        </w:rPr>
        <w:t>N</w:t>
      </w:r>
      <w:r>
        <w:rPr>
          <w:color w:val="auto"/>
          <w:lang w:val="zh-CN"/>
        </w:rPr>
        <w:t>-</w:t>
      </w:r>
      <w:r>
        <w:rPr>
          <w:rFonts w:hint="eastAsia"/>
          <w:color w:val="auto"/>
          <w:lang w:val="zh-CN"/>
        </w:rPr>
        <w:t>周转因子(无量纲)，取值按年周转次数(K=年投入量/罐容量)确定。当K&lt;36，K</w:t>
      </w:r>
      <w:r>
        <w:rPr>
          <w:rFonts w:hint="eastAsia"/>
          <w:color w:val="auto"/>
          <w:vertAlign w:val="subscript"/>
          <w:lang w:val="en-US" w:eastAsia="zh-CN"/>
        </w:rPr>
        <w:t>N</w:t>
      </w:r>
      <w:r>
        <w:rPr>
          <w:rFonts w:hint="eastAsia"/>
          <w:color w:val="auto"/>
          <w:lang w:val="zh-CN"/>
        </w:rPr>
        <w:t>=1;当36&lt;K&lt;220，K</w:t>
      </w:r>
      <w:r>
        <w:rPr>
          <w:rFonts w:hint="eastAsia"/>
          <w:color w:val="auto"/>
          <w:vertAlign w:val="subscript"/>
          <w:lang w:val="zh-CN"/>
        </w:rPr>
        <w:t>N</w:t>
      </w:r>
      <w:r>
        <w:rPr>
          <w:rFonts w:hint="eastAsia"/>
          <w:color w:val="auto"/>
          <w:lang w:val="zh-CN"/>
        </w:rPr>
        <w:t>=11.467</w:t>
      </w:r>
      <w:r>
        <w:rPr>
          <w:color w:val="auto"/>
          <w:kern w:val="0"/>
          <w:sz w:val="24"/>
          <w:szCs w:val="24"/>
        </w:rPr>
        <w:t>×</w:t>
      </w:r>
      <w:r>
        <w:rPr>
          <w:rFonts w:hint="eastAsia"/>
          <w:color w:val="auto"/>
          <w:lang w:val="zh-CN"/>
        </w:rPr>
        <w:t>K</w:t>
      </w:r>
      <w:r>
        <w:rPr>
          <w:rFonts w:hint="eastAsia"/>
          <w:color w:val="auto"/>
          <w:vertAlign w:val="superscript"/>
          <w:lang w:val="zh-CN"/>
        </w:rPr>
        <w:t>-0.7026</w:t>
      </w:r>
      <w:r>
        <w:rPr>
          <w:rFonts w:hint="eastAsia"/>
          <w:color w:val="auto"/>
          <w:lang w:val="zh-CN"/>
        </w:rPr>
        <w:t>；K&gt;220，K</w:t>
      </w:r>
      <w:r>
        <w:rPr>
          <w:rFonts w:hint="eastAsia"/>
          <w:color w:val="auto"/>
          <w:vertAlign w:val="subscript"/>
          <w:lang w:val="zh-CN"/>
        </w:rPr>
        <w:t>N</w:t>
      </w:r>
      <w:r>
        <w:rPr>
          <w:rFonts w:hint="eastAsia"/>
          <w:color w:val="auto"/>
          <w:lang w:val="zh-CN"/>
        </w:rPr>
        <w:t>=0.26。其他同上。</w:t>
      </w:r>
    </w:p>
    <w:p>
      <w:pPr>
        <w:pStyle w:val="33"/>
        <w:bidi w:val="0"/>
        <w:rPr>
          <w:rFonts w:hint="eastAsia"/>
          <w:color w:val="auto"/>
          <w:lang w:val="en-US" w:eastAsia="zh-CN"/>
        </w:rPr>
      </w:pPr>
      <w:r>
        <w:rPr>
          <w:rFonts w:hint="eastAsia"/>
          <w:color w:val="auto"/>
        </w:rPr>
        <w:t>根据上式计算，本项目1个</w:t>
      </w:r>
      <w:r>
        <w:rPr>
          <w:rFonts w:hint="eastAsia"/>
          <w:color w:val="auto"/>
          <w:lang w:val="en-US" w:eastAsia="zh-CN"/>
        </w:rPr>
        <w:t>400</w:t>
      </w:r>
      <w:r>
        <w:rPr>
          <w:rFonts w:hint="eastAsia"/>
          <w:color w:val="auto"/>
        </w:rPr>
        <w:t>m</w:t>
      </w:r>
      <w:r>
        <w:rPr>
          <w:rFonts w:hint="eastAsia"/>
          <w:color w:val="auto"/>
          <w:vertAlign w:val="superscript"/>
        </w:rPr>
        <w:t>3</w:t>
      </w:r>
      <w:r>
        <w:rPr>
          <w:rFonts w:hint="eastAsia"/>
          <w:color w:val="auto"/>
          <w:lang w:val="en-US" w:eastAsia="zh-CN"/>
        </w:rPr>
        <w:t>碳酸甲酯原料储</w:t>
      </w:r>
      <w:r>
        <w:rPr>
          <w:rFonts w:hint="eastAsia"/>
          <w:color w:val="auto"/>
        </w:rPr>
        <w:t>罐小呼吸量为</w:t>
      </w:r>
      <w:r>
        <w:rPr>
          <w:rFonts w:hint="eastAsia"/>
          <w:color w:val="auto"/>
          <w:lang w:val="en-US" w:eastAsia="zh-CN"/>
        </w:rPr>
        <w:t>0</w:t>
      </w:r>
      <w:r>
        <w:rPr>
          <w:rFonts w:hint="eastAsia"/>
          <w:color w:val="auto"/>
          <w:lang w:val="zh-CN"/>
        </w:rPr>
        <w:t>.000213kg/m</w:t>
      </w:r>
      <w:r>
        <w:rPr>
          <w:rFonts w:hint="eastAsia"/>
          <w:color w:val="auto"/>
          <w:vertAlign w:val="superscript"/>
          <w:lang w:val="zh-CN"/>
        </w:rPr>
        <w:t>3</w:t>
      </w:r>
      <w:r>
        <w:rPr>
          <w:rFonts w:hint="eastAsia"/>
          <w:color w:val="auto"/>
          <w:lang w:val="zh-CN"/>
        </w:rPr>
        <w:t>(</w:t>
      </w:r>
      <w:r>
        <w:rPr>
          <w:rFonts w:hint="eastAsia"/>
          <w:color w:val="auto"/>
          <w:lang w:val="en-US" w:eastAsia="zh-CN"/>
        </w:rPr>
        <w:t>39.9</w:t>
      </w:r>
      <w:r>
        <w:rPr>
          <w:rFonts w:hint="eastAsia"/>
          <w:color w:val="auto"/>
          <w:lang w:val="zh-CN"/>
        </w:rPr>
        <w:t>kg/a)</w:t>
      </w:r>
      <w:r>
        <w:rPr>
          <w:rFonts w:hint="eastAsia"/>
          <w:color w:val="auto"/>
        </w:rPr>
        <w:t>，1个</w:t>
      </w:r>
      <w:r>
        <w:rPr>
          <w:rFonts w:hint="eastAsia"/>
          <w:color w:val="auto"/>
          <w:lang w:val="en-US" w:eastAsia="zh-CN"/>
        </w:rPr>
        <w:t>400</w:t>
      </w:r>
      <w:r>
        <w:rPr>
          <w:rFonts w:hint="eastAsia"/>
          <w:color w:val="auto"/>
        </w:rPr>
        <w:t>m</w:t>
      </w:r>
      <w:r>
        <w:rPr>
          <w:rFonts w:hint="eastAsia"/>
          <w:color w:val="auto"/>
          <w:vertAlign w:val="superscript"/>
        </w:rPr>
        <w:t>3</w:t>
      </w:r>
      <w:r>
        <w:rPr>
          <w:rFonts w:hint="eastAsia"/>
          <w:color w:val="auto"/>
          <w:lang w:val="en-US" w:eastAsia="zh-CN"/>
        </w:rPr>
        <w:t>DMC储</w:t>
      </w:r>
      <w:r>
        <w:rPr>
          <w:rFonts w:hint="eastAsia"/>
          <w:color w:val="auto"/>
        </w:rPr>
        <w:t>罐</w:t>
      </w:r>
      <w:r>
        <w:rPr>
          <w:rFonts w:hint="eastAsia"/>
          <w:color w:val="auto"/>
          <w:lang w:val="en-US" w:eastAsia="zh-CN"/>
        </w:rPr>
        <w:t>大</w:t>
      </w:r>
      <w:r>
        <w:rPr>
          <w:rFonts w:hint="eastAsia"/>
          <w:color w:val="auto"/>
        </w:rPr>
        <w:t>呼吸量为</w:t>
      </w:r>
      <w:r>
        <w:rPr>
          <w:rFonts w:hint="eastAsia"/>
          <w:color w:val="auto"/>
          <w:lang w:val="en-US" w:eastAsia="zh-CN"/>
        </w:rPr>
        <w:t>0</w:t>
      </w:r>
      <w:r>
        <w:rPr>
          <w:rFonts w:hint="eastAsia"/>
          <w:color w:val="auto"/>
          <w:lang w:val="zh-CN"/>
        </w:rPr>
        <w:t>.000213kg/m</w:t>
      </w:r>
      <w:r>
        <w:rPr>
          <w:rFonts w:hint="eastAsia"/>
          <w:color w:val="auto"/>
          <w:vertAlign w:val="superscript"/>
          <w:lang w:val="zh-CN"/>
        </w:rPr>
        <w:t>3</w:t>
      </w:r>
      <w:r>
        <w:rPr>
          <w:rFonts w:hint="eastAsia"/>
          <w:color w:val="auto"/>
          <w:lang w:val="zh-CN"/>
        </w:rPr>
        <w:t>(</w:t>
      </w:r>
      <w:r>
        <w:rPr>
          <w:rFonts w:hint="eastAsia"/>
          <w:color w:val="auto"/>
          <w:lang w:val="en-US" w:eastAsia="zh-CN"/>
        </w:rPr>
        <w:t>39.9</w:t>
      </w:r>
      <w:r>
        <w:rPr>
          <w:rFonts w:hint="eastAsia"/>
          <w:color w:val="auto"/>
          <w:lang w:val="zh-CN"/>
        </w:rPr>
        <w:t>kg/a)</w:t>
      </w:r>
      <w:r>
        <w:rPr>
          <w:rFonts w:hint="eastAsia"/>
          <w:color w:val="auto"/>
        </w:rPr>
        <w:t>，1个</w:t>
      </w:r>
      <w:r>
        <w:rPr>
          <w:rFonts w:hint="eastAsia"/>
          <w:color w:val="auto"/>
          <w:lang w:val="en-US" w:eastAsia="zh-CN"/>
        </w:rPr>
        <w:t>400</w:t>
      </w:r>
      <w:r>
        <w:rPr>
          <w:rFonts w:hint="eastAsia"/>
          <w:color w:val="auto"/>
        </w:rPr>
        <w:t>m</w:t>
      </w:r>
      <w:r>
        <w:rPr>
          <w:rFonts w:hint="eastAsia"/>
          <w:color w:val="auto"/>
          <w:vertAlign w:val="superscript"/>
        </w:rPr>
        <w:t>3</w:t>
      </w:r>
      <w:r>
        <w:rPr>
          <w:rFonts w:hint="eastAsia"/>
          <w:color w:val="auto"/>
          <w:lang w:val="en-US" w:eastAsia="zh-CN"/>
        </w:rPr>
        <w:t>醋酸甲酯储</w:t>
      </w:r>
      <w:r>
        <w:rPr>
          <w:rFonts w:hint="eastAsia"/>
          <w:color w:val="auto"/>
        </w:rPr>
        <w:t>罐</w:t>
      </w:r>
      <w:r>
        <w:rPr>
          <w:rFonts w:hint="eastAsia"/>
          <w:color w:val="auto"/>
          <w:lang w:val="en-US" w:eastAsia="zh-CN"/>
        </w:rPr>
        <w:t>大呼吸量为0.000414</w:t>
      </w:r>
      <w:r>
        <w:rPr>
          <w:rFonts w:hint="eastAsia"/>
          <w:color w:val="auto"/>
          <w:lang w:val="zh-CN"/>
        </w:rPr>
        <w:t>kg/m</w:t>
      </w:r>
      <w:r>
        <w:rPr>
          <w:rFonts w:hint="eastAsia"/>
          <w:color w:val="auto"/>
          <w:vertAlign w:val="superscript"/>
          <w:lang w:val="zh-CN"/>
        </w:rPr>
        <w:t>3</w:t>
      </w:r>
      <w:r>
        <w:rPr>
          <w:rFonts w:hint="eastAsia"/>
          <w:color w:val="auto"/>
          <w:lang w:val="zh-CN"/>
        </w:rPr>
        <w:t>(</w:t>
      </w:r>
      <w:r>
        <w:rPr>
          <w:rFonts w:hint="eastAsia"/>
          <w:color w:val="auto"/>
          <w:lang w:val="en-US" w:eastAsia="zh-CN"/>
        </w:rPr>
        <w:t>4.1</w:t>
      </w:r>
      <w:r>
        <w:rPr>
          <w:rFonts w:hint="eastAsia"/>
          <w:color w:val="auto"/>
          <w:lang w:val="zh-CN"/>
        </w:rPr>
        <w:t>kg/a)。</w:t>
      </w:r>
    </w:p>
    <w:p>
      <w:pPr>
        <w:pStyle w:val="33"/>
        <w:bidi w:val="0"/>
        <w:rPr>
          <w:rFonts w:hint="eastAsia" w:ascii="Times New Roman" w:hAnsi="Times New Roman" w:cs="Times New Roman"/>
          <w:color w:val="auto"/>
          <w:lang w:val="zh-CN"/>
        </w:rPr>
      </w:pPr>
      <w:r>
        <w:rPr>
          <w:rFonts w:hint="eastAsia" w:ascii="Times New Roman" w:hAnsi="Times New Roman" w:cs="Times New Roman"/>
          <w:color w:val="auto"/>
          <w:lang w:val="zh-CN"/>
        </w:rPr>
        <w:t>根据计算结果可知，本项目</w:t>
      </w:r>
      <w:r>
        <w:rPr>
          <w:rFonts w:hint="eastAsia" w:ascii="Times New Roman" w:hAnsi="Times New Roman" w:cs="Times New Roman"/>
          <w:color w:val="auto"/>
          <w:lang w:val="en-US" w:eastAsia="zh-CN"/>
        </w:rPr>
        <w:t>碳酸甲酯原料</w:t>
      </w:r>
      <w:r>
        <w:rPr>
          <w:rFonts w:hint="eastAsia" w:ascii="Times New Roman" w:hAnsi="Times New Roman" w:cs="Times New Roman"/>
          <w:color w:val="auto"/>
          <w:lang w:val="zh-CN"/>
        </w:rPr>
        <w:t>储存过程中排放总量约为</w:t>
      </w:r>
      <w:r>
        <w:rPr>
          <w:rFonts w:hint="eastAsia" w:ascii="Times New Roman" w:hAnsi="Times New Roman" w:cs="Times New Roman"/>
          <w:color w:val="auto"/>
          <w:lang w:val="en-US" w:eastAsia="zh-CN"/>
        </w:rPr>
        <w:t>VOCs：0.0032</w:t>
      </w:r>
      <w:r>
        <w:rPr>
          <w:rFonts w:hint="eastAsia" w:ascii="Times New Roman" w:hAnsi="Times New Roman" w:cs="Times New Roman"/>
          <w:color w:val="auto"/>
          <w:lang w:val="zh-CN"/>
        </w:rPr>
        <w:t>kg/h、</w:t>
      </w:r>
      <w:r>
        <w:rPr>
          <w:rFonts w:hint="eastAsia" w:ascii="Times New Roman" w:hAnsi="Times New Roman" w:cs="Times New Roman"/>
          <w:color w:val="auto"/>
          <w:lang w:val="en-US" w:eastAsia="zh-CN"/>
        </w:rPr>
        <w:t>2852</w:t>
      </w:r>
      <w:r>
        <w:rPr>
          <w:rFonts w:hint="eastAsia" w:ascii="Times New Roman" w:hAnsi="Times New Roman" w:cs="Times New Roman"/>
          <w:color w:val="auto"/>
          <w:lang w:val="zh-CN"/>
        </w:rPr>
        <w:t>kg/a，</w:t>
      </w:r>
      <w:r>
        <w:rPr>
          <w:rFonts w:hint="eastAsia" w:ascii="Times New Roman" w:hAnsi="Times New Roman" w:cs="Times New Roman"/>
          <w:color w:val="auto"/>
          <w:lang w:val="en-US" w:eastAsia="zh-CN"/>
        </w:rPr>
        <w:t>甲醇0.0022</w:t>
      </w:r>
      <w:r>
        <w:rPr>
          <w:rFonts w:hint="eastAsia" w:ascii="Times New Roman" w:hAnsi="Times New Roman" w:cs="Times New Roman"/>
          <w:color w:val="auto"/>
          <w:lang w:val="zh-CN"/>
        </w:rPr>
        <w:t>kg/h、</w:t>
      </w:r>
      <w:r>
        <w:rPr>
          <w:rFonts w:hint="eastAsia" w:ascii="Times New Roman" w:hAnsi="Times New Roman" w:cs="Times New Roman"/>
          <w:color w:val="auto"/>
          <w:lang w:val="en-US" w:eastAsia="zh-CN"/>
        </w:rPr>
        <w:t>19</w:t>
      </w:r>
      <w:r>
        <w:rPr>
          <w:rFonts w:hint="eastAsia" w:ascii="Times New Roman" w:hAnsi="Times New Roman" w:cs="Times New Roman"/>
          <w:color w:val="auto"/>
          <w:lang w:val="zh-CN"/>
        </w:rPr>
        <w:t>kg/a；</w:t>
      </w:r>
      <w:r>
        <w:rPr>
          <w:rFonts w:hint="eastAsia" w:ascii="Times New Roman" w:hAnsi="Times New Roman" w:cs="Times New Roman"/>
          <w:color w:val="auto"/>
          <w:lang w:val="en-US" w:eastAsia="zh-CN"/>
        </w:rPr>
        <w:t>DMC原料在储存过程中</w:t>
      </w:r>
      <w:r>
        <w:rPr>
          <w:rFonts w:hint="eastAsia" w:ascii="Times New Roman" w:hAnsi="Times New Roman" w:cs="Times New Roman"/>
          <w:color w:val="auto"/>
          <w:lang w:val="zh-CN"/>
        </w:rPr>
        <w:t>排放总量约为0.0</w:t>
      </w:r>
      <w:r>
        <w:rPr>
          <w:rFonts w:hint="eastAsia" w:ascii="Times New Roman" w:hAnsi="Times New Roman" w:cs="Times New Roman"/>
          <w:color w:val="auto"/>
          <w:lang w:val="en-US" w:eastAsia="zh-CN"/>
        </w:rPr>
        <w:t>054</w:t>
      </w:r>
      <w:r>
        <w:rPr>
          <w:rFonts w:hint="eastAsia" w:ascii="Times New Roman" w:hAnsi="Times New Roman" w:cs="Times New Roman"/>
          <w:color w:val="auto"/>
          <w:lang w:val="zh-CN"/>
        </w:rPr>
        <w:t>kg/h、</w:t>
      </w:r>
      <w:r>
        <w:rPr>
          <w:rFonts w:hint="eastAsia" w:ascii="Times New Roman" w:hAnsi="Times New Roman" w:cs="Times New Roman"/>
          <w:color w:val="auto"/>
          <w:lang w:val="en-US" w:eastAsia="zh-CN"/>
        </w:rPr>
        <w:t>47.52</w:t>
      </w:r>
      <w:r>
        <w:rPr>
          <w:rFonts w:hint="eastAsia" w:ascii="Times New Roman" w:hAnsi="Times New Roman" w:cs="Times New Roman"/>
          <w:color w:val="auto"/>
          <w:lang w:val="zh-CN"/>
        </w:rPr>
        <w:t>kg/a</w:t>
      </w:r>
      <w:r>
        <w:rPr>
          <w:rFonts w:hint="eastAsia" w:ascii="Times New Roman" w:hAnsi="Times New Roman" w:cs="Times New Roman"/>
          <w:color w:val="auto"/>
          <w:lang w:val="en-US" w:eastAsia="zh-CN"/>
        </w:rPr>
        <w:t>；碳酸甲酯</w:t>
      </w:r>
      <w:r>
        <w:rPr>
          <w:rFonts w:hint="eastAsia" w:ascii="Times New Roman" w:hAnsi="Times New Roman" w:cs="Times New Roman"/>
          <w:color w:val="auto"/>
          <w:lang w:val="zh-CN"/>
        </w:rPr>
        <w:t>储存过程中排放总量约为</w:t>
      </w:r>
      <w:r>
        <w:rPr>
          <w:rFonts w:hint="eastAsia" w:ascii="Times New Roman" w:hAnsi="Times New Roman" w:cs="Times New Roman"/>
          <w:color w:val="auto"/>
          <w:lang w:val="en-US" w:eastAsia="zh-CN"/>
        </w:rPr>
        <w:t>0.0017</w:t>
      </w:r>
      <w:r>
        <w:rPr>
          <w:rFonts w:hint="eastAsia" w:ascii="Times New Roman" w:hAnsi="Times New Roman" w:cs="Times New Roman"/>
          <w:color w:val="auto"/>
          <w:lang w:val="zh-CN"/>
        </w:rPr>
        <w:t>kg/h</w:t>
      </w:r>
      <w:r>
        <w:rPr>
          <w:rFonts w:hint="eastAsia" w:ascii="Times New Roman" w:hAnsi="Times New Roman" w:cs="Times New Roman"/>
          <w:color w:val="auto"/>
          <w:lang w:val="en-US" w:eastAsia="zh-CN"/>
        </w:rPr>
        <w:t>、14.54</w:t>
      </w:r>
      <w:r>
        <w:rPr>
          <w:rFonts w:hint="eastAsia" w:ascii="Times New Roman" w:hAnsi="Times New Roman" w:cs="Times New Roman"/>
          <w:color w:val="auto"/>
          <w:lang w:val="zh-CN"/>
        </w:rPr>
        <w:t>kg/a。</w:t>
      </w:r>
    </w:p>
    <w:p>
      <w:pPr>
        <w:pStyle w:val="33"/>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罐区呼吸废气</w:t>
      </w:r>
      <w:r>
        <w:rPr>
          <w:rFonts w:hint="eastAsia"/>
          <w:color w:val="auto"/>
          <w:u w:val="none"/>
          <w:lang w:val="en-US" w:eastAsia="zh-CN"/>
        </w:rPr>
        <w:t>VOCs</w:t>
      </w:r>
      <w:r>
        <w:rPr>
          <w:rFonts w:hint="eastAsia" w:ascii="Times New Roman" w:hAnsi="Times New Roman" w:cs="Times New Roman"/>
          <w:color w:val="auto"/>
          <w:u w:val="none"/>
          <w:lang w:val="en-US" w:eastAsia="zh-CN"/>
        </w:rPr>
        <w:t>产</w:t>
      </w:r>
      <w:r>
        <w:rPr>
          <w:rFonts w:hint="eastAsia" w:ascii="Times New Roman" w:hAnsi="Times New Roman" w:cs="Times New Roman"/>
          <w:color w:val="auto"/>
          <w:lang w:val="en-US" w:eastAsia="zh-CN"/>
        </w:rPr>
        <w:t>生量为3.04t/a。甲醇产生量为0.019t/a。</w:t>
      </w:r>
    </w:p>
    <w:p>
      <w:pPr>
        <w:pStyle w:val="33"/>
        <w:bidi w:val="0"/>
        <w:rPr>
          <w:rFonts w:hint="eastAsia" w:ascii="Times New Roman" w:hAnsi="Times New Roman" w:cs="Times New Roman"/>
          <w:color w:val="auto"/>
          <w:lang w:eastAsia="zh-CN"/>
        </w:rPr>
      </w:pPr>
      <w:r>
        <w:rPr>
          <w:rFonts w:hint="eastAsia" w:cs="Times New Roman"/>
          <w:color w:val="auto"/>
          <w:lang w:val="en-US" w:eastAsia="zh-CN"/>
        </w:rPr>
        <w:t>储罐区呼吸废气通过新建一套废气收集处理系统，通过</w:t>
      </w:r>
      <w:r>
        <w:rPr>
          <w:rFonts w:hint="eastAsia" w:ascii="Times New Roman" w:hAnsi="Times New Roman" w:cs="Times New Roman"/>
          <w:color w:val="auto"/>
          <w:lang w:eastAsia="zh-CN"/>
        </w:rPr>
        <w:t>收集管道</w:t>
      </w:r>
      <w:r>
        <w:rPr>
          <w:rFonts w:hint="eastAsia" w:cs="Times New Roman"/>
          <w:color w:val="auto"/>
          <w:lang w:val="en-US" w:eastAsia="zh-CN"/>
        </w:rPr>
        <w:t>＋</w:t>
      </w:r>
      <w:r>
        <w:rPr>
          <w:rFonts w:hint="eastAsia" w:ascii="Times New Roman" w:hAnsi="Times New Roman" w:cs="Times New Roman"/>
          <w:color w:val="auto"/>
          <w:lang w:eastAsia="zh-CN"/>
        </w:rPr>
        <w:t>喷淋塔</w:t>
      </w:r>
      <w:r>
        <w:rPr>
          <w:rFonts w:hint="eastAsia" w:cs="Times New Roman"/>
          <w:color w:val="auto"/>
          <w:lang w:val="en-US" w:eastAsia="zh-CN"/>
        </w:rPr>
        <w:t>＋</w:t>
      </w:r>
      <w:r>
        <w:rPr>
          <w:rFonts w:hint="eastAsia" w:ascii="Times New Roman" w:hAnsi="Times New Roman" w:cs="Times New Roman"/>
          <w:color w:val="auto"/>
          <w:lang w:eastAsia="zh-CN"/>
        </w:rPr>
        <w:t>UV光解</w:t>
      </w:r>
      <w:r>
        <w:rPr>
          <w:rFonts w:hint="eastAsia" w:cs="Times New Roman"/>
          <w:color w:val="auto"/>
          <w:lang w:val="en-US" w:eastAsia="zh-CN"/>
        </w:rPr>
        <w:t>＋两级</w:t>
      </w:r>
      <w:r>
        <w:rPr>
          <w:rFonts w:hint="eastAsia" w:ascii="Times New Roman" w:hAnsi="Times New Roman" w:cs="Times New Roman"/>
          <w:color w:val="auto"/>
          <w:lang w:eastAsia="zh-CN"/>
        </w:rPr>
        <w:t>活性炭吸附</w:t>
      </w:r>
      <w:r>
        <w:rPr>
          <w:rFonts w:hint="eastAsia" w:cs="Times New Roman"/>
          <w:color w:val="auto"/>
          <w:lang w:val="en-US" w:eastAsia="zh-CN"/>
        </w:rPr>
        <w:t>＋</w:t>
      </w:r>
      <w:r>
        <w:rPr>
          <w:rFonts w:hint="eastAsia" w:ascii="Times New Roman" w:hAnsi="Times New Roman" w:cs="Times New Roman"/>
          <w:color w:val="auto"/>
          <w:lang w:eastAsia="zh-CN"/>
        </w:rPr>
        <w:t>15米</w:t>
      </w:r>
      <w:r>
        <w:rPr>
          <w:rFonts w:hint="eastAsia" w:cs="Times New Roman"/>
          <w:color w:val="auto"/>
          <w:lang w:val="en-US" w:eastAsia="zh-CN"/>
        </w:rPr>
        <w:t>排气筒</w:t>
      </w:r>
      <w:r>
        <w:rPr>
          <w:rFonts w:hint="eastAsia" w:ascii="Times New Roman" w:hAnsi="Times New Roman" w:cs="Times New Roman"/>
          <w:color w:val="auto"/>
          <w:lang w:eastAsia="zh-CN"/>
        </w:rPr>
        <w:t>排放</w:t>
      </w:r>
      <w:r>
        <w:rPr>
          <w:rFonts w:hint="eastAsia" w:cs="Times New Roman"/>
          <w:color w:val="auto"/>
          <w:lang w:eastAsia="zh-CN"/>
        </w:rPr>
        <w:t>。</w:t>
      </w:r>
    </w:p>
    <w:p>
      <w:pPr>
        <w:pStyle w:val="33"/>
        <w:bidi w:val="0"/>
        <w:rPr>
          <w:rFonts w:hint="eastAsia"/>
          <w:color w:val="auto"/>
          <w:lang w:val="en-US" w:eastAsia="zh-CN"/>
        </w:rPr>
      </w:pPr>
      <w:r>
        <w:rPr>
          <w:rFonts w:hint="eastAsia"/>
          <w:color w:val="auto"/>
          <w:lang w:val="en-US" w:eastAsia="zh-CN"/>
        </w:rPr>
        <w:t>技改项目有组织废气源强及排放排放情况见下表。</w:t>
      </w:r>
    </w:p>
    <w:p>
      <w:pPr>
        <w:pStyle w:val="36"/>
        <w:bidi w:val="0"/>
        <w:rPr>
          <w:rFonts w:hint="default"/>
          <w:color w:val="auto"/>
          <w:lang w:val="en-US" w:eastAsia="zh-CN"/>
        </w:rPr>
      </w:pPr>
      <w:r>
        <w:rPr>
          <w:rFonts w:hint="eastAsia"/>
          <w:color w:val="auto"/>
          <w:lang w:val="en-US" w:eastAsia="zh-CN"/>
        </w:rPr>
        <w:t>表5.4-2项目有组织废气源强及排放排放情况</w:t>
      </w:r>
    </w:p>
    <w:tbl>
      <w:tblPr>
        <w:tblStyle w:val="2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33"/>
        <w:gridCol w:w="629"/>
        <w:gridCol w:w="766"/>
        <w:gridCol w:w="584"/>
        <w:gridCol w:w="681"/>
        <w:gridCol w:w="578"/>
        <w:gridCol w:w="766"/>
        <w:gridCol w:w="681"/>
        <w:gridCol w:w="784"/>
        <w:gridCol w:w="515"/>
        <w:gridCol w:w="423"/>
        <w:gridCol w:w="766"/>
        <w:gridCol w:w="423"/>
      </w:tblGrid>
      <w:tr>
        <w:trPr>
          <w:trHeight w:val="870" w:hRule="atLeast"/>
        </w:trPr>
        <w:tc>
          <w:tcPr>
            <w:tcW w:w="387" w:type="pct"/>
            <w:vMerge w:val="restar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污染源</w:t>
            </w:r>
          </w:p>
        </w:tc>
        <w:tc>
          <w:tcPr>
            <w:tcW w:w="422" w:type="pct"/>
            <w:vMerge w:val="restar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污染源名称</w:t>
            </w:r>
          </w:p>
        </w:tc>
        <w:tc>
          <w:tcPr>
            <w:tcW w:w="411" w:type="pct"/>
            <w:vMerge w:val="restart"/>
            <w:tcBorders>
              <w:tl2br w:val="nil"/>
              <w:tr2bl w:val="nil"/>
            </w:tcBorders>
            <w:noWrap w:val="0"/>
            <w:vAlign w:val="center"/>
          </w:tcPr>
          <w:p>
            <w:pPr>
              <w:pStyle w:val="35"/>
              <w:bidi w:val="0"/>
              <w:jc w:val="center"/>
              <w:rPr>
                <w:rFonts w:hint="eastAsia"/>
                <w:color w:val="auto"/>
                <w:sz w:val="21"/>
                <w:szCs w:val="21"/>
                <w:lang w:val="en-US" w:eastAsia="zh-CN"/>
              </w:rPr>
            </w:pPr>
            <w:r>
              <w:rPr>
                <w:rFonts w:hint="eastAsia"/>
                <w:color w:val="auto"/>
                <w:sz w:val="21"/>
                <w:szCs w:val="21"/>
                <w:lang w:val="en-US" w:eastAsia="zh-CN"/>
              </w:rPr>
              <w:t>废气量</w:t>
            </w:r>
          </w:p>
          <w:p>
            <w:pPr>
              <w:pStyle w:val="35"/>
              <w:bidi w:val="0"/>
              <w:jc w:val="center"/>
              <w:rPr>
                <w:rFonts w:hint="default"/>
                <w:color w:val="auto"/>
                <w:sz w:val="21"/>
                <w:szCs w:val="21"/>
                <w:lang w:val="en-US" w:eastAsia="zh-CN"/>
              </w:rPr>
            </w:pPr>
            <w:r>
              <w:rPr>
                <w:rFonts w:hint="eastAsia"/>
                <w:color w:val="auto"/>
                <w:sz w:val="21"/>
                <w:szCs w:val="21"/>
                <w:lang w:val="en-US" w:eastAsia="zh-CN"/>
              </w:rPr>
              <w:t>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1104" w:type="pct"/>
            <w:gridSpan w:val="3"/>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排放情况</w:t>
            </w:r>
          </w:p>
        </w:tc>
        <w:tc>
          <w:tcPr>
            <w:tcW w:w="237" w:type="pct"/>
            <w:vMerge w:val="restart"/>
            <w:tcBorders>
              <w:tl2br w:val="nil"/>
              <w:tr2bl w:val="nil"/>
            </w:tcBorders>
            <w:noWrap w:val="0"/>
            <w:vAlign w:val="center"/>
          </w:tcPr>
          <w:p>
            <w:pPr>
              <w:pStyle w:val="35"/>
              <w:bidi w:val="0"/>
              <w:jc w:val="center"/>
              <w:rPr>
                <w:rFonts w:hint="eastAsia"/>
                <w:color w:val="auto"/>
                <w:sz w:val="21"/>
                <w:szCs w:val="21"/>
                <w:lang w:val="en-US" w:eastAsia="zh-CN"/>
              </w:rPr>
            </w:pPr>
            <w:r>
              <w:rPr>
                <w:rFonts w:hint="eastAsia"/>
                <w:color w:val="auto"/>
                <w:sz w:val="21"/>
                <w:szCs w:val="21"/>
                <w:lang w:val="en-US" w:eastAsia="zh-CN"/>
              </w:rPr>
              <w:t>处理</w:t>
            </w:r>
          </w:p>
          <w:p>
            <w:pPr>
              <w:pStyle w:val="35"/>
              <w:bidi w:val="0"/>
              <w:jc w:val="center"/>
              <w:rPr>
                <w:rFonts w:hint="eastAsia"/>
                <w:color w:val="auto"/>
                <w:sz w:val="21"/>
                <w:szCs w:val="21"/>
                <w:lang w:val="en-US" w:eastAsia="zh-CN"/>
              </w:rPr>
            </w:pPr>
            <w:r>
              <w:rPr>
                <w:rFonts w:hint="eastAsia"/>
                <w:color w:val="auto"/>
                <w:sz w:val="21"/>
                <w:szCs w:val="21"/>
                <w:lang w:val="en-US" w:eastAsia="zh-CN"/>
              </w:rPr>
              <w:t>效率</w:t>
            </w:r>
          </w:p>
          <w:p>
            <w:pPr>
              <w:pStyle w:val="35"/>
              <w:bidi w:val="0"/>
              <w:jc w:val="center"/>
              <w:rPr>
                <w:rFonts w:hint="default"/>
                <w:color w:val="auto"/>
                <w:sz w:val="21"/>
                <w:szCs w:val="21"/>
                <w:lang w:val="en-US" w:eastAsia="zh-CN"/>
              </w:rPr>
            </w:pPr>
            <w:r>
              <w:rPr>
                <w:rFonts w:hint="eastAsia"/>
                <w:color w:val="auto"/>
                <w:sz w:val="21"/>
                <w:szCs w:val="21"/>
                <w:lang w:val="en-US" w:eastAsia="zh-CN"/>
              </w:rPr>
              <w:t>%</w:t>
            </w:r>
          </w:p>
        </w:tc>
        <w:tc>
          <w:tcPr>
            <w:tcW w:w="1168" w:type="pct"/>
            <w:gridSpan w:val="3"/>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排放情况</w:t>
            </w:r>
          </w:p>
        </w:tc>
        <w:tc>
          <w:tcPr>
            <w:tcW w:w="362" w:type="pct"/>
            <w:vMerge w:val="restart"/>
            <w:tcBorders>
              <w:tl2br w:val="nil"/>
              <w:tr2bl w:val="nil"/>
            </w:tcBorders>
            <w:noWrap w:val="0"/>
            <w:vAlign w:val="center"/>
          </w:tcPr>
          <w:p>
            <w:pPr>
              <w:pStyle w:val="35"/>
              <w:bidi w:val="0"/>
              <w:jc w:val="center"/>
              <w:rPr>
                <w:rFonts w:hint="eastAsia"/>
                <w:color w:val="auto"/>
                <w:sz w:val="21"/>
                <w:szCs w:val="21"/>
                <w:lang w:val="en-US" w:eastAsia="zh-CN"/>
              </w:rPr>
            </w:pPr>
            <w:r>
              <w:rPr>
                <w:rFonts w:hint="eastAsia"/>
                <w:color w:val="auto"/>
                <w:sz w:val="21"/>
                <w:szCs w:val="21"/>
                <w:lang w:val="en-US" w:eastAsia="zh-CN"/>
              </w:rPr>
              <w:t>处理</w:t>
            </w:r>
          </w:p>
          <w:p>
            <w:pPr>
              <w:pStyle w:val="35"/>
              <w:bidi w:val="0"/>
              <w:jc w:val="center"/>
              <w:rPr>
                <w:rFonts w:hint="eastAsia"/>
                <w:color w:val="auto"/>
                <w:sz w:val="21"/>
                <w:szCs w:val="21"/>
                <w:lang w:val="en-US" w:eastAsia="zh-CN"/>
              </w:rPr>
            </w:pPr>
            <w:r>
              <w:rPr>
                <w:rFonts w:hint="eastAsia"/>
                <w:color w:val="auto"/>
                <w:sz w:val="21"/>
                <w:szCs w:val="21"/>
                <w:lang w:val="en-US" w:eastAsia="zh-CN"/>
              </w:rPr>
              <w:t>措施</w:t>
            </w:r>
          </w:p>
        </w:tc>
        <w:tc>
          <w:tcPr>
            <w:tcW w:w="237" w:type="pct"/>
            <w:vMerge w:val="restart"/>
            <w:tcBorders>
              <w:tl2br w:val="nil"/>
              <w:tr2bl w:val="nil"/>
            </w:tcBorders>
            <w:noWrap w:val="0"/>
            <w:vAlign w:val="center"/>
          </w:tcPr>
          <w:p>
            <w:pPr>
              <w:pStyle w:val="35"/>
              <w:bidi w:val="0"/>
              <w:jc w:val="center"/>
              <w:rPr>
                <w:rFonts w:hint="eastAsia"/>
                <w:color w:val="auto"/>
                <w:sz w:val="21"/>
                <w:szCs w:val="21"/>
                <w:lang w:val="en-US" w:eastAsia="zh-CN"/>
              </w:rPr>
            </w:pPr>
            <w:r>
              <w:rPr>
                <w:rFonts w:hint="eastAsia"/>
                <w:color w:val="auto"/>
                <w:sz w:val="21"/>
                <w:szCs w:val="21"/>
                <w:lang w:val="en-US" w:eastAsia="zh-CN"/>
              </w:rPr>
              <w:t>排放</w:t>
            </w:r>
          </w:p>
          <w:p>
            <w:pPr>
              <w:pStyle w:val="35"/>
              <w:bidi w:val="0"/>
              <w:jc w:val="center"/>
              <w:rPr>
                <w:rFonts w:hint="default"/>
                <w:color w:val="auto"/>
                <w:sz w:val="21"/>
                <w:szCs w:val="21"/>
                <w:lang w:val="en-US" w:eastAsia="zh-CN"/>
              </w:rPr>
            </w:pPr>
            <w:r>
              <w:rPr>
                <w:rFonts w:hint="eastAsia"/>
                <w:color w:val="auto"/>
                <w:sz w:val="21"/>
                <w:szCs w:val="21"/>
                <w:lang w:val="en-US" w:eastAsia="zh-CN"/>
              </w:rPr>
              <w:t>方式</w:t>
            </w:r>
          </w:p>
        </w:tc>
        <w:tc>
          <w:tcPr>
            <w:tcW w:w="431" w:type="pct"/>
            <w:vMerge w:val="restart"/>
            <w:tcBorders>
              <w:tl2br w:val="nil"/>
              <w:tr2bl w:val="nil"/>
            </w:tcBorders>
            <w:noWrap w:val="0"/>
            <w:vAlign w:val="center"/>
          </w:tcPr>
          <w:p>
            <w:pPr>
              <w:pStyle w:val="35"/>
              <w:bidi w:val="0"/>
              <w:jc w:val="center"/>
              <w:rPr>
                <w:rFonts w:hint="eastAsia"/>
                <w:color w:val="auto"/>
                <w:sz w:val="21"/>
                <w:szCs w:val="21"/>
                <w:lang w:val="en-US" w:eastAsia="zh-CN"/>
              </w:rPr>
            </w:pPr>
            <w:r>
              <w:rPr>
                <w:rFonts w:hint="eastAsia"/>
                <w:color w:val="auto"/>
                <w:sz w:val="21"/>
                <w:szCs w:val="21"/>
                <w:lang w:val="en-US" w:eastAsia="zh-CN"/>
              </w:rPr>
              <w:t>标准限值</w:t>
            </w:r>
          </w:p>
          <w:p>
            <w:pPr>
              <w:pStyle w:val="33"/>
              <w:ind w:left="0" w:leftChars="0" w:firstLine="0" w:firstLineChars="0"/>
              <w:rPr>
                <w:rFonts w:hint="default"/>
                <w:color w:val="auto"/>
                <w:sz w:val="21"/>
                <w:szCs w:val="21"/>
                <w:lang w:val="en-US" w:eastAsia="zh-CN"/>
              </w:rPr>
            </w:pPr>
            <w:r>
              <w:rPr>
                <w:rFonts w:hint="eastAsia"/>
                <w:color w:val="auto"/>
                <w:sz w:val="21"/>
                <w:szCs w:val="21"/>
                <w:lang w:val="en-US" w:eastAsia="zh-CN"/>
              </w:rPr>
              <w:t>mg/m</w:t>
            </w:r>
            <w:r>
              <w:rPr>
                <w:rFonts w:hint="eastAsia"/>
                <w:color w:val="auto"/>
                <w:sz w:val="21"/>
                <w:szCs w:val="21"/>
                <w:vertAlign w:val="superscript"/>
                <w:lang w:val="en-US" w:eastAsia="zh-CN"/>
              </w:rPr>
              <w:t>3</w:t>
            </w:r>
          </w:p>
        </w:tc>
        <w:tc>
          <w:tcPr>
            <w:tcW w:w="237" w:type="pct"/>
            <w:vMerge w:val="restart"/>
            <w:tcBorders>
              <w:tl2br w:val="nil"/>
              <w:tr2bl w:val="nil"/>
            </w:tcBorders>
            <w:noWrap w:val="0"/>
            <w:vAlign w:val="center"/>
          </w:tcPr>
          <w:p>
            <w:pPr>
              <w:pStyle w:val="35"/>
              <w:bidi w:val="0"/>
              <w:jc w:val="center"/>
              <w:rPr>
                <w:rFonts w:hint="eastAsia"/>
                <w:color w:val="auto"/>
                <w:sz w:val="21"/>
                <w:szCs w:val="21"/>
                <w:lang w:val="en-US" w:eastAsia="zh-CN"/>
              </w:rPr>
            </w:pPr>
            <w:r>
              <w:rPr>
                <w:rFonts w:hint="eastAsia"/>
                <w:color w:val="auto"/>
                <w:sz w:val="21"/>
                <w:szCs w:val="21"/>
                <w:lang w:val="en-US" w:eastAsia="zh-CN"/>
              </w:rPr>
              <w:t>是否</w:t>
            </w:r>
          </w:p>
          <w:p>
            <w:pPr>
              <w:pStyle w:val="35"/>
              <w:bidi w:val="0"/>
              <w:ind w:firstLine="0" w:firstLineChars="0"/>
              <w:jc w:val="center"/>
              <w:rPr>
                <w:rFonts w:hint="eastAsia"/>
                <w:color w:val="auto"/>
                <w:sz w:val="21"/>
                <w:szCs w:val="21"/>
                <w:lang w:val="en-US" w:eastAsia="zh-CN"/>
              </w:rPr>
            </w:pPr>
            <w:r>
              <w:rPr>
                <w:rFonts w:hint="eastAsia"/>
                <w:color w:val="auto"/>
                <w:sz w:val="21"/>
                <w:szCs w:val="21"/>
                <w:lang w:val="en-US" w:eastAsia="zh-CN"/>
              </w:rPr>
              <w:t>达标</w:t>
            </w:r>
          </w:p>
        </w:tc>
      </w:tr>
      <w:tr>
        <w:trPr>
          <w:trHeight w:val="870" w:hRule="atLeast"/>
        </w:trPr>
        <w:tc>
          <w:tcPr>
            <w:tcW w:w="387" w:type="pct"/>
            <w:vMerge w:val="continue"/>
            <w:tcBorders>
              <w:tl2br w:val="nil"/>
              <w:tr2bl w:val="nil"/>
            </w:tcBorders>
            <w:noWrap w:val="0"/>
            <w:vAlign w:val="center"/>
          </w:tcPr>
          <w:p>
            <w:pPr>
              <w:pStyle w:val="35"/>
              <w:bidi w:val="0"/>
              <w:jc w:val="center"/>
              <w:rPr>
                <w:color w:val="auto"/>
                <w:sz w:val="21"/>
                <w:szCs w:val="21"/>
              </w:rPr>
            </w:pPr>
          </w:p>
        </w:tc>
        <w:tc>
          <w:tcPr>
            <w:tcW w:w="422" w:type="pct"/>
            <w:vMerge w:val="continue"/>
            <w:tcBorders>
              <w:tl2br w:val="nil"/>
              <w:tr2bl w:val="nil"/>
            </w:tcBorders>
            <w:noWrap w:val="0"/>
            <w:vAlign w:val="center"/>
          </w:tcPr>
          <w:p>
            <w:pPr>
              <w:pStyle w:val="35"/>
              <w:bidi w:val="0"/>
              <w:jc w:val="center"/>
              <w:rPr>
                <w:color w:val="auto"/>
                <w:sz w:val="21"/>
                <w:szCs w:val="21"/>
              </w:rPr>
            </w:pPr>
          </w:p>
        </w:tc>
        <w:tc>
          <w:tcPr>
            <w:tcW w:w="411" w:type="pct"/>
            <w:vMerge w:val="continue"/>
            <w:tcBorders>
              <w:tl2br w:val="nil"/>
              <w:tr2bl w:val="nil"/>
            </w:tcBorders>
            <w:noWrap w:val="0"/>
            <w:vAlign w:val="center"/>
          </w:tcPr>
          <w:p>
            <w:pPr>
              <w:pStyle w:val="35"/>
              <w:bidi w:val="0"/>
              <w:jc w:val="center"/>
              <w:rPr>
                <w:color w:val="auto"/>
                <w:sz w:val="21"/>
                <w:szCs w:val="21"/>
              </w:rPr>
            </w:pPr>
          </w:p>
        </w:tc>
        <w:tc>
          <w:tcPr>
            <w:tcW w:w="442"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mg/m</w:t>
            </w:r>
            <w:r>
              <w:rPr>
                <w:rFonts w:hint="eastAsia"/>
                <w:color w:val="auto"/>
                <w:sz w:val="21"/>
                <w:szCs w:val="21"/>
                <w:vertAlign w:val="superscript"/>
                <w:lang w:val="en-US" w:eastAsia="zh-CN"/>
              </w:rPr>
              <w:t>3</w:t>
            </w:r>
          </w:p>
        </w:tc>
        <w:tc>
          <w:tcPr>
            <w:tcW w:w="33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kg/h</w:t>
            </w:r>
          </w:p>
        </w:tc>
        <w:tc>
          <w:tcPr>
            <w:tcW w:w="33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t/a</w:t>
            </w:r>
          </w:p>
        </w:tc>
        <w:tc>
          <w:tcPr>
            <w:tcW w:w="237" w:type="pct"/>
            <w:vMerge w:val="continue"/>
            <w:tcBorders>
              <w:tl2br w:val="nil"/>
              <w:tr2bl w:val="nil"/>
            </w:tcBorders>
            <w:noWrap w:val="0"/>
            <w:vAlign w:val="center"/>
          </w:tcPr>
          <w:p>
            <w:pPr>
              <w:pStyle w:val="35"/>
              <w:bidi w:val="0"/>
              <w:jc w:val="center"/>
              <w:rPr>
                <w:rFonts w:hint="default"/>
                <w:color w:val="auto"/>
                <w:sz w:val="21"/>
                <w:szCs w:val="21"/>
                <w:lang w:val="en-US" w:eastAsia="zh-CN"/>
              </w:rPr>
            </w:pPr>
          </w:p>
        </w:tc>
        <w:tc>
          <w:tcPr>
            <w:tcW w:w="441" w:type="pct"/>
            <w:tcBorders>
              <w:tl2br w:val="nil"/>
              <w:tr2bl w:val="nil"/>
            </w:tcBorders>
            <w:noWrap w:val="0"/>
            <w:vAlign w:val="center"/>
          </w:tcPr>
          <w:p>
            <w:pPr>
              <w:pStyle w:val="35"/>
              <w:bidi w:val="0"/>
              <w:ind w:firstLine="0" w:firstLineChars="0"/>
              <w:jc w:val="center"/>
              <w:rPr>
                <w:rFonts w:hint="default"/>
                <w:color w:val="auto"/>
                <w:sz w:val="21"/>
                <w:szCs w:val="21"/>
                <w:lang w:val="en-US" w:eastAsia="zh-CN"/>
              </w:rPr>
            </w:pPr>
            <w:r>
              <w:rPr>
                <w:rFonts w:hint="eastAsia"/>
                <w:color w:val="auto"/>
                <w:sz w:val="21"/>
                <w:szCs w:val="21"/>
                <w:lang w:val="en-US" w:eastAsia="zh-CN"/>
              </w:rPr>
              <w:t>mg/m</w:t>
            </w:r>
            <w:r>
              <w:rPr>
                <w:rFonts w:hint="eastAsia"/>
                <w:color w:val="auto"/>
                <w:sz w:val="21"/>
                <w:szCs w:val="21"/>
                <w:vertAlign w:val="superscript"/>
                <w:lang w:val="en-US" w:eastAsia="zh-CN"/>
              </w:rPr>
              <w:t>3</w:t>
            </w:r>
          </w:p>
        </w:tc>
        <w:tc>
          <w:tcPr>
            <w:tcW w:w="332" w:type="pct"/>
            <w:tcBorders>
              <w:tl2br w:val="nil"/>
              <w:tr2bl w:val="nil"/>
            </w:tcBorders>
            <w:noWrap w:val="0"/>
            <w:vAlign w:val="center"/>
          </w:tcPr>
          <w:p>
            <w:pPr>
              <w:pStyle w:val="35"/>
              <w:bidi w:val="0"/>
              <w:ind w:firstLine="0" w:firstLineChars="0"/>
              <w:jc w:val="center"/>
              <w:rPr>
                <w:rFonts w:hint="default"/>
                <w:color w:val="auto"/>
                <w:sz w:val="21"/>
                <w:szCs w:val="21"/>
                <w:lang w:val="en-US" w:eastAsia="zh-CN"/>
              </w:rPr>
            </w:pPr>
            <w:r>
              <w:rPr>
                <w:rFonts w:hint="eastAsia"/>
                <w:color w:val="auto"/>
                <w:sz w:val="21"/>
                <w:szCs w:val="21"/>
                <w:lang w:val="en-US" w:eastAsia="zh-CN"/>
              </w:rPr>
              <w:t>kg/h</w:t>
            </w:r>
          </w:p>
        </w:tc>
        <w:tc>
          <w:tcPr>
            <w:tcW w:w="394" w:type="pct"/>
            <w:tcBorders>
              <w:tl2br w:val="nil"/>
              <w:tr2bl w:val="nil"/>
            </w:tcBorders>
            <w:noWrap w:val="0"/>
            <w:vAlign w:val="center"/>
          </w:tcPr>
          <w:p>
            <w:pPr>
              <w:pStyle w:val="35"/>
              <w:bidi w:val="0"/>
              <w:ind w:firstLine="0" w:firstLineChars="0"/>
              <w:jc w:val="center"/>
              <w:rPr>
                <w:rFonts w:hint="default"/>
                <w:color w:val="auto"/>
                <w:sz w:val="21"/>
                <w:szCs w:val="21"/>
                <w:lang w:val="en-US" w:eastAsia="zh-CN"/>
              </w:rPr>
            </w:pPr>
            <w:r>
              <w:rPr>
                <w:rFonts w:hint="eastAsia"/>
                <w:color w:val="auto"/>
                <w:sz w:val="21"/>
                <w:szCs w:val="21"/>
                <w:lang w:val="en-US" w:eastAsia="zh-CN"/>
              </w:rPr>
              <w:t>t/a</w:t>
            </w:r>
          </w:p>
        </w:tc>
        <w:tc>
          <w:tcPr>
            <w:tcW w:w="362" w:type="pct"/>
            <w:vMerge w:val="continue"/>
            <w:tcBorders>
              <w:tl2br w:val="nil"/>
              <w:tr2bl w:val="nil"/>
            </w:tcBorders>
            <w:noWrap w:val="0"/>
            <w:vAlign w:val="center"/>
          </w:tcPr>
          <w:p>
            <w:pPr>
              <w:pStyle w:val="35"/>
              <w:bidi w:val="0"/>
              <w:jc w:val="center"/>
              <w:rPr>
                <w:rFonts w:hint="default"/>
                <w:color w:val="auto"/>
                <w:sz w:val="21"/>
                <w:szCs w:val="21"/>
                <w:lang w:val="en-US" w:eastAsia="zh-CN"/>
              </w:rPr>
            </w:pPr>
          </w:p>
        </w:tc>
        <w:tc>
          <w:tcPr>
            <w:tcW w:w="237" w:type="pct"/>
            <w:vMerge w:val="continue"/>
            <w:tcBorders>
              <w:tl2br w:val="nil"/>
              <w:tr2bl w:val="nil"/>
            </w:tcBorders>
            <w:noWrap w:val="0"/>
            <w:vAlign w:val="center"/>
          </w:tcPr>
          <w:p>
            <w:pPr>
              <w:pStyle w:val="35"/>
              <w:bidi w:val="0"/>
              <w:jc w:val="center"/>
              <w:rPr>
                <w:rFonts w:hint="default"/>
                <w:color w:val="auto"/>
                <w:sz w:val="21"/>
                <w:szCs w:val="21"/>
                <w:lang w:val="en-US" w:eastAsia="zh-CN"/>
              </w:rPr>
            </w:pPr>
          </w:p>
        </w:tc>
        <w:tc>
          <w:tcPr>
            <w:tcW w:w="431" w:type="pct"/>
            <w:vMerge w:val="continue"/>
            <w:tcBorders>
              <w:tl2br w:val="nil"/>
              <w:tr2bl w:val="nil"/>
            </w:tcBorders>
            <w:noWrap w:val="0"/>
            <w:vAlign w:val="center"/>
          </w:tcPr>
          <w:p>
            <w:pPr>
              <w:pStyle w:val="35"/>
              <w:bidi w:val="0"/>
              <w:jc w:val="center"/>
              <w:rPr>
                <w:rFonts w:hint="default"/>
                <w:color w:val="auto"/>
                <w:sz w:val="21"/>
                <w:szCs w:val="21"/>
                <w:lang w:val="en-US" w:eastAsia="zh-CN"/>
              </w:rPr>
            </w:pPr>
          </w:p>
        </w:tc>
        <w:tc>
          <w:tcPr>
            <w:tcW w:w="237" w:type="pct"/>
            <w:vMerge w:val="continue"/>
            <w:tcBorders>
              <w:tl2br w:val="nil"/>
              <w:tr2bl w:val="nil"/>
            </w:tcBorders>
            <w:noWrap w:val="0"/>
            <w:vAlign w:val="center"/>
          </w:tcPr>
          <w:p>
            <w:pPr>
              <w:pStyle w:val="35"/>
              <w:bidi w:val="0"/>
              <w:jc w:val="center"/>
              <w:rPr>
                <w:rFonts w:hint="default"/>
                <w:color w:val="auto"/>
                <w:sz w:val="21"/>
                <w:szCs w:val="21"/>
                <w:lang w:val="en-US" w:eastAsia="zh-CN"/>
              </w:rPr>
            </w:pPr>
          </w:p>
        </w:tc>
      </w:tr>
      <w:tr>
        <w:trPr>
          <w:trHeight w:val="1068" w:hRule="atLeast"/>
        </w:trPr>
        <w:tc>
          <w:tcPr>
            <w:tcW w:w="387" w:type="pct"/>
            <w:vMerge w:val="restar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G1、G2、G3、G4</w:t>
            </w:r>
          </w:p>
        </w:tc>
        <w:tc>
          <w:tcPr>
            <w:tcW w:w="422"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VOCs</w:t>
            </w:r>
          </w:p>
        </w:tc>
        <w:tc>
          <w:tcPr>
            <w:tcW w:w="411" w:type="pct"/>
            <w:vMerge w:val="restar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3500</w:t>
            </w:r>
          </w:p>
        </w:tc>
        <w:tc>
          <w:tcPr>
            <w:tcW w:w="442"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559</w:t>
            </w:r>
          </w:p>
        </w:tc>
        <w:tc>
          <w:tcPr>
            <w:tcW w:w="33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1.96</w:t>
            </w:r>
          </w:p>
        </w:tc>
        <w:tc>
          <w:tcPr>
            <w:tcW w:w="33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15.5</w:t>
            </w:r>
          </w:p>
        </w:tc>
        <w:tc>
          <w:tcPr>
            <w:tcW w:w="237"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98.2</w:t>
            </w:r>
          </w:p>
        </w:tc>
        <w:tc>
          <w:tcPr>
            <w:tcW w:w="44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10.1</w:t>
            </w:r>
          </w:p>
        </w:tc>
        <w:tc>
          <w:tcPr>
            <w:tcW w:w="332"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0.04</w:t>
            </w:r>
          </w:p>
        </w:tc>
        <w:tc>
          <w:tcPr>
            <w:tcW w:w="394"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0.28</w:t>
            </w:r>
          </w:p>
        </w:tc>
        <w:tc>
          <w:tcPr>
            <w:tcW w:w="362" w:type="pct"/>
            <w:vMerge w:val="restart"/>
            <w:tcBorders>
              <w:tl2br w:val="nil"/>
              <w:tr2bl w:val="nil"/>
            </w:tcBorders>
            <w:noWrap w:val="0"/>
            <w:vAlign w:val="center"/>
          </w:tcPr>
          <w:p>
            <w:pPr>
              <w:pStyle w:val="35"/>
              <w:bidi w:val="0"/>
              <w:jc w:val="center"/>
              <w:rPr>
                <w:rFonts w:hint="default"/>
                <w:color w:val="auto"/>
                <w:sz w:val="21"/>
                <w:szCs w:val="21"/>
                <w:lang w:val="en-US" w:eastAsia="zh-CN"/>
              </w:rPr>
            </w:pPr>
            <w:r>
              <w:rPr>
                <w:rFonts w:hint="default"/>
                <w:color w:val="auto"/>
                <w:sz w:val="21"/>
                <w:szCs w:val="21"/>
                <w:lang w:val="en-US" w:eastAsia="zh-CN"/>
              </w:rPr>
              <w:t>冷凝回收+</w:t>
            </w:r>
            <w:r>
              <w:rPr>
                <w:rFonts w:hint="eastAsia"/>
                <w:color w:val="auto"/>
                <w:sz w:val="21"/>
                <w:szCs w:val="21"/>
                <w:lang w:val="en-US" w:eastAsia="zh-CN"/>
              </w:rPr>
              <w:t>活性炭</w:t>
            </w:r>
            <w:r>
              <w:rPr>
                <w:rFonts w:hint="default"/>
                <w:color w:val="auto"/>
                <w:sz w:val="21"/>
                <w:szCs w:val="21"/>
                <w:lang w:val="en-US" w:eastAsia="zh-CN"/>
              </w:rPr>
              <w:t>+</w:t>
            </w:r>
            <w:r>
              <w:rPr>
                <w:rFonts w:hint="eastAsia"/>
                <w:color w:val="auto"/>
                <w:sz w:val="21"/>
                <w:szCs w:val="21"/>
                <w:lang w:val="en-US" w:eastAsia="zh-CN"/>
              </w:rPr>
              <w:t>冷凝回收</w:t>
            </w:r>
          </w:p>
        </w:tc>
        <w:tc>
          <w:tcPr>
            <w:tcW w:w="237" w:type="pct"/>
            <w:vMerge w:val="restart"/>
            <w:tcBorders>
              <w:tl2br w:val="nil"/>
              <w:tr2bl w:val="nil"/>
            </w:tcBorders>
            <w:noWrap w:val="0"/>
            <w:vAlign w:val="center"/>
          </w:tcPr>
          <w:p>
            <w:pPr>
              <w:pStyle w:val="35"/>
              <w:bidi w:val="0"/>
              <w:jc w:val="center"/>
              <w:rPr>
                <w:rFonts w:hint="eastAsia"/>
                <w:color w:val="auto"/>
                <w:sz w:val="21"/>
                <w:szCs w:val="21"/>
                <w:lang w:val="en-US" w:eastAsia="zh-CN"/>
              </w:rPr>
            </w:pPr>
            <w:r>
              <w:rPr>
                <w:rFonts w:hint="eastAsia"/>
                <w:color w:val="auto"/>
                <w:sz w:val="21"/>
                <w:szCs w:val="21"/>
                <w:lang w:val="en-US" w:eastAsia="zh-CN"/>
              </w:rPr>
              <w:t>20米排气筒</w:t>
            </w:r>
          </w:p>
          <w:p>
            <w:pPr>
              <w:pStyle w:val="35"/>
              <w:bidi w:val="0"/>
              <w:jc w:val="center"/>
              <w:rPr>
                <w:rFonts w:hint="default"/>
                <w:color w:val="auto"/>
                <w:sz w:val="21"/>
                <w:szCs w:val="21"/>
                <w:lang w:val="en-US" w:eastAsia="zh-CN"/>
              </w:rPr>
            </w:pPr>
          </w:p>
        </w:tc>
        <w:tc>
          <w:tcPr>
            <w:tcW w:w="43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120</w:t>
            </w:r>
          </w:p>
        </w:tc>
        <w:tc>
          <w:tcPr>
            <w:tcW w:w="237" w:type="pct"/>
            <w:tcBorders>
              <w:tl2br w:val="nil"/>
              <w:tr2bl w:val="nil"/>
            </w:tcBorders>
            <w:noWrap w:val="0"/>
            <w:vAlign w:val="center"/>
          </w:tcPr>
          <w:p>
            <w:pPr>
              <w:pStyle w:val="35"/>
              <w:bidi w:val="0"/>
              <w:ind w:firstLine="0" w:firstLineChars="0"/>
              <w:jc w:val="center"/>
              <w:rPr>
                <w:rFonts w:hint="eastAsia"/>
                <w:color w:val="auto"/>
                <w:sz w:val="21"/>
                <w:szCs w:val="21"/>
                <w:lang w:val="en-US" w:eastAsia="zh-CN"/>
              </w:rPr>
            </w:pPr>
            <w:r>
              <w:rPr>
                <w:rFonts w:hint="eastAsia"/>
                <w:color w:val="auto"/>
                <w:sz w:val="21"/>
                <w:szCs w:val="21"/>
                <w:lang w:val="en-US" w:eastAsia="zh-CN"/>
              </w:rPr>
              <w:t>达标</w:t>
            </w:r>
          </w:p>
        </w:tc>
      </w:tr>
      <w:tr>
        <w:trPr>
          <w:trHeight w:val="695" w:hRule="atLeast"/>
        </w:trPr>
        <w:tc>
          <w:tcPr>
            <w:tcW w:w="387" w:type="pct"/>
            <w:vMerge w:val="continue"/>
            <w:tcBorders>
              <w:tl2br w:val="nil"/>
              <w:tr2bl w:val="nil"/>
            </w:tcBorders>
            <w:noWrap w:val="0"/>
            <w:vAlign w:val="center"/>
          </w:tcPr>
          <w:p>
            <w:pPr>
              <w:pStyle w:val="35"/>
              <w:bidi w:val="0"/>
              <w:jc w:val="center"/>
              <w:rPr>
                <w:rFonts w:hint="default"/>
                <w:color w:val="auto"/>
                <w:sz w:val="21"/>
                <w:szCs w:val="21"/>
                <w:lang w:val="en-US" w:eastAsia="zh-CN"/>
              </w:rPr>
            </w:pPr>
          </w:p>
        </w:tc>
        <w:tc>
          <w:tcPr>
            <w:tcW w:w="422"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甲醇</w:t>
            </w:r>
          </w:p>
        </w:tc>
        <w:tc>
          <w:tcPr>
            <w:tcW w:w="411" w:type="pct"/>
            <w:vMerge w:val="continue"/>
            <w:tcBorders>
              <w:tl2br w:val="nil"/>
              <w:tr2bl w:val="nil"/>
            </w:tcBorders>
            <w:noWrap w:val="0"/>
            <w:vAlign w:val="center"/>
          </w:tcPr>
          <w:p>
            <w:pPr>
              <w:pStyle w:val="35"/>
              <w:bidi w:val="0"/>
              <w:jc w:val="center"/>
              <w:rPr>
                <w:rFonts w:hint="default"/>
                <w:color w:val="auto"/>
                <w:sz w:val="21"/>
                <w:szCs w:val="21"/>
                <w:lang w:val="en-US" w:eastAsia="zh-CN"/>
              </w:rPr>
            </w:pPr>
          </w:p>
        </w:tc>
        <w:tc>
          <w:tcPr>
            <w:tcW w:w="442"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111.8</w:t>
            </w:r>
          </w:p>
        </w:tc>
        <w:tc>
          <w:tcPr>
            <w:tcW w:w="33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0.39</w:t>
            </w:r>
          </w:p>
        </w:tc>
        <w:tc>
          <w:tcPr>
            <w:tcW w:w="33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3.1</w:t>
            </w:r>
          </w:p>
        </w:tc>
        <w:tc>
          <w:tcPr>
            <w:tcW w:w="237"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98.2</w:t>
            </w:r>
          </w:p>
        </w:tc>
        <w:tc>
          <w:tcPr>
            <w:tcW w:w="44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2.1</w:t>
            </w:r>
          </w:p>
        </w:tc>
        <w:tc>
          <w:tcPr>
            <w:tcW w:w="332"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0.01</w:t>
            </w:r>
          </w:p>
        </w:tc>
        <w:tc>
          <w:tcPr>
            <w:tcW w:w="394"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0.06</w:t>
            </w:r>
          </w:p>
        </w:tc>
        <w:tc>
          <w:tcPr>
            <w:tcW w:w="362" w:type="pct"/>
            <w:vMerge w:val="continue"/>
            <w:tcBorders>
              <w:tl2br w:val="nil"/>
              <w:tr2bl w:val="nil"/>
            </w:tcBorders>
            <w:noWrap w:val="0"/>
            <w:vAlign w:val="center"/>
          </w:tcPr>
          <w:p>
            <w:pPr>
              <w:pStyle w:val="35"/>
              <w:bidi w:val="0"/>
              <w:jc w:val="center"/>
              <w:rPr>
                <w:rFonts w:hint="default"/>
                <w:color w:val="auto"/>
                <w:sz w:val="21"/>
                <w:szCs w:val="21"/>
                <w:lang w:val="en-US" w:eastAsia="zh-CN"/>
              </w:rPr>
            </w:pPr>
          </w:p>
        </w:tc>
        <w:tc>
          <w:tcPr>
            <w:tcW w:w="237" w:type="pct"/>
            <w:vMerge w:val="continue"/>
            <w:tcBorders>
              <w:tl2br w:val="nil"/>
              <w:tr2bl w:val="nil"/>
            </w:tcBorders>
            <w:noWrap w:val="0"/>
            <w:vAlign w:val="center"/>
          </w:tcPr>
          <w:p>
            <w:pPr>
              <w:pStyle w:val="35"/>
              <w:bidi w:val="0"/>
              <w:jc w:val="center"/>
              <w:rPr>
                <w:rFonts w:hint="default"/>
                <w:color w:val="auto"/>
                <w:sz w:val="21"/>
                <w:szCs w:val="21"/>
                <w:lang w:val="en-US" w:eastAsia="zh-CN"/>
              </w:rPr>
            </w:pPr>
          </w:p>
        </w:tc>
        <w:tc>
          <w:tcPr>
            <w:tcW w:w="43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50</w:t>
            </w:r>
          </w:p>
        </w:tc>
        <w:tc>
          <w:tcPr>
            <w:tcW w:w="237" w:type="pct"/>
            <w:tcBorders>
              <w:tl2br w:val="nil"/>
              <w:tr2bl w:val="nil"/>
            </w:tcBorders>
            <w:noWrap w:val="0"/>
            <w:vAlign w:val="center"/>
          </w:tcPr>
          <w:p>
            <w:pPr>
              <w:pStyle w:val="35"/>
              <w:bidi w:val="0"/>
              <w:ind w:firstLine="0" w:firstLineChars="0"/>
              <w:jc w:val="center"/>
              <w:rPr>
                <w:rFonts w:hint="eastAsia"/>
                <w:color w:val="auto"/>
                <w:sz w:val="21"/>
                <w:szCs w:val="21"/>
                <w:lang w:val="en-US" w:eastAsia="zh-CN"/>
              </w:rPr>
            </w:pPr>
            <w:r>
              <w:rPr>
                <w:rFonts w:hint="eastAsia"/>
                <w:color w:val="auto"/>
                <w:sz w:val="21"/>
                <w:szCs w:val="21"/>
                <w:lang w:val="en-US" w:eastAsia="zh-CN"/>
              </w:rPr>
              <w:t>达标</w:t>
            </w:r>
          </w:p>
        </w:tc>
      </w:tr>
      <w:tr>
        <w:trPr>
          <w:trHeight w:val="695" w:hRule="atLeast"/>
        </w:trPr>
        <w:tc>
          <w:tcPr>
            <w:tcW w:w="387" w:type="pct"/>
            <w:vMerge w:val="restar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储罐区呼吸废气</w:t>
            </w:r>
          </w:p>
        </w:tc>
        <w:tc>
          <w:tcPr>
            <w:tcW w:w="422" w:type="pct"/>
            <w:tcBorders>
              <w:tl2br w:val="nil"/>
              <w:tr2bl w:val="nil"/>
            </w:tcBorders>
            <w:noWrap w:val="0"/>
            <w:vAlign w:val="center"/>
          </w:tcPr>
          <w:p>
            <w:pPr>
              <w:pStyle w:val="35"/>
              <w:bidi w:val="0"/>
              <w:ind w:firstLine="0" w:firstLineChars="0"/>
              <w:jc w:val="center"/>
              <w:rPr>
                <w:rFonts w:hint="default"/>
                <w:color w:val="auto"/>
                <w:sz w:val="21"/>
                <w:szCs w:val="21"/>
                <w:lang w:val="en-US" w:eastAsia="zh-CN"/>
              </w:rPr>
            </w:pPr>
            <w:r>
              <w:rPr>
                <w:rFonts w:hint="eastAsia"/>
                <w:color w:val="auto"/>
                <w:sz w:val="21"/>
                <w:szCs w:val="21"/>
                <w:lang w:val="en-US" w:eastAsia="zh-CN"/>
              </w:rPr>
              <w:t>VOCs</w:t>
            </w:r>
          </w:p>
        </w:tc>
        <w:tc>
          <w:tcPr>
            <w:tcW w:w="411" w:type="pct"/>
            <w:vMerge w:val="restar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2000</w:t>
            </w:r>
          </w:p>
        </w:tc>
        <w:tc>
          <w:tcPr>
            <w:tcW w:w="442"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192</w:t>
            </w:r>
          </w:p>
        </w:tc>
        <w:tc>
          <w:tcPr>
            <w:tcW w:w="33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0.38</w:t>
            </w:r>
          </w:p>
        </w:tc>
        <w:tc>
          <w:tcPr>
            <w:tcW w:w="33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3.04</w:t>
            </w:r>
          </w:p>
        </w:tc>
        <w:tc>
          <w:tcPr>
            <w:tcW w:w="237"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97.1</w:t>
            </w:r>
          </w:p>
        </w:tc>
        <w:tc>
          <w:tcPr>
            <w:tcW w:w="44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5.5</w:t>
            </w:r>
          </w:p>
        </w:tc>
        <w:tc>
          <w:tcPr>
            <w:tcW w:w="332"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0.12</w:t>
            </w:r>
          </w:p>
        </w:tc>
        <w:tc>
          <w:tcPr>
            <w:tcW w:w="394"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0.1</w:t>
            </w:r>
          </w:p>
        </w:tc>
        <w:tc>
          <w:tcPr>
            <w:tcW w:w="362" w:type="pct"/>
            <w:vMerge w:val="restart"/>
            <w:tcBorders>
              <w:tl2br w:val="nil"/>
              <w:tr2bl w:val="nil"/>
            </w:tcBorders>
            <w:noWrap w:val="0"/>
            <w:vAlign w:val="center"/>
          </w:tcPr>
          <w:p>
            <w:pPr>
              <w:pStyle w:val="35"/>
              <w:bidi w:val="0"/>
              <w:jc w:val="center"/>
              <w:rPr>
                <w:rFonts w:hint="default"/>
                <w:color w:val="auto"/>
                <w:sz w:val="21"/>
                <w:szCs w:val="21"/>
                <w:lang w:val="en-US" w:eastAsia="zh-CN"/>
              </w:rPr>
            </w:pPr>
            <w:r>
              <w:rPr>
                <w:rFonts w:hint="eastAsia" w:ascii="Times New Roman" w:hAnsi="Times New Roman" w:cs="Times New Roman"/>
                <w:color w:val="auto"/>
                <w:lang w:eastAsia="zh-CN"/>
              </w:rPr>
              <w:t>喷淋塔</w:t>
            </w:r>
            <w:r>
              <w:rPr>
                <w:rFonts w:hint="eastAsia" w:cs="Times New Roman"/>
                <w:color w:val="auto"/>
                <w:lang w:val="en-US" w:eastAsia="zh-CN"/>
              </w:rPr>
              <w:t>＋</w:t>
            </w:r>
            <w:r>
              <w:rPr>
                <w:rFonts w:hint="eastAsia" w:ascii="Times New Roman" w:hAnsi="Times New Roman" w:cs="Times New Roman"/>
                <w:color w:val="auto"/>
                <w:lang w:eastAsia="zh-CN"/>
              </w:rPr>
              <w:t>UV光解</w:t>
            </w:r>
            <w:r>
              <w:rPr>
                <w:rFonts w:hint="eastAsia" w:cs="Times New Roman"/>
                <w:color w:val="auto"/>
                <w:lang w:val="en-US" w:eastAsia="zh-CN"/>
              </w:rPr>
              <w:t>＋两级</w:t>
            </w:r>
            <w:r>
              <w:rPr>
                <w:rFonts w:hint="eastAsia" w:ascii="Times New Roman" w:hAnsi="Times New Roman" w:cs="Times New Roman"/>
                <w:color w:val="auto"/>
                <w:lang w:eastAsia="zh-CN"/>
              </w:rPr>
              <w:t>活性炭吸附</w:t>
            </w:r>
          </w:p>
        </w:tc>
        <w:tc>
          <w:tcPr>
            <w:tcW w:w="237" w:type="pct"/>
            <w:vMerge w:val="restar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15米排气筒</w:t>
            </w:r>
          </w:p>
        </w:tc>
        <w:tc>
          <w:tcPr>
            <w:tcW w:w="776" w:type="dxa"/>
            <w:tcBorders>
              <w:tl2br w:val="nil"/>
              <w:tr2bl w:val="nil"/>
            </w:tcBorders>
            <w:noWrap w:val="0"/>
            <w:vAlign w:val="center"/>
          </w:tcPr>
          <w:p>
            <w:pPr>
              <w:pStyle w:val="35"/>
              <w:bidi w:val="0"/>
              <w:ind w:firstLine="0" w:firstLineChars="0"/>
              <w:jc w:val="center"/>
              <w:rPr>
                <w:rFonts w:hint="default"/>
                <w:color w:val="auto"/>
                <w:sz w:val="21"/>
                <w:szCs w:val="21"/>
                <w:lang w:val="en-US" w:eastAsia="zh-CN"/>
              </w:rPr>
            </w:pPr>
            <w:r>
              <w:rPr>
                <w:rFonts w:hint="eastAsia"/>
                <w:color w:val="auto"/>
                <w:sz w:val="21"/>
                <w:szCs w:val="21"/>
                <w:lang w:val="en-US" w:eastAsia="zh-CN"/>
              </w:rPr>
              <w:t>120</w:t>
            </w:r>
          </w:p>
        </w:tc>
        <w:tc>
          <w:tcPr>
            <w:tcW w:w="237" w:type="pct"/>
            <w:tcBorders>
              <w:tl2br w:val="nil"/>
              <w:tr2bl w:val="nil"/>
            </w:tcBorders>
            <w:noWrap w:val="0"/>
            <w:vAlign w:val="center"/>
          </w:tcPr>
          <w:p>
            <w:pPr>
              <w:bidi w:val="0"/>
              <w:ind w:firstLine="0" w:firstLineChars="0"/>
              <w:jc w:val="center"/>
              <w:rPr>
                <w:rFonts w:hint="eastAsia"/>
                <w:color w:val="auto"/>
                <w:sz w:val="21"/>
                <w:szCs w:val="21"/>
                <w:lang w:val="en-US" w:eastAsia="zh-CN"/>
              </w:rPr>
            </w:pPr>
            <w:r>
              <w:rPr>
                <w:rFonts w:hint="eastAsia"/>
                <w:color w:val="auto"/>
                <w:sz w:val="21"/>
                <w:szCs w:val="21"/>
                <w:lang w:val="en-US" w:eastAsia="zh-CN"/>
              </w:rPr>
              <w:t>达标</w:t>
            </w:r>
          </w:p>
        </w:tc>
      </w:tr>
      <w:tr>
        <w:trPr>
          <w:trHeight w:val="695" w:hRule="atLeast"/>
        </w:trPr>
        <w:tc>
          <w:tcPr>
            <w:tcW w:w="387" w:type="pct"/>
            <w:vMerge w:val="continue"/>
            <w:tcBorders>
              <w:tl2br w:val="nil"/>
              <w:tr2bl w:val="nil"/>
            </w:tcBorders>
            <w:noWrap w:val="0"/>
            <w:vAlign w:val="center"/>
          </w:tcPr>
          <w:p>
            <w:pPr>
              <w:pStyle w:val="35"/>
              <w:bidi w:val="0"/>
              <w:jc w:val="center"/>
              <w:rPr>
                <w:rFonts w:hint="eastAsia"/>
                <w:color w:val="auto"/>
                <w:sz w:val="21"/>
                <w:szCs w:val="21"/>
                <w:lang w:val="en-US" w:eastAsia="zh-CN"/>
              </w:rPr>
            </w:pPr>
          </w:p>
        </w:tc>
        <w:tc>
          <w:tcPr>
            <w:tcW w:w="422" w:type="pct"/>
            <w:tcBorders>
              <w:tl2br w:val="nil"/>
              <w:tr2bl w:val="nil"/>
            </w:tcBorders>
            <w:noWrap w:val="0"/>
            <w:vAlign w:val="center"/>
          </w:tcPr>
          <w:p>
            <w:pPr>
              <w:pStyle w:val="35"/>
              <w:bidi w:val="0"/>
              <w:ind w:firstLine="0" w:firstLineChars="0"/>
              <w:jc w:val="center"/>
              <w:rPr>
                <w:rFonts w:hint="default"/>
                <w:color w:val="auto"/>
                <w:sz w:val="21"/>
                <w:szCs w:val="21"/>
                <w:lang w:val="en-US" w:eastAsia="zh-CN"/>
              </w:rPr>
            </w:pPr>
            <w:r>
              <w:rPr>
                <w:rFonts w:hint="eastAsia"/>
                <w:color w:val="auto"/>
                <w:sz w:val="21"/>
                <w:szCs w:val="21"/>
                <w:lang w:val="en-US" w:eastAsia="zh-CN"/>
              </w:rPr>
              <w:t>甲醇</w:t>
            </w:r>
          </w:p>
        </w:tc>
        <w:tc>
          <w:tcPr>
            <w:tcW w:w="411" w:type="pct"/>
            <w:vMerge w:val="continue"/>
            <w:tcBorders>
              <w:tl2br w:val="nil"/>
              <w:tr2bl w:val="nil"/>
            </w:tcBorders>
            <w:noWrap w:val="0"/>
            <w:vAlign w:val="center"/>
          </w:tcPr>
          <w:p>
            <w:pPr>
              <w:pStyle w:val="35"/>
              <w:bidi w:val="0"/>
              <w:jc w:val="center"/>
              <w:rPr>
                <w:rFonts w:hint="default"/>
                <w:color w:val="auto"/>
                <w:sz w:val="21"/>
                <w:szCs w:val="21"/>
                <w:lang w:val="en-US" w:eastAsia="zh-CN"/>
              </w:rPr>
            </w:pPr>
          </w:p>
        </w:tc>
        <w:tc>
          <w:tcPr>
            <w:tcW w:w="442"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1.19</w:t>
            </w:r>
          </w:p>
        </w:tc>
        <w:tc>
          <w:tcPr>
            <w:tcW w:w="33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0.01</w:t>
            </w:r>
          </w:p>
        </w:tc>
        <w:tc>
          <w:tcPr>
            <w:tcW w:w="33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0.019</w:t>
            </w:r>
          </w:p>
        </w:tc>
        <w:tc>
          <w:tcPr>
            <w:tcW w:w="237"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97.1</w:t>
            </w:r>
          </w:p>
        </w:tc>
        <w:tc>
          <w:tcPr>
            <w:tcW w:w="441"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0.03</w:t>
            </w:r>
          </w:p>
        </w:tc>
        <w:tc>
          <w:tcPr>
            <w:tcW w:w="332"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0.001</w:t>
            </w:r>
          </w:p>
        </w:tc>
        <w:tc>
          <w:tcPr>
            <w:tcW w:w="394" w:type="pct"/>
            <w:tcBorders>
              <w:tl2br w:val="nil"/>
              <w:tr2bl w:val="nil"/>
            </w:tcBorders>
            <w:noWrap w:val="0"/>
            <w:vAlign w:val="center"/>
          </w:tcPr>
          <w:p>
            <w:pPr>
              <w:pStyle w:val="35"/>
              <w:bidi w:val="0"/>
              <w:jc w:val="center"/>
              <w:rPr>
                <w:rFonts w:hint="default"/>
                <w:color w:val="auto"/>
                <w:sz w:val="21"/>
                <w:szCs w:val="21"/>
                <w:lang w:val="en-US" w:eastAsia="zh-CN"/>
              </w:rPr>
            </w:pPr>
            <w:r>
              <w:rPr>
                <w:rFonts w:hint="eastAsia"/>
                <w:color w:val="auto"/>
                <w:sz w:val="21"/>
                <w:szCs w:val="21"/>
                <w:lang w:val="en-US" w:eastAsia="zh-CN"/>
              </w:rPr>
              <w:t>0.0006</w:t>
            </w:r>
          </w:p>
        </w:tc>
        <w:tc>
          <w:tcPr>
            <w:tcW w:w="362" w:type="pct"/>
            <w:vMerge w:val="continue"/>
            <w:tcBorders>
              <w:tl2br w:val="nil"/>
              <w:tr2bl w:val="nil"/>
            </w:tcBorders>
            <w:noWrap w:val="0"/>
            <w:vAlign w:val="center"/>
          </w:tcPr>
          <w:p>
            <w:pPr>
              <w:pStyle w:val="35"/>
              <w:bidi w:val="0"/>
              <w:jc w:val="center"/>
              <w:rPr>
                <w:rFonts w:hint="default"/>
                <w:color w:val="auto"/>
                <w:sz w:val="21"/>
                <w:szCs w:val="21"/>
                <w:lang w:val="en-US" w:eastAsia="zh-CN"/>
              </w:rPr>
            </w:pPr>
          </w:p>
        </w:tc>
        <w:tc>
          <w:tcPr>
            <w:tcW w:w="237" w:type="pct"/>
            <w:vMerge w:val="continue"/>
            <w:tcBorders>
              <w:tl2br w:val="nil"/>
              <w:tr2bl w:val="nil"/>
            </w:tcBorders>
            <w:noWrap w:val="0"/>
            <w:vAlign w:val="center"/>
          </w:tcPr>
          <w:p>
            <w:pPr>
              <w:pStyle w:val="35"/>
              <w:bidi w:val="0"/>
              <w:jc w:val="center"/>
              <w:rPr>
                <w:rFonts w:hint="default"/>
                <w:color w:val="auto"/>
                <w:sz w:val="21"/>
                <w:szCs w:val="21"/>
                <w:lang w:val="en-US" w:eastAsia="zh-CN"/>
              </w:rPr>
            </w:pPr>
          </w:p>
        </w:tc>
        <w:tc>
          <w:tcPr>
            <w:tcW w:w="776" w:type="dxa"/>
            <w:tcBorders>
              <w:tl2br w:val="nil"/>
              <w:tr2bl w:val="nil"/>
            </w:tcBorders>
            <w:noWrap w:val="0"/>
            <w:vAlign w:val="center"/>
          </w:tcPr>
          <w:p>
            <w:pPr>
              <w:pStyle w:val="35"/>
              <w:bidi w:val="0"/>
              <w:ind w:firstLine="0" w:firstLineChars="0"/>
              <w:jc w:val="center"/>
              <w:rPr>
                <w:rFonts w:hint="eastAsia"/>
                <w:color w:val="auto"/>
                <w:sz w:val="21"/>
                <w:szCs w:val="21"/>
                <w:lang w:val="en-US" w:eastAsia="zh-CN"/>
              </w:rPr>
            </w:pPr>
            <w:r>
              <w:rPr>
                <w:rFonts w:hint="eastAsia"/>
                <w:color w:val="auto"/>
                <w:sz w:val="21"/>
                <w:szCs w:val="21"/>
                <w:lang w:val="en-US" w:eastAsia="zh-CN"/>
              </w:rPr>
              <w:t>50</w:t>
            </w:r>
          </w:p>
        </w:tc>
        <w:tc>
          <w:tcPr>
            <w:tcW w:w="237" w:type="pct"/>
            <w:tcBorders>
              <w:tl2br w:val="nil"/>
              <w:tr2bl w:val="nil"/>
            </w:tcBorders>
            <w:noWrap w:val="0"/>
            <w:vAlign w:val="center"/>
          </w:tcPr>
          <w:p>
            <w:pPr>
              <w:bidi w:val="0"/>
              <w:ind w:firstLine="0" w:firstLineChars="0"/>
              <w:jc w:val="center"/>
              <w:rPr>
                <w:rFonts w:hint="eastAsia"/>
                <w:color w:val="auto"/>
                <w:sz w:val="21"/>
                <w:szCs w:val="21"/>
                <w:lang w:val="en-US" w:eastAsia="zh-CN"/>
              </w:rPr>
            </w:pPr>
            <w:r>
              <w:rPr>
                <w:rFonts w:hint="eastAsia"/>
                <w:color w:val="auto"/>
                <w:sz w:val="21"/>
                <w:szCs w:val="21"/>
                <w:lang w:val="en-US" w:eastAsia="zh-CN"/>
              </w:rPr>
              <w:t>达标</w:t>
            </w:r>
          </w:p>
        </w:tc>
      </w:tr>
    </w:tbl>
    <w:p>
      <w:pPr>
        <w:pStyle w:val="33"/>
        <w:bidi w:val="0"/>
        <w:rPr>
          <w:rFonts w:hint="eastAsia"/>
          <w:color w:val="auto"/>
          <w:lang w:val="en-US" w:eastAsia="zh-CN"/>
        </w:rPr>
      </w:pPr>
      <w:r>
        <w:rPr>
          <w:rFonts w:hint="eastAsia"/>
          <w:color w:val="auto"/>
          <w:lang w:val="en-US" w:eastAsia="zh-CN"/>
        </w:rPr>
        <w:t>甲醇执行《石油化学工业污染物排放标准》（GB31571-2015）标准表6排放限值（50mg/m</w:t>
      </w:r>
      <w:r>
        <w:rPr>
          <w:rFonts w:hint="eastAsia"/>
          <w:color w:val="auto"/>
          <w:vertAlign w:val="superscript"/>
          <w:lang w:val="en-US" w:eastAsia="zh-CN"/>
        </w:rPr>
        <w:t>3</w:t>
      </w:r>
      <w:r>
        <w:rPr>
          <w:rFonts w:hint="eastAsia"/>
          <w:color w:val="auto"/>
          <w:lang w:val="en-US" w:eastAsia="zh-CN"/>
        </w:rPr>
        <w:t>）；挥发性有机物（以非甲烷总烃计）执行《石油化学工业污染物排放标准》（GB31571-2015）中表4标准（去除效率大于95%，排放浓度120mg/m</w:t>
      </w:r>
      <w:r>
        <w:rPr>
          <w:rFonts w:hint="eastAsia"/>
          <w:color w:val="auto"/>
          <w:vertAlign w:val="superscript"/>
          <w:lang w:val="en-US" w:eastAsia="zh-CN"/>
        </w:rPr>
        <w:t>3</w:t>
      </w:r>
      <w:r>
        <w:rPr>
          <w:rFonts w:hint="eastAsia"/>
          <w:color w:val="auto"/>
          <w:lang w:val="en-US" w:eastAsia="zh-CN"/>
        </w:rPr>
        <w:t>）</w:t>
      </w:r>
    </w:p>
    <w:p>
      <w:pPr>
        <w:pStyle w:val="33"/>
        <w:bidi w:val="0"/>
        <w:rPr>
          <w:rFonts w:hint="eastAsia"/>
          <w:b/>
          <w:bCs/>
          <w:color w:val="auto"/>
          <w:lang w:val="en-US" w:eastAsia="zh-CN"/>
        </w:rPr>
      </w:pPr>
      <w:r>
        <w:rPr>
          <w:rFonts w:hint="eastAsia"/>
          <w:b/>
          <w:bCs/>
          <w:color w:val="auto"/>
          <w:lang w:val="en-US" w:eastAsia="zh-CN"/>
        </w:rPr>
        <w:t>（2）无组织排放情况</w:t>
      </w:r>
    </w:p>
    <w:p>
      <w:pPr>
        <w:pStyle w:val="33"/>
        <w:bidi w:val="0"/>
        <w:rPr>
          <w:rFonts w:hint="eastAsia" w:eastAsia="宋体"/>
          <w:color w:val="auto"/>
          <w:lang w:val="en-US" w:eastAsia="zh-CN"/>
        </w:rPr>
      </w:pPr>
      <w:r>
        <w:rPr>
          <w:rFonts w:hint="eastAsia" w:eastAsia="宋体"/>
          <w:color w:val="auto"/>
          <w:lang w:val="en-US" w:eastAsia="zh-CN"/>
        </w:rPr>
        <w:t>装置区无组织废气主要来自装置区的阀门等接口处可能存在的很少的跑冒滴漏。生产装置无组织废气产生量参考《环境影响评价实用技术指南》（李爱贞、周兆驹、林国栋等编著，机械工业出版社，2008年4月，第24页）中建议无组织排放的比例为：按原料年用量或产品年产量的0.1‰~0.4‰计算；《大气环境影响评价实用技术》（王栋成主编，中国标准出版社，2010年9月，第156页）中介绍，根据美国对十几家化工企业长期跟踪测试结果，无组织排放量的比例为0.05‰~0.5‰。本项目生产区无组织排放的VOCs和甲醇量，按照产品产量的0.1‰计算，经计算可知，装置区无组织排放量为VOCs</w:t>
      </w:r>
      <w:r>
        <w:rPr>
          <w:rFonts w:hint="eastAsia"/>
          <w:color w:val="auto"/>
          <w:lang w:val="en-US" w:eastAsia="zh-CN"/>
        </w:rPr>
        <w:t>1.5</w:t>
      </w:r>
      <w:r>
        <w:rPr>
          <w:rFonts w:hint="eastAsia" w:eastAsia="宋体"/>
          <w:color w:val="auto"/>
          <w:lang w:val="en-US" w:eastAsia="zh-CN"/>
        </w:rPr>
        <w:t>t/a（</w:t>
      </w:r>
      <w:r>
        <w:rPr>
          <w:rFonts w:hint="eastAsia"/>
          <w:color w:val="auto"/>
          <w:lang w:val="en-US" w:eastAsia="zh-CN"/>
        </w:rPr>
        <w:t>0.202</w:t>
      </w:r>
      <w:r>
        <w:rPr>
          <w:rFonts w:hint="eastAsia" w:eastAsia="宋体"/>
          <w:color w:val="auto"/>
          <w:lang w:val="en-US" w:eastAsia="zh-CN"/>
        </w:rPr>
        <w:t>kg/h）、甲醇</w:t>
      </w:r>
      <w:r>
        <w:rPr>
          <w:rFonts w:hint="eastAsia"/>
          <w:color w:val="auto"/>
          <w:lang w:val="en-US" w:eastAsia="zh-CN"/>
        </w:rPr>
        <w:t>0.6</w:t>
      </w:r>
      <w:r>
        <w:rPr>
          <w:rFonts w:hint="eastAsia" w:eastAsia="宋体"/>
          <w:color w:val="auto"/>
          <w:lang w:val="en-US" w:eastAsia="zh-CN"/>
        </w:rPr>
        <w:t>t/a（</w:t>
      </w:r>
      <w:r>
        <w:rPr>
          <w:rFonts w:hint="eastAsia"/>
          <w:color w:val="auto"/>
          <w:lang w:val="en-US" w:eastAsia="zh-CN"/>
        </w:rPr>
        <w:t>0.081</w:t>
      </w:r>
      <w:r>
        <w:rPr>
          <w:rFonts w:hint="eastAsia" w:eastAsia="宋体"/>
          <w:color w:val="auto"/>
          <w:lang w:val="en-US" w:eastAsia="zh-CN"/>
        </w:rPr>
        <w:t>kg/h）。</w:t>
      </w:r>
    </w:p>
    <w:p>
      <w:pPr>
        <w:pStyle w:val="35"/>
        <w:rPr>
          <w:color w:val="auto"/>
        </w:rPr>
      </w:pPr>
      <w:bookmarkStart w:id="105" w:name="_Toc917"/>
    </w:p>
    <w:p>
      <w:pPr>
        <w:pStyle w:val="32"/>
        <w:bidi w:val="0"/>
        <w:rPr>
          <w:rFonts w:hint="default"/>
          <w:color w:val="auto"/>
          <w:lang w:val="en-US" w:eastAsia="zh-CN"/>
        </w:rPr>
      </w:pPr>
      <w:r>
        <w:rPr>
          <w:rFonts w:hint="eastAsia"/>
          <w:color w:val="auto"/>
          <w:lang w:val="en-US" w:eastAsia="zh-CN"/>
        </w:rPr>
        <w:t>5.4.2废水污染源</w:t>
      </w:r>
      <w:bookmarkEnd w:id="105"/>
    </w:p>
    <w:p>
      <w:pPr>
        <w:pStyle w:val="33"/>
        <w:bidi w:val="0"/>
        <w:rPr>
          <w:color w:val="auto"/>
        </w:rPr>
      </w:pPr>
      <w:r>
        <w:rPr>
          <w:color w:val="auto"/>
        </w:rPr>
        <w:t>本项目产生的废水主要包括生产废水、</w:t>
      </w:r>
      <w:r>
        <w:rPr>
          <w:rFonts w:hint="eastAsia"/>
          <w:color w:val="auto"/>
          <w:lang w:val="en-US" w:eastAsia="zh-CN"/>
        </w:rPr>
        <w:t>清洗废水、喷淋废水和</w:t>
      </w:r>
      <w:r>
        <w:rPr>
          <w:color w:val="auto"/>
        </w:rPr>
        <w:t>生活污水。</w:t>
      </w:r>
    </w:p>
    <w:p>
      <w:pPr>
        <w:pStyle w:val="33"/>
        <w:bidi w:val="0"/>
        <w:rPr>
          <w:color w:val="auto"/>
        </w:rPr>
      </w:pPr>
      <w:r>
        <w:rPr>
          <w:color w:val="auto"/>
        </w:rPr>
        <w:t>（</w:t>
      </w:r>
      <w:r>
        <w:rPr>
          <w:rFonts w:hint="eastAsia"/>
          <w:color w:val="auto"/>
        </w:rPr>
        <w:t>1</w:t>
      </w:r>
      <w:r>
        <w:rPr>
          <w:color w:val="auto"/>
        </w:rPr>
        <w:t>）生活污水</w:t>
      </w:r>
    </w:p>
    <w:p>
      <w:pPr>
        <w:pStyle w:val="33"/>
        <w:bidi w:val="0"/>
        <w:rPr>
          <w:rFonts w:hint="eastAsia" w:ascii="Times New Roman"/>
          <w:color w:val="auto"/>
        </w:rPr>
      </w:pPr>
      <w:r>
        <w:rPr>
          <w:rFonts w:hint="eastAsia" w:ascii="Times New Roman"/>
          <w:color w:val="auto"/>
        </w:rPr>
        <w:t>本项目</w:t>
      </w:r>
      <w:r>
        <w:rPr>
          <w:rFonts w:hint="eastAsia"/>
          <w:color w:val="auto"/>
          <w:lang w:val="en-US" w:eastAsia="zh-CN"/>
        </w:rPr>
        <w:t>位于</w:t>
      </w:r>
      <w:r>
        <w:rPr>
          <w:rFonts w:hint="eastAsia" w:ascii="Times New Roman"/>
          <w:color w:val="auto"/>
        </w:rPr>
        <w:t>云溪工业园，根据建设方提供的资料，</w:t>
      </w:r>
      <w:r>
        <w:rPr>
          <w:rFonts w:hint="eastAsia"/>
          <w:color w:val="auto"/>
          <w:lang w:val="en-US" w:eastAsia="zh-CN"/>
        </w:rPr>
        <w:t>本项目投产后新增</w:t>
      </w:r>
      <w:r>
        <w:rPr>
          <w:rFonts w:hint="eastAsia" w:ascii="Times New Roman"/>
          <w:color w:val="auto"/>
        </w:rPr>
        <w:t>定员</w:t>
      </w:r>
      <w:r>
        <w:rPr>
          <w:rFonts w:hint="eastAsia"/>
          <w:color w:val="auto"/>
          <w:lang w:val="en-US" w:eastAsia="zh-CN"/>
        </w:rPr>
        <w:t>12</w:t>
      </w:r>
      <w:r>
        <w:rPr>
          <w:rFonts w:hint="eastAsia" w:ascii="Times New Roman"/>
          <w:color w:val="auto"/>
        </w:rPr>
        <w:t>人，全部在厂区食宿。根据</w:t>
      </w:r>
      <w:r>
        <w:rPr>
          <w:rFonts w:hint="eastAsia"/>
          <w:color w:val="auto"/>
        </w:rPr>
        <w:t>《湖南省地方标准用水定额》</w:t>
      </w:r>
      <w:r>
        <w:rPr>
          <w:color w:val="auto"/>
        </w:rPr>
        <w:t>（DB43/T388-20</w:t>
      </w:r>
      <w:r>
        <w:rPr>
          <w:rFonts w:hint="eastAsia"/>
          <w:color w:val="auto"/>
          <w:lang w:val="en-US" w:eastAsia="zh-CN"/>
        </w:rPr>
        <w:t>20</w:t>
      </w:r>
      <w:r>
        <w:rPr>
          <w:color w:val="auto"/>
        </w:rPr>
        <w:t>）</w:t>
      </w:r>
      <w:r>
        <w:rPr>
          <w:rFonts w:hint="eastAsia" w:ascii="Times New Roman"/>
          <w:color w:val="auto"/>
        </w:rPr>
        <w:t>本环评以人均用水</w:t>
      </w:r>
      <w:r>
        <w:rPr>
          <w:rFonts w:hint="eastAsia"/>
          <w:color w:val="auto"/>
          <w:lang w:val="en-US" w:eastAsia="zh-CN"/>
        </w:rPr>
        <w:t>150</w:t>
      </w:r>
      <w:r>
        <w:rPr>
          <w:rFonts w:hint="eastAsia" w:ascii="Times New Roman"/>
          <w:color w:val="auto"/>
        </w:rPr>
        <w:t>L/d计，则本项目员工生活用水量为</w:t>
      </w:r>
      <w:r>
        <w:rPr>
          <w:rFonts w:hint="eastAsia"/>
          <w:color w:val="auto"/>
          <w:lang w:val="en-US" w:eastAsia="zh-CN"/>
        </w:rPr>
        <w:t>1.8</w:t>
      </w:r>
      <w:r>
        <w:rPr>
          <w:rFonts w:hint="eastAsia" w:ascii="Times New Roman"/>
          <w:color w:val="auto"/>
        </w:rPr>
        <w:t>m</w:t>
      </w:r>
      <w:r>
        <w:rPr>
          <w:rFonts w:hint="eastAsia" w:ascii="Times New Roman"/>
          <w:color w:val="auto"/>
          <w:vertAlign w:val="superscript"/>
        </w:rPr>
        <w:t>3</w:t>
      </w:r>
      <w:r>
        <w:rPr>
          <w:rFonts w:hint="eastAsia" w:ascii="Times New Roman"/>
          <w:color w:val="auto"/>
        </w:rPr>
        <w:t>/d，污水排放系数以80%计，则项目员工生活</w:t>
      </w:r>
      <w:r>
        <w:rPr>
          <w:rFonts w:hint="eastAsia"/>
          <w:color w:val="auto"/>
          <w:lang w:val="en-US" w:eastAsia="zh-CN"/>
        </w:rPr>
        <w:t>污</w:t>
      </w:r>
      <w:r>
        <w:rPr>
          <w:rFonts w:hint="eastAsia" w:ascii="Times New Roman"/>
          <w:color w:val="auto"/>
        </w:rPr>
        <w:t>水产生量为</w:t>
      </w:r>
      <w:r>
        <w:rPr>
          <w:rFonts w:hint="eastAsia"/>
          <w:color w:val="auto"/>
          <w:lang w:val="en-US" w:eastAsia="zh-CN"/>
        </w:rPr>
        <w:t>1.44</w:t>
      </w:r>
      <w:r>
        <w:rPr>
          <w:rFonts w:hint="eastAsia" w:ascii="Times New Roman"/>
          <w:color w:val="auto"/>
        </w:rPr>
        <w:t>m</w:t>
      </w:r>
      <w:r>
        <w:rPr>
          <w:rFonts w:hint="eastAsia" w:ascii="Times New Roman"/>
          <w:color w:val="auto"/>
          <w:vertAlign w:val="superscript"/>
        </w:rPr>
        <w:t>3</w:t>
      </w:r>
      <w:r>
        <w:rPr>
          <w:rFonts w:hint="eastAsia" w:ascii="Times New Roman"/>
          <w:color w:val="auto"/>
        </w:rPr>
        <w:t>/d</w:t>
      </w:r>
      <w:r>
        <w:rPr>
          <w:rFonts w:hint="eastAsia"/>
          <w:color w:val="auto"/>
          <w:lang w:eastAsia="zh-CN"/>
        </w:rPr>
        <w:t>，</w:t>
      </w:r>
      <w:r>
        <w:rPr>
          <w:rFonts w:hint="eastAsia"/>
          <w:color w:val="auto"/>
          <w:lang w:val="en-US" w:eastAsia="zh-CN"/>
        </w:rPr>
        <w:t>年生产330天计，生活污水产生量为475.2</w:t>
      </w:r>
      <w:r>
        <w:rPr>
          <w:rFonts w:hint="eastAsia" w:ascii="Times New Roman"/>
          <w:color w:val="auto"/>
        </w:rPr>
        <w:t>t/a，生活废水经化粪池处理后排入云溪工业园污水管网。</w:t>
      </w:r>
    </w:p>
    <w:p>
      <w:pPr>
        <w:pStyle w:val="33"/>
        <w:bidi w:val="0"/>
        <w:rPr>
          <w:rFonts w:hint="eastAsia"/>
          <w:color w:val="auto"/>
        </w:rPr>
      </w:pPr>
      <w:r>
        <w:rPr>
          <w:rFonts w:hint="eastAsia"/>
          <w:color w:val="auto"/>
        </w:rPr>
        <w:t>（2）</w:t>
      </w:r>
      <w:r>
        <w:rPr>
          <w:color w:val="auto"/>
        </w:rPr>
        <w:t>生产废水</w:t>
      </w:r>
    </w:p>
    <w:p>
      <w:pPr>
        <w:pStyle w:val="33"/>
        <w:bidi w:val="0"/>
        <w:rPr>
          <w:rFonts w:hint="eastAsia"/>
          <w:color w:val="auto"/>
          <w:sz w:val="24"/>
          <w:szCs w:val="24"/>
          <w:lang w:val="en-US" w:eastAsia="zh-CN"/>
        </w:rPr>
      </w:pPr>
      <w:r>
        <w:rPr>
          <w:rFonts w:hint="eastAsia"/>
          <w:color w:val="auto"/>
        </w:rPr>
        <w:t>根据物料平衡可知，</w:t>
      </w:r>
      <w:r>
        <w:rPr>
          <w:rFonts w:hint="eastAsia"/>
          <w:color w:val="auto"/>
          <w:lang w:val="en-US" w:eastAsia="zh-CN"/>
        </w:rPr>
        <w:t>酯化反应</w:t>
      </w:r>
      <w:r>
        <w:rPr>
          <w:rFonts w:hint="eastAsia"/>
          <w:color w:val="auto"/>
        </w:rPr>
        <w:t>物料</w:t>
      </w:r>
      <w:r>
        <w:rPr>
          <w:rFonts w:hint="eastAsia"/>
          <w:color w:val="auto"/>
          <w:lang w:val="en-US" w:eastAsia="zh-CN"/>
        </w:rPr>
        <w:t>废水约1294.2</w:t>
      </w:r>
      <w:r>
        <w:rPr>
          <w:rFonts w:hint="eastAsia"/>
          <w:color w:val="auto"/>
        </w:rPr>
        <w:t>t/a。</w:t>
      </w:r>
      <w:r>
        <w:rPr>
          <w:rFonts w:hint="eastAsia"/>
          <w:color w:val="auto"/>
          <w:sz w:val="24"/>
          <w:szCs w:val="24"/>
        </w:rPr>
        <w:t>经物料衡算，</w:t>
      </w:r>
      <w:r>
        <w:rPr>
          <w:rFonts w:hint="eastAsia"/>
          <w:color w:val="auto"/>
          <w:sz w:val="24"/>
          <w:szCs w:val="24"/>
          <w:lang w:val="en-US" w:eastAsia="zh-CN"/>
        </w:rPr>
        <w:t>生产</w:t>
      </w:r>
      <w:r>
        <w:rPr>
          <w:rFonts w:hint="eastAsia"/>
          <w:color w:val="auto"/>
          <w:sz w:val="24"/>
          <w:szCs w:val="24"/>
        </w:rPr>
        <w:t>废水中主要污染物为</w:t>
      </w:r>
      <w:r>
        <w:rPr>
          <w:rFonts w:hint="eastAsia"/>
          <w:color w:val="auto"/>
          <w:sz w:val="24"/>
          <w:szCs w:val="24"/>
          <w:lang w:val="en-US" w:eastAsia="zh-CN"/>
        </w:rPr>
        <w:t>甲醇15.2</w:t>
      </w:r>
      <w:r>
        <w:rPr>
          <w:rFonts w:hint="eastAsia"/>
          <w:color w:val="auto"/>
          <w:sz w:val="24"/>
          <w:szCs w:val="24"/>
        </w:rPr>
        <w:t>t/a、</w:t>
      </w:r>
      <w:r>
        <w:rPr>
          <w:rFonts w:hint="eastAsia"/>
          <w:color w:val="auto"/>
          <w:sz w:val="24"/>
          <w:szCs w:val="24"/>
          <w:lang w:val="en-US" w:eastAsia="zh-CN"/>
        </w:rPr>
        <w:t>碳酸二甲酯13.8</w:t>
      </w:r>
      <w:r>
        <w:rPr>
          <w:rFonts w:hint="eastAsia"/>
          <w:color w:val="auto"/>
          <w:sz w:val="24"/>
          <w:szCs w:val="24"/>
        </w:rPr>
        <w:t>t/a、</w:t>
      </w:r>
      <w:r>
        <w:rPr>
          <w:rFonts w:hint="eastAsia"/>
          <w:color w:val="auto"/>
          <w:sz w:val="24"/>
          <w:szCs w:val="24"/>
          <w:lang w:val="en-US" w:eastAsia="zh-CN"/>
        </w:rPr>
        <w:t>醋酸29.9</w:t>
      </w:r>
      <w:r>
        <w:rPr>
          <w:rFonts w:hint="eastAsia"/>
          <w:color w:val="auto"/>
          <w:sz w:val="24"/>
          <w:szCs w:val="24"/>
        </w:rPr>
        <w:t>t/a、</w:t>
      </w:r>
      <w:r>
        <w:rPr>
          <w:rFonts w:hint="eastAsia"/>
          <w:color w:val="auto"/>
          <w:sz w:val="24"/>
          <w:szCs w:val="24"/>
          <w:lang w:val="en-US" w:eastAsia="zh-CN"/>
        </w:rPr>
        <w:t>碳酸甲酯2.3</w:t>
      </w:r>
      <w:r>
        <w:rPr>
          <w:rFonts w:hint="eastAsia"/>
          <w:color w:val="auto"/>
          <w:sz w:val="24"/>
          <w:szCs w:val="24"/>
        </w:rPr>
        <w:t>t/a、对甲苯磺酸</w:t>
      </w:r>
      <w:r>
        <w:rPr>
          <w:rFonts w:hint="eastAsia"/>
          <w:color w:val="auto"/>
          <w:sz w:val="24"/>
          <w:szCs w:val="24"/>
          <w:lang w:val="en-US" w:eastAsia="zh-CN"/>
        </w:rPr>
        <w:t>75.4</w:t>
      </w:r>
      <w:r>
        <w:rPr>
          <w:rFonts w:hint="eastAsia"/>
          <w:color w:val="auto"/>
          <w:sz w:val="24"/>
          <w:szCs w:val="24"/>
        </w:rPr>
        <w:t>t/a。生产废水水质特点主要COD较大</w:t>
      </w:r>
      <w:r>
        <w:rPr>
          <w:rFonts w:hint="eastAsia"/>
          <w:color w:val="auto"/>
          <w:sz w:val="24"/>
          <w:szCs w:val="24"/>
          <w:lang w:eastAsia="zh-CN"/>
        </w:rPr>
        <w:t>。</w:t>
      </w:r>
      <w:r>
        <w:rPr>
          <w:rFonts w:hint="eastAsia"/>
          <w:color w:val="auto"/>
          <w:sz w:val="24"/>
          <w:szCs w:val="24"/>
        </w:rPr>
        <w:t>废水中COD含量因无类似实测数据，</w:t>
      </w:r>
      <w:r>
        <w:rPr>
          <w:rFonts w:hint="eastAsia"/>
          <w:color w:val="auto"/>
          <w:sz w:val="24"/>
          <w:szCs w:val="24"/>
          <w:lang w:val="en-US" w:eastAsia="zh-CN"/>
        </w:rPr>
        <w:t>参考“</w:t>
      </w:r>
      <w:r>
        <w:rPr>
          <w:rFonts w:hint="eastAsia"/>
          <w:color w:val="auto"/>
          <w:sz w:val="24"/>
          <w:szCs w:val="24"/>
        </w:rPr>
        <w:t>常见化合物的COD</w:t>
      </w:r>
      <w:r>
        <w:rPr>
          <w:rFonts w:hint="eastAsia"/>
          <w:color w:val="auto"/>
          <w:sz w:val="24"/>
          <w:szCs w:val="24"/>
          <w:vertAlign w:val="subscript"/>
        </w:rPr>
        <w:t>Cr</w:t>
      </w:r>
      <w:r>
        <w:rPr>
          <w:rFonts w:hint="eastAsia"/>
          <w:color w:val="auto"/>
          <w:sz w:val="24"/>
          <w:szCs w:val="24"/>
        </w:rPr>
        <w:t>、COD</w:t>
      </w:r>
      <w:r>
        <w:rPr>
          <w:rFonts w:hint="eastAsia"/>
          <w:color w:val="auto"/>
          <w:sz w:val="24"/>
          <w:szCs w:val="24"/>
          <w:vertAlign w:val="subscript"/>
        </w:rPr>
        <w:t>Mn</w:t>
      </w:r>
      <w:r>
        <w:rPr>
          <w:rFonts w:hint="eastAsia"/>
          <w:color w:val="auto"/>
          <w:sz w:val="24"/>
          <w:szCs w:val="24"/>
        </w:rPr>
        <w:t>、BOD</w:t>
      </w:r>
      <w:r>
        <w:rPr>
          <w:rFonts w:hint="eastAsia"/>
          <w:color w:val="auto"/>
          <w:sz w:val="24"/>
          <w:szCs w:val="24"/>
          <w:vertAlign w:val="subscript"/>
        </w:rPr>
        <w:t>5</w:t>
      </w:r>
      <w:r>
        <w:rPr>
          <w:rFonts w:hint="eastAsia"/>
          <w:color w:val="auto"/>
          <w:sz w:val="24"/>
          <w:szCs w:val="24"/>
        </w:rPr>
        <w:t>、TOD和TOC之相关值参照</w:t>
      </w:r>
      <w:r>
        <w:rPr>
          <w:rFonts w:hint="eastAsia"/>
          <w:color w:val="auto"/>
          <w:sz w:val="24"/>
          <w:szCs w:val="24"/>
          <w:lang w:eastAsia="zh-CN"/>
        </w:rPr>
        <w:t>”</w:t>
      </w:r>
      <w:r>
        <w:rPr>
          <w:rFonts w:hint="eastAsia"/>
          <w:color w:val="auto"/>
          <w:sz w:val="24"/>
          <w:szCs w:val="24"/>
          <w:lang w:val="en-US" w:eastAsia="zh-CN"/>
        </w:rPr>
        <w:t>数据，</w:t>
      </w:r>
      <w:r>
        <w:rPr>
          <w:rFonts w:hint="eastAsia"/>
          <w:color w:val="auto"/>
          <w:sz w:val="24"/>
          <w:szCs w:val="24"/>
        </w:rPr>
        <w:t>有机物的化学需氧量甲醇折算系数为1：1.42估算</w:t>
      </w:r>
      <w:r>
        <w:rPr>
          <w:rFonts w:hint="eastAsia"/>
          <w:color w:val="auto"/>
          <w:sz w:val="24"/>
          <w:szCs w:val="24"/>
          <w:lang w:eastAsia="zh-CN"/>
        </w:rPr>
        <w:t>，</w:t>
      </w:r>
      <w:r>
        <w:rPr>
          <w:rFonts w:hint="eastAsia"/>
          <w:color w:val="auto"/>
          <w:sz w:val="24"/>
          <w:szCs w:val="24"/>
          <w:lang w:val="en-US" w:eastAsia="zh-CN"/>
        </w:rPr>
        <w:t>COD量为21.58</w:t>
      </w:r>
      <w:r>
        <w:rPr>
          <w:rFonts w:hint="eastAsia"/>
          <w:color w:val="auto"/>
          <w:sz w:val="24"/>
          <w:szCs w:val="24"/>
        </w:rPr>
        <w:t>t/a，</w:t>
      </w:r>
      <w:r>
        <w:rPr>
          <w:rFonts w:hint="eastAsia"/>
          <w:color w:val="auto"/>
          <w:sz w:val="24"/>
          <w:szCs w:val="24"/>
          <w:lang w:val="en-US" w:eastAsia="zh-CN"/>
        </w:rPr>
        <w:t>醋酸按1:1.07估算，COD量为31.99</w:t>
      </w:r>
      <w:r>
        <w:rPr>
          <w:rFonts w:hint="eastAsia"/>
          <w:color w:val="auto"/>
          <w:sz w:val="24"/>
          <w:szCs w:val="24"/>
        </w:rPr>
        <w:t>t/a</w:t>
      </w:r>
      <w:r>
        <w:rPr>
          <w:rFonts w:hint="eastAsia"/>
          <w:color w:val="auto"/>
          <w:sz w:val="24"/>
          <w:szCs w:val="24"/>
          <w:lang w:val="en-US" w:eastAsia="zh-CN"/>
        </w:rPr>
        <w:t>，碳酸甲酯和碳酸二甲酯按1:1.54估算，COD量为24.79</w:t>
      </w:r>
      <w:r>
        <w:rPr>
          <w:rFonts w:hint="eastAsia"/>
          <w:color w:val="auto"/>
          <w:sz w:val="24"/>
          <w:szCs w:val="24"/>
        </w:rPr>
        <w:t>t/a</w:t>
      </w:r>
      <w:r>
        <w:rPr>
          <w:rFonts w:hint="eastAsia"/>
          <w:color w:val="auto"/>
          <w:sz w:val="24"/>
          <w:szCs w:val="24"/>
          <w:lang w:val="en-US" w:eastAsia="zh-CN"/>
        </w:rPr>
        <w:t>。</w:t>
      </w:r>
      <w:r>
        <w:rPr>
          <w:rFonts w:hint="eastAsia"/>
          <w:color w:val="auto"/>
          <w:sz w:val="24"/>
          <w:szCs w:val="24"/>
        </w:rPr>
        <w:t>则</w:t>
      </w:r>
      <w:r>
        <w:rPr>
          <w:rFonts w:hint="eastAsia"/>
          <w:color w:val="auto"/>
          <w:sz w:val="24"/>
          <w:szCs w:val="24"/>
          <w:lang w:val="en-US" w:eastAsia="zh-CN"/>
        </w:rPr>
        <w:t>废水</w:t>
      </w:r>
      <w:r>
        <w:rPr>
          <w:rFonts w:hint="eastAsia"/>
          <w:color w:val="auto"/>
          <w:sz w:val="24"/>
          <w:szCs w:val="24"/>
        </w:rPr>
        <w:t>中COD总量为</w:t>
      </w:r>
      <w:r>
        <w:rPr>
          <w:rFonts w:hint="eastAsia"/>
          <w:color w:val="auto"/>
          <w:sz w:val="24"/>
          <w:szCs w:val="24"/>
          <w:lang w:val="en-US" w:eastAsia="zh-CN"/>
        </w:rPr>
        <w:t>78.36</w:t>
      </w:r>
      <w:r>
        <w:rPr>
          <w:rFonts w:hint="eastAsia"/>
          <w:color w:val="auto"/>
          <w:sz w:val="24"/>
          <w:szCs w:val="24"/>
        </w:rPr>
        <w:t>t/a，</w:t>
      </w:r>
      <w:r>
        <w:rPr>
          <w:rFonts w:hint="eastAsia"/>
          <w:color w:val="auto"/>
          <w:sz w:val="24"/>
          <w:szCs w:val="24"/>
          <w:lang w:val="en-US" w:eastAsia="zh-CN"/>
        </w:rPr>
        <w:t>废水中COD浓度约为60547mg/L。</w:t>
      </w:r>
    </w:p>
    <w:p>
      <w:pPr>
        <w:pStyle w:val="33"/>
        <w:bidi w:val="0"/>
        <w:rPr>
          <w:rFonts w:hint="default"/>
          <w:color w:val="auto"/>
          <w:lang w:val="en-US" w:eastAsia="zh-CN"/>
        </w:rPr>
      </w:pPr>
      <w:r>
        <w:rPr>
          <w:rFonts w:hint="eastAsia"/>
          <w:color w:val="auto"/>
          <w:lang w:val="en-US" w:eastAsia="zh-CN"/>
        </w:rPr>
        <w:t>（3）树脂清洗废水</w:t>
      </w:r>
    </w:p>
    <w:p>
      <w:pPr>
        <w:pStyle w:val="33"/>
        <w:bidi w:val="0"/>
        <w:rPr>
          <w:rFonts w:hint="eastAsia"/>
          <w:color w:val="auto"/>
          <w:sz w:val="24"/>
          <w:szCs w:val="24"/>
          <w:lang w:val="en-US" w:eastAsia="zh-CN"/>
        </w:rPr>
      </w:pPr>
      <w:r>
        <w:rPr>
          <w:rFonts w:hint="eastAsia"/>
          <w:color w:val="auto"/>
          <w:sz w:val="24"/>
          <w:szCs w:val="24"/>
          <w:lang w:val="en-US" w:eastAsia="zh-CN"/>
        </w:rPr>
        <w:t>预处理工序等离子树脂吸附饱和后需要进行冲洗再生，回产生少量清洗废水，产生量约为258.5t/a，主要污染物为乙醛酸，清洗产生量很小，与公司污水混合后，排入公司污水处理站进行处理。</w:t>
      </w:r>
    </w:p>
    <w:p>
      <w:pPr>
        <w:pStyle w:val="33"/>
        <w:bidi w:val="0"/>
        <w:rPr>
          <w:rFonts w:ascii="Times New Roman" w:hAnsi="Times New Roman" w:cs="Times New Roman"/>
          <w:color w:val="auto"/>
          <w:u w:val="single"/>
        </w:rPr>
      </w:pPr>
      <w:r>
        <w:rPr>
          <w:rFonts w:hint="eastAsia" w:ascii="Times New Roman" w:hAnsi="Times New Roman" w:cs="Times New Roman"/>
          <w:color w:val="auto"/>
          <w:u w:val="single"/>
          <w:lang w:eastAsia="zh-CN"/>
        </w:rPr>
        <w:t>（</w:t>
      </w:r>
      <w:r>
        <w:rPr>
          <w:rFonts w:hint="eastAsia" w:ascii="Times New Roman" w:hAnsi="Times New Roman" w:cs="Times New Roman"/>
          <w:color w:val="auto"/>
          <w:u w:val="single"/>
          <w:lang w:val="en-US" w:eastAsia="zh-CN"/>
        </w:rPr>
        <w:t>4</w:t>
      </w:r>
      <w:r>
        <w:rPr>
          <w:rFonts w:hint="eastAsia" w:ascii="Times New Roman" w:hAnsi="Times New Roman" w:cs="Times New Roman"/>
          <w:color w:val="auto"/>
          <w:u w:val="single"/>
          <w:lang w:eastAsia="zh-CN"/>
        </w:rPr>
        <w:t>）</w:t>
      </w:r>
      <w:r>
        <w:rPr>
          <w:rFonts w:ascii="Times New Roman" w:hAnsi="Times New Roman" w:cs="Times New Roman"/>
          <w:color w:val="auto"/>
          <w:u w:val="single"/>
        </w:rPr>
        <w:t>废气</w:t>
      </w:r>
      <w:r>
        <w:rPr>
          <w:rFonts w:hint="eastAsia" w:ascii="Times New Roman" w:hAnsi="Times New Roman" w:cs="Times New Roman"/>
          <w:color w:val="auto"/>
          <w:u w:val="single"/>
          <w:lang w:val="en-US" w:eastAsia="zh-CN"/>
        </w:rPr>
        <w:t>喷淋</w:t>
      </w:r>
      <w:r>
        <w:rPr>
          <w:rFonts w:ascii="Times New Roman" w:hAnsi="Times New Roman" w:cs="Times New Roman"/>
          <w:color w:val="auto"/>
          <w:u w:val="single"/>
        </w:rPr>
        <w:t>塔废水</w:t>
      </w:r>
    </w:p>
    <w:p>
      <w:pPr>
        <w:pStyle w:val="33"/>
        <w:bidi w:val="0"/>
        <w:rPr>
          <w:rFonts w:hint="eastAsia" w:ascii="Times New Roman" w:hAnsi="Times New Roman" w:eastAsia="宋体" w:cs="Times New Roman"/>
          <w:color w:val="auto"/>
          <w:u w:val="single"/>
          <w:lang w:val="en-US" w:eastAsia="zh-CN"/>
        </w:rPr>
      </w:pPr>
      <w:r>
        <w:rPr>
          <w:rFonts w:hint="eastAsia" w:cs="Times New Roman"/>
          <w:color w:val="auto"/>
          <w:u w:val="single"/>
          <w:lang w:val="en-US" w:eastAsia="zh-CN"/>
        </w:rPr>
        <w:t>本项目新增</w:t>
      </w:r>
      <w:r>
        <w:rPr>
          <w:rFonts w:ascii="Times New Roman" w:hAnsi="Times New Roman" w:cs="Times New Roman"/>
          <w:color w:val="auto"/>
          <w:u w:val="single"/>
        </w:rPr>
        <w:t>废气</w:t>
      </w:r>
      <w:r>
        <w:rPr>
          <w:rFonts w:hint="eastAsia" w:ascii="Times New Roman" w:hAnsi="Times New Roman" w:cs="Times New Roman"/>
          <w:color w:val="auto"/>
          <w:u w:val="single"/>
          <w:lang w:val="en-US" w:eastAsia="zh-CN"/>
        </w:rPr>
        <w:t>喷淋</w:t>
      </w:r>
      <w:r>
        <w:rPr>
          <w:rFonts w:ascii="Times New Roman" w:hAnsi="Times New Roman" w:cs="Times New Roman"/>
          <w:color w:val="auto"/>
          <w:u w:val="single"/>
        </w:rPr>
        <w:t>塔废水量为</w:t>
      </w:r>
      <w:r>
        <w:rPr>
          <w:rFonts w:hint="eastAsia" w:ascii="Times New Roman" w:hAnsi="Times New Roman" w:cs="Times New Roman"/>
          <w:color w:val="auto"/>
          <w:u w:val="single"/>
          <w:lang w:val="en-US" w:eastAsia="zh-CN"/>
        </w:rPr>
        <w:t>1140</w:t>
      </w:r>
      <w:r>
        <w:rPr>
          <w:rFonts w:ascii="Times New Roman" w:hAnsi="Times New Roman" w:cs="Times New Roman"/>
          <w:color w:val="auto"/>
          <w:u w:val="single"/>
        </w:rPr>
        <w:t>m</w:t>
      </w:r>
      <w:r>
        <w:rPr>
          <w:rFonts w:ascii="Times New Roman" w:hAnsi="Times New Roman" w:cs="Times New Roman"/>
          <w:color w:val="auto"/>
          <w:u w:val="single"/>
          <w:vertAlign w:val="superscript"/>
        </w:rPr>
        <w:t>3</w:t>
      </w:r>
      <w:r>
        <w:rPr>
          <w:rFonts w:ascii="Times New Roman" w:hAnsi="Times New Roman" w:cs="Times New Roman"/>
          <w:color w:val="auto"/>
          <w:u w:val="single"/>
        </w:rPr>
        <w:t>/a，</w:t>
      </w:r>
      <w:r>
        <w:rPr>
          <w:rFonts w:hint="eastAsia" w:ascii="Times New Roman" w:hAnsi="Times New Roman" w:cs="Times New Roman"/>
          <w:color w:val="auto"/>
          <w:u w:val="single"/>
          <w:lang w:val="en-US" w:eastAsia="zh-CN"/>
        </w:rPr>
        <w:t>根据</w:t>
      </w:r>
      <w:r>
        <w:rPr>
          <w:rFonts w:hint="eastAsia" w:cs="Times New Roman"/>
          <w:color w:val="auto"/>
          <w:u w:val="single"/>
          <w:lang w:val="en-US" w:eastAsia="zh-CN"/>
        </w:rPr>
        <w:t>《</w:t>
      </w:r>
      <w:r>
        <w:rPr>
          <w:rFonts w:hint="eastAsia" w:ascii="Times New Roman" w:hAnsi="Times New Roman"/>
          <w:caps w:val="0"/>
          <w:smallCaps w:val="0"/>
          <w:color w:val="auto"/>
          <w:sz w:val="24"/>
          <w:szCs w:val="24"/>
          <w:u w:val="single"/>
        </w:rPr>
        <w:t>岳阳市凌峰化工有限公司二期</w:t>
      </w:r>
      <w:r>
        <w:rPr>
          <w:rFonts w:hint="eastAsia" w:ascii="Times New Roman" w:hAnsi="Times New Roman"/>
          <w:caps w:val="0"/>
          <w:smallCaps w:val="0"/>
          <w:color w:val="auto"/>
          <w:sz w:val="24"/>
          <w:szCs w:val="24"/>
          <w:u w:val="single"/>
          <w:lang w:eastAsia="zh-CN"/>
        </w:rPr>
        <w:t>工程</w:t>
      </w:r>
      <w:r>
        <w:rPr>
          <w:rFonts w:hint="eastAsia"/>
          <w:caps w:val="0"/>
          <w:smallCaps w:val="0"/>
          <w:color w:val="auto"/>
          <w:sz w:val="24"/>
          <w:szCs w:val="24"/>
          <w:u w:val="single"/>
          <w:lang w:val="en-US" w:eastAsia="zh-CN"/>
        </w:rPr>
        <w:t>环评报告书</w:t>
      </w:r>
      <w:r>
        <w:rPr>
          <w:rFonts w:hint="eastAsia" w:cs="Times New Roman"/>
          <w:color w:val="auto"/>
          <w:u w:val="single"/>
          <w:lang w:val="en-US" w:eastAsia="zh-CN"/>
        </w:rPr>
        <w:t>》，现有项目喷淋塔废水</w:t>
      </w:r>
      <w:r>
        <w:rPr>
          <w:rFonts w:ascii="Times New Roman" w:hAnsi="Times New Roman" w:cs="Times New Roman"/>
          <w:color w:val="auto"/>
          <w:u w:val="single"/>
        </w:rPr>
        <w:t>中COD浓度为</w:t>
      </w:r>
      <w:r>
        <w:rPr>
          <w:rFonts w:hint="eastAsia" w:cs="Times New Roman"/>
          <w:color w:val="auto"/>
          <w:u w:val="single"/>
          <w:lang w:val="en-US" w:eastAsia="zh-CN"/>
        </w:rPr>
        <w:t>3</w:t>
      </w:r>
      <w:r>
        <w:rPr>
          <w:rFonts w:ascii="Times New Roman" w:hAnsi="Times New Roman" w:cs="Times New Roman"/>
          <w:color w:val="auto"/>
          <w:u w:val="single"/>
        </w:rPr>
        <w:t>00mg/L、</w:t>
      </w:r>
      <w:r>
        <w:rPr>
          <w:rFonts w:hint="eastAsia" w:cs="Times New Roman"/>
          <w:color w:val="auto"/>
          <w:u w:val="single"/>
          <w:lang w:val="en-US" w:eastAsia="zh-CN"/>
        </w:rPr>
        <w:t>SS</w:t>
      </w:r>
      <w:r>
        <w:rPr>
          <w:rFonts w:ascii="Times New Roman" w:hAnsi="Times New Roman" w:cs="Times New Roman"/>
          <w:color w:val="auto"/>
          <w:u w:val="single"/>
        </w:rPr>
        <w:t>浓度为</w:t>
      </w:r>
      <w:r>
        <w:rPr>
          <w:rFonts w:hint="eastAsia" w:cs="Times New Roman"/>
          <w:color w:val="auto"/>
          <w:u w:val="single"/>
          <w:lang w:val="en-US" w:eastAsia="zh-CN"/>
        </w:rPr>
        <w:t>210</w:t>
      </w:r>
      <w:r>
        <w:rPr>
          <w:rFonts w:ascii="Times New Roman" w:hAnsi="Times New Roman" w:cs="Times New Roman"/>
          <w:color w:val="auto"/>
          <w:u w:val="single"/>
        </w:rPr>
        <w:t>mg/L。</w:t>
      </w:r>
    </w:p>
    <w:p>
      <w:pPr>
        <w:pStyle w:val="33"/>
        <w:bidi w:val="0"/>
        <w:rPr>
          <w:rFonts w:ascii="Times New Roman" w:hAnsi="Times New Roman" w:cs="Times New Roman"/>
          <w:color w:val="auto"/>
          <w:u w:val="single"/>
        </w:rPr>
      </w:pPr>
      <w:r>
        <w:rPr>
          <w:rFonts w:hint="eastAsia" w:ascii="Times New Roman" w:hAnsi="Times New Roman" w:cs="Times New Roman"/>
          <w:color w:val="auto"/>
          <w:u w:val="single"/>
          <w:lang w:eastAsia="zh-CN"/>
        </w:rPr>
        <w:t>（</w:t>
      </w:r>
      <w:r>
        <w:rPr>
          <w:rFonts w:hint="eastAsia" w:ascii="Times New Roman" w:hAnsi="Times New Roman" w:cs="Times New Roman"/>
          <w:color w:val="auto"/>
          <w:u w:val="single"/>
          <w:lang w:val="en-US" w:eastAsia="zh-CN"/>
        </w:rPr>
        <w:t>5</w:t>
      </w:r>
      <w:r>
        <w:rPr>
          <w:rFonts w:hint="eastAsia" w:ascii="Times New Roman" w:hAnsi="Times New Roman" w:cs="Times New Roman"/>
          <w:color w:val="auto"/>
          <w:u w:val="single"/>
          <w:lang w:eastAsia="zh-CN"/>
        </w:rPr>
        <w:t>）</w:t>
      </w:r>
      <w:r>
        <w:rPr>
          <w:rFonts w:ascii="Times New Roman" w:hAnsi="Times New Roman" w:cs="Times New Roman"/>
          <w:color w:val="auto"/>
          <w:u w:val="single"/>
        </w:rPr>
        <w:t>设备</w:t>
      </w:r>
      <w:r>
        <w:rPr>
          <w:rFonts w:hint="eastAsia" w:cs="Times New Roman"/>
          <w:color w:val="auto"/>
          <w:u w:val="single"/>
          <w:lang w:val="en-US" w:eastAsia="zh-CN"/>
        </w:rPr>
        <w:t>和储罐</w:t>
      </w:r>
      <w:r>
        <w:rPr>
          <w:rFonts w:ascii="Times New Roman" w:hAnsi="Times New Roman" w:cs="Times New Roman"/>
          <w:color w:val="auto"/>
          <w:u w:val="single"/>
        </w:rPr>
        <w:t>清洗废水</w:t>
      </w:r>
    </w:p>
    <w:p>
      <w:pPr>
        <w:pStyle w:val="33"/>
        <w:bidi w:val="0"/>
        <w:rPr>
          <w:color w:val="auto"/>
        </w:rPr>
      </w:pPr>
      <w:r>
        <w:rPr>
          <w:rFonts w:hint="eastAsia" w:cs="Times New Roman"/>
          <w:color w:val="auto"/>
          <w:u w:val="single"/>
          <w:lang w:val="en-US" w:eastAsia="zh-CN"/>
        </w:rPr>
        <w:t>本项目清洗废水为产品交替生产时清洗设备和储罐时产生废水，本</w:t>
      </w:r>
      <w:r>
        <w:rPr>
          <w:rFonts w:hint="eastAsia"/>
          <w:color w:val="auto"/>
          <w:lang w:val="en-US" w:eastAsia="zh-CN"/>
        </w:rPr>
        <w:t>次环评</w:t>
      </w:r>
      <w:r>
        <w:rPr>
          <w:color w:val="auto"/>
        </w:rPr>
        <w:t>按每</w:t>
      </w:r>
      <w:r>
        <w:rPr>
          <w:rFonts w:hint="eastAsia"/>
          <w:color w:val="auto"/>
          <w:lang w:val="en-US" w:eastAsia="zh-CN"/>
        </w:rPr>
        <w:t>年</w:t>
      </w:r>
      <w:r>
        <w:rPr>
          <w:color w:val="auto"/>
        </w:rPr>
        <w:t>清洗</w:t>
      </w:r>
      <w:r>
        <w:rPr>
          <w:rFonts w:hint="eastAsia"/>
          <w:color w:val="auto"/>
          <w:lang w:val="en-US" w:eastAsia="zh-CN"/>
        </w:rPr>
        <w:t>6</w:t>
      </w:r>
      <w:r>
        <w:rPr>
          <w:color w:val="auto"/>
        </w:rPr>
        <w:t>次计，清洗水量每次为</w:t>
      </w:r>
      <w:r>
        <w:rPr>
          <w:rFonts w:hint="eastAsia"/>
          <w:color w:val="auto"/>
          <w:lang w:val="en-US" w:eastAsia="zh-CN"/>
        </w:rPr>
        <w:t>100</w:t>
      </w:r>
      <w:r>
        <w:rPr>
          <w:color w:val="auto"/>
        </w:rPr>
        <w:t>m</w:t>
      </w:r>
      <w:r>
        <w:rPr>
          <w:color w:val="auto"/>
          <w:vertAlign w:val="superscript"/>
        </w:rPr>
        <w:t>3</w:t>
      </w:r>
      <w:r>
        <w:rPr>
          <w:color w:val="auto"/>
        </w:rPr>
        <w:t>，</w:t>
      </w:r>
      <w:r>
        <w:rPr>
          <w:rFonts w:hint="eastAsia"/>
          <w:color w:val="auto"/>
          <w:lang w:val="en-US" w:eastAsia="zh-CN"/>
        </w:rPr>
        <w:t>清洗废水排污系数按0.9，废水排放量为90m</w:t>
      </w:r>
      <w:r>
        <w:rPr>
          <w:rFonts w:hint="eastAsia"/>
          <w:color w:val="auto"/>
          <w:vertAlign w:val="superscript"/>
          <w:lang w:val="en-US" w:eastAsia="zh-CN"/>
        </w:rPr>
        <w:t>3</w:t>
      </w:r>
      <w:r>
        <w:rPr>
          <w:rFonts w:hint="eastAsia"/>
          <w:color w:val="auto"/>
          <w:lang w:val="en-US" w:eastAsia="zh-CN"/>
        </w:rPr>
        <w:t>/次，年排放量为540</w:t>
      </w:r>
      <w:r>
        <w:rPr>
          <w:color w:val="auto"/>
        </w:rPr>
        <w:t>m</w:t>
      </w:r>
      <w:r>
        <w:rPr>
          <w:color w:val="auto"/>
          <w:vertAlign w:val="superscript"/>
        </w:rPr>
        <w:t>3</w:t>
      </w:r>
      <w:r>
        <w:rPr>
          <w:color w:val="auto"/>
        </w:rPr>
        <w:t>/a。</w:t>
      </w:r>
    </w:p>
    <w:p>
      <w:pPr>
        <w:pStyle w:val="33"/>
        <w:bidi w:val="0"/>
        <w:rPr>
          <w:rFonts w:hint="eastAsia" w:cs="Times New Roman"/>
          <w:color w:val="auto"/>
          <w:u w:val="none"/>
          <w:lang w:val="en-US" w:eastAsia="zh-CN"/>
        </w:rPr>
      </w:pPr>
      <w:r>
        <w:rPr>
          <w:rFonts w:hint="eastAsia" w:cs="Times New Roman"/>
          <w:color w:val="auto"/>
          <w:u w:val="none"/>
          <w:lang w:val="en-US" w:eastAsia="zh-CN"/>
        </w:rPr>
        <w:t>废水中主要污染物为残留的有机物，污染物产生量按储罐和生产装置单次存储量的1%计算：①粗碳酸二甲酯原料储罐储存量按80t计，甲醇（40%）产量为0.32t，碳酸二甲酯（57.5%）产量为0.46t；②醋酸甲酯储罐储存量按200t计，醋酸甲酯产生量为2t；③生产装置生产时物料存储量按50t计，甲醇（40%）产量为0.2t，碳酸二甲酯（57.5%）产量为0.29t。</w:t>
      </w:r>
    </w:p>
    <w:p>
      <w:pPr>
        <w:pStyle w:val="33"/>
        <w:bidi w:val="0"/>
        <w:rPr>
          <w:rFonts w:ascii="Times New Roman" w:hAnsi="Times New Roman" w:cs="Times New Roman"/>
          <w:color w:val="auto"/>
          <w:u w:val="none"/>
        </w:rPr>
      </w:pPr>
      <w:r>
        <w:rPr>
          <w:rFonts w:hint="eastAsia" w:cs="Times New Roman"/>
          <w:color w:val="auto"/>
          <w:u w:val="none"/>
          <w:lang w:val="en-US" w:eastAsia="zh-CN"/>
        </w:rPr>
        <w:t>清洗废水中约含有碳酸二甲酯</w:t>
      </w:r>
      <w:r>
        <w:rPr>
          <w:rFonts w:hint="eastAsia"/>
          <w:color w:val="auto"/>
          <w:sz w:val="24"/>
          <w:szCs w:val="24"/>
          <w:u w:val="none"/>
          <w:lang w:val="en-US" w:eastAsia="zh-CN"/>
        </w:rPr>
        <w:t>0.75</w:t>
      </w:r>
      <w:r>
        <w:rPr>
          <w:rFonts w:hint="eastAsia"/>
          <w:color w:val="auto"/>
          <w:sz w:val="24"/>
          <w:szCs w:val="24"/>
          <w:u w:val="none"/>
        </w:rPr>
        <w:t>t/a</w:t>
      </w:r>
      <w:r>
        <w:rPr>
          <w:rFonts w:hint="eastAsia" w:cs="Times New Roman"/>
          <w:color w:val="auto"/>
          <w:u w:val="none"/>
          <w:lang w:val="en-US" w:eastAsia="zh-CN"/>
        </w:rPr>
        <w:t>，醋酸甲酯</w:t>
      </w:r>
      <w:r>
        <w:rPr>
          <w:rFonts w:hint="eastAsia"/>
          <w:color w:val="auto"/>
          <w:sz w:val="24"/>
          <w:szCs w:val="24"/>
          <w:u w:val="none"/>
          <w:lang w:val="en-US" w:eastAsia="zh-CN"/>
        </w:rPr>
        <w:t>2</w:t>
      </w:r>
      <w:r>
        <w:rPr>
          <w:rFonts w:hint="eastAsia"/>
          <w:color w:val="auto"/>
          <w:sz w:val="24"/>
          <w:szCs w:val="24"/>
          <w:u w:val="none"/>
        </w:rPr>
        <w:t>t/a</w:t>
      </w:r>
      <w:r>
        <w:rPr>
          <w:rFonts w:hint="eastAsia"/>
          <w:color w:val="auto"/>
          <w:sz w:val="24"/>
          <w:szCs w:val="24"/>
          <w:u w:val="none"/>
          <w:lang w:eastAsia="zh-CN"/>
        </w:rPr>
        <w:t>，</w:t>
      </w:r>
      <w:r>
        <w:rPr>
          <w:rFonts w:hint="eastAsia"/>
          <w:color w:val="auto"/>
          <w:sz w:val="24"/>
          <w:szCs w:val="24"/>
          <w:u w:val="none"/>
          <w:lang w:val="en-US" w:eastAsia="zh-CN"/>
        </w:rPr>
        <w:t>甲醇0.52</w:t>
      </w:r>
      <w:r>
        <w:rPr>
          <w:rFonts w:hint="eastAsia"/>
          <w:color w:val="auto"/>
          <w:sz w:val="24"/>
          <w:szCs w:val="24"/>
          <w:u w:val="none"/>
        </w:rPr>
        <w:t>t/a</w:t>
      </w:r>
      <w:r>
        <w:rPr>
          <w:rFonts w:hint="eastAsia"/>
          <w:color w:val="auto"/>
          <w:sz w:val="24"/>
          <w:szCs w:val="24"/>
          <w:u w:val="none"/>
          <w:lang w:eastAsia="zh-CN"/>
        </w:rPr>
        <w:t>，</w:t>
      </w:r>
      <w:r>
        <w:rPr>
          <w:rFonts w:hint="eastAsia"/>
          <w:color w:val="auto"/>
          <w:sz w:val="24"/>
          <w:szCs w:val="24"/>
          <w:u w:val="none"/>
        </w:rPr>
        <w:t>废水中COD含量因无类似实测数据，</w:t>
      </w:r>
      <w:r>
        <w:rPr>
          <w:rFonts w:hint="eastAsia"/>
          <w:color w:val="auto"/>
          <w:sz w:val="24"/>
          <w:szCs w:val="24"/>
          <w:u w:val="none"/>
          <w:lang w:val="en-US" w:eastAsia="zh-CN"/>
        </w:rPr>
        <w:t>参考“</w:t>
      </w:r>
      <w:r>
        <w:rPr>
          <w:rFonts w:hint="eastAsia"/>
          <w:color w:val="auto"/>
          <w:sz w:val="24"/>
          <w:szCs w:val="24"/>
          <w:u w:val="none"/>
        </w:rPr>
        <w:t>常见化合物的COD</w:t>
      </w:r>
      <w:r>
        <w:rPr>
          <w:rFonts w:hint="eastAsia"/>
          <w:color w:val="auto"/>
          <w:sz w:val="24"/>
          <w:szCs w:val="24"/>
          <w:u w:val="none"/>
          <w:vertAlign w:val="subscript"/>
        </w:rPr>
        <w:t>Cr</w:t>
      </w:r>
      <w:r>
        <w:rPr>
          <w:rFonts w:hint="eastAsia"/>
          <w:color w:val="auto"/>
          <w:sz w:val="24"/>
          <w:szCs w:val="24"/>
          <w:u w:val="none"/>
        </w:rPr>
        <w:t>、COD</w:t>
      </w:r>
      <w:r>
        <w:rPr>
          <w:rFonts w:hint="eastAsia"/>
          <w:color w:val="auto"/>
          <w:sz w:val="24"/>
          <w:szCs w:val="24"/>
          <w:u w:val="none"/>
          <w:vertAlign w:val="subscript"/>
        </w:rPr>
        <w:t>Mn</w:t>
      </w:r>
      <w:r>
        <w:rPr>
          <w:rFonts w:hint="eastAsia"/>
          <w:color w:val="auto"/>
          <w:sz w:val="24"/>
          <w:szCs w:val="24"/>
          <w:u w:val="none"/>
        </w:rPr>
        <w:t>、BOD</w:t>
      </w:r>
      <w:r>
        <w:rPr>
          <w:rFonts w:hint="eastAsia"/>
          <w:color w:val="auto"/>
          <w:sz w:val="24"/>
          <w:szCs w:val="24"/>
          <w:u w:val="none"/>
          <w:vertAlign w:val="subscript"/>
        </w:rPr>
        <w:t>5</w:t>
      </w:r>
      <w:r>
        <w:rPr>
          <w:rFonts w:hint="eastAsia"/>
          <w:color w:val="auto"/>
          <w:sz w:val="24"/>
          <w:szCs w:val="24"/>
          <w:u w:val="none"/>
        </w:rPr>
        <w:t>、TOD和TOC之相关值参照</w:t>
      </w:r>
      <w:r>
        <w:rPr>
          <w:rFonts w:hint="eastAsia"/>
          <w:color w:val="auto"/>
          <w:sz w:val="24"/>
          <w:szCs w:val="24"/>
          <w:u w:val="none"/>
          <w:lang w:eastAsia="zh-CN"/>
        </w:rPr>
        <w:t>”</w:t>
      </w:r>
      <w:r>
        <w:rPr>
          <w:rFonts w:hint="eastAsia"/>
          <w:color w:val="auto"/>
          <w:sz w:val="24"/>
          <w:szCs w:val="24"/>
          <w:u w:val="none"/>
          <w:lang w:val="en-US" w:eastAsia="zh-CN"/>
        </w:rPr>
        <w:t>数据，</w:t>
      </w:r>
      <w:r>
        <w:rPr>
          <w:rFonts w:hint="eastAsia"/>
          <w:color w:val="auto"/>
          <w:sz w:val="24"/>
          <w:szCs w:val="24"/>
          <w:u w:val="none"/>
        </w:rPr>
        <w:t>有机物的化学需氧量甲醇折算系数为1：1.42估算</w:t>
      </w:r>
      <w:r>
        <w:rPr>
          <w:rFonts w:hint="eastAsia"/>
          <w:color w:val="auto"/>
          <w:sz w:val="24"/>
          <w:szCs w:val="24"/>
          <w:u w:val="none"/>
          <w:lang w:eastAsia="zh-CN"/>
        </w:rPr>
        <w:t>，</w:t>
      </w:r>
      <w:r>
        <w:rPr>
          <w:rFonts w:hint="eastAsia"/>
          <w:color w:val="auto"/>
          <w:sz w:val="24"/>
          <w:szCs w:val="24"/>
          <w:u w:val="none"/>
          <w:lang w:val="en-US" w:eastAsia="zh-CN"/>
        </w:rPr>
        <w:t>COD量为0.74</w:t>
      </w:r>
      <w:r>
        <w:rPr>
          <w:rFonts w:hint="eastAsia"/>
          <w:color w:val="auto"/>
          <w:sz w:val="24"/>
          <w:szCs w:val="24"/>
          <w:u w:val="none"/>
        </w:rPr>
        <w:t>t/a</w:t>
      </w:r>
      <w:r>
        <w:rPr>
          <w:rFonts w:hint="eastAsia"/>
          <w:color w:val="auto"/>
          <w:sz w:val="24"/>
          <w:szCs w:val="24"/>
          <w:u w:val="none"/>
          <w:lang w:val="en-US" w:eastAsia="zh-CN"/>
        </w:rPr>
        <w:t>，醋酸甲酯和碳酸二甲酯按1:1.54估算，COD量为4.24</w:t>
      </w:r>
      <w:r>
        <w:rPr>
          <w:rFonts w:hint="eastAsia"/>
          <w:color w:val="auto"/>
          <w:sz w:val="24"/>
          <w:szCs w:val="24"/>
          <w:u w:val="none"/>
        </w:rPr>
        <w:t>t/a</w:t>
      </w:r>
      <w:r>
        <w:rPr>
          <w:rFonts w:hint="eastAsia"/>
          <w:color w:val="auto"/>
          <w:sz w:val="24"/>
          <w:szCs w:val="24"/>
          <w:u w:val="none"/>
          <w:lang w:val="en-US" w:eastAsia="zh-CN"/>
        </w:rPr>
        <w:t>。</w:t>
      </w:r>
      <w:r>
        <w:rPr>
          <w:rFonts w:hint="eastAsia"/>
          <w:color w:val="auto"/>
          <w:sz w:val="24"/>
          <w:szCs w:val="24"/>
          <w:u w:val="none"/>
        </w:rPr>
        <w:t>则</w:t>
      </w:r>
      <w:r>
        <w:rPr>
          <w:rFonts w:hint="eastAsia"/>
          <w:color w:val="auto"/>
          <w:sz w:val="24"/>
          <w:szCs w:val="24"/>
          <w:u w:val="none"/>
          <w:lang w:val="en-US" w:eastAsia="zh-CN"/>
        </w:rPr>
        <w:t>单次清洗废水</w:t>
      </w:r>
      <w:r>
        <w:rPr>
          <w:rFonts w:hint="eastAsia"/>
          <w:color w:val="auto"/>
          <w:sz w:val="24"/>
          <w:szCs w:val="24"/>
          <w:u w:val="none"/>
        </w:rPr>
        <w:t>中COD总量为</w:t>
      </w:r>
      <w:r>
        <w:rPr>
          <w:rFonts w:hint="eastAsia"/>
          <w:color w:val="auto"/>
          <w:sz w:val="24"/>
          <w:szCs w:val="24"/>
          <w:u w:val="none"/>
          <w:lang w:val="en-US" w:eastAsia="zh-CN"/>
        </w:rPr>
        <w:t>4.98</w:t>
      </w:r>
      <w:r>
        <w:rPr>
          <w:rFonts w:hint="eastAsia"/>
          <w:color w:val="auto"/>
          <w:sz w:val="24"/>
          <w:szCs w:val="24"/>
          <w:u w:val="none"/>
        </w:rPr>
        <w:t>t/a，</w:t>
      </w:r>
      <w:r>
        <w:rPr>
          <w:rFonts w:hint="eastAsia"/>
          <w:color w:val="auto"/>
          <w:sz w:val="24"/>
          <w:szCs w:val="24"/>
          <w:u w:val="none"/>
          <w:lang w:val="en-US" w:eastAsia="zh-CN"/>
        </w:rPr>
        <w:t>单次清洗废水量为90m</w:t>
      </w:r>
      <w:r>
        <w:rPr>
          <w:rFonts w:hint="eastAsia"/>
          <w:color w:val="auto"/>
          <w:sz w:val="24"/>
          <w:szCs w:val="24"/>
          <w:u w:val="none"/>
          <w:vertAlign w:val="superscript"/>
          <w:lang w:val="en-US" w:eastAsia="zh-CN"/>
        </w:rPr>
        <w:t>3</w:t>
      </w:r>
      <w:r>
        <w:rPr>
          <w:rFonts w:hint="eastAsia"/>
          <w:color w:val="auto"/>
          <w:sz w:val="24"/>
          <w:szCs w:val="24"/>
          <w:u w:val="none"/>
          <w:vertAlign w:val="baseline"/>
          <w:lang w:val="en-US" w:eastAsia="zh-CN"/>
        </w:rPr>
        <w:t>，</w:t>
      </w:r>
      <w:r>
        <w:rPr>
          <w:rFonts w:hint="eastAsia"/>
          <w:color w:val="auto"/>
          <w:sz w:val="24"/>
          <w:szCs w:val="24"/>
          <w:u w:val="none"/>
          <w:lang w:val="en-US" w:eastAsia="zh-CN"/>
        </w:rPr>
        <w:t>废水中COD浓度约为55333mg/L。</w:t>
      </w:r>
    </w:p>
    <w:p>
      <w:pPr>
        <w:pStyle w:val="33"/>
        <w:bidi w:val="0"/>
        <w:rPr>
          <w:color w:val="auto"/>
          <w:u w:val="single"/>
        </w:rPr>
      </w:pPr>
      <w:r>
        <w:rPr>
          <w:color w:val="auto"/>
          <w:u w:val="single"/>
        </w:rPr>
        <w:t>本项目废水产生情况见表</w:t>
      </w:r>
      <w:r>
        <w:rPr>
          <w:rFonts w:hint="eastAsia"/>
          <w:color w:val="auto"/>
          <w:u w:val="single"/>
        </w:rPr>
        <w:t>5</w:t>
      </w:r>
      <w:r>
        <w:rPr>
          <w:rFonts w:hint="eastAsia"/>
          <w:color w:val="auto"/>
          <w:u w:val="single"/>
          <w:lang w:val="en-US" w:eastAsia="zh-CN"/>
        </w:rPr>
        <w:t>.4-3</w:t>
      </w:r>
      <w:r>
        <w:rPr>
          <w:color w:val="auto"/>
          <w:u w:val="single"/>
        </w:rPr>
        <w:t>。</w:t>
      </w:r>
    </w:p>
    <w:p>
      <w:pPr>
        <w:pStyle w:val="9"/>
        <w:spacing w:line="360" w:lineRule="auto"/>
        <w:rPr>
          <w:color w:val="auto"/>
          <w:szCs w:val="24"/>
          <w:u w:val="single"/>
        </w:rPr>
      </w:pPr>
      <w:r>
        <w:rPr>
          <w:color w:val="auto"/>
          <w:szCs w:val="24"/>
          <w:u w:val="single"/>
        </w:rPr>
        <w:t>表</w:t>
      </w:r>
      <w:r>
        <w:rPr>
          <w:rFonts w:hint="eastAsia"/>
          <w:color w:val="auto"/>
          <w:szCs w:val="24"/>
          <w:u w:val="single"/>
        </w:rPr>
        <w:t>5</w:t>
      </w:r>
      <w:r>
        <w:rPr>
          <w:rFonts w:hint="eastAsia"/>
          <w:color w:val="auto"/>
          <w:szCs w:val="24"/>
          <w:u w:val="single"/>
          <w:lang w:val="en-US" w:eastAsia="zh-CN"/>
        </w:rPr>
        <w:t>.4-3</w:t>
      </w:r>
      <w:r>
        <w:rPr>
          <w:color w:val="auto"/>
          <w:szCs w:val="24"/>
          <w:u w:val="single"/>
        </w:rPr>
        <w:t xml:space="preserve">  废水产生情况汇总表</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374"/>
        <w:gridCol w:w="1275"/>
        <w:gridCol w:w="1779"/>
        <w:gridCol w:w="1777"/>
        <w:gridCol w:w="16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6" w:hRule="atLeast"/>
          <w:jc w:val="center"/>
        </w:trPr>
        <w:tc>
          <w:tcPr>
            <w:tcW w:w="616" w:type="pct"/>
            <w:vMerge w:val="restart"/>
            <w:tcBorders>
              <w:tl2br w:val="nil"/>
              <w:tr2bl w:val="nil"/>
            </w:tcBorders>
            <w:noWrap w:val="0"/>
            <w:vAlign w:val="center"/>
          </w:tcPr>
          <w:p>
            <w:pPr>
              <w:pStyle w:val="35"/>
              <w:bidi w:val="0"/>
              <w:jc w:val="center"/>
              <w:rPr>
                <w:b/>
                <w:bCs/>
                <w:color w:val="auto"/>
                <w:u w:val="single"/>
              </w:rPr>
            </w:pPr>
            <w:r>
              <w:rPr>
                <w:b/>
                <w:bCs/>
                <w:color w:val="auto"/>
                <w:u w:val="single"/>
              </w:rPr>
              <w:t>污染源</w:t>
            </w:r>
          </w:p>
        </w:tc>
        <w:tc>
          <w:tcPr>
            <w:tcW w:w="763" w:type="pct"/>
            <w:vMerge w:val="restart"/>
            <w:tcBorders>
              <w:tl2br w:val="nil"/>
              <w:tr2bl w:val="nil"/>
            </w:tcBorders>
            <w:noWrap w:val="0"/>
            <w:vAlign w:val="center"/>
          </w:tcPr>
          <w:p>
            <w:pPr>
              <w:pStyle w:val="35"/>
              <w:bidi w:val="0"/>
              <w:jc w:val="center"/>
              <w:rPr>
                <w:b/>
                <w:bCs/>
                <w:color w:val="auto"/>
                <w:u w:val="single"/>
              </w:rPr>
            </w:pPr>
            <w:r>
              <w:rPr>
                <w:b/>
                <w:bCs/>
                <w:color w:val="auto"/>
                <w:u w:val="single"/>
              </w:rPr>
              <w:t>废水产生量</w:t>
            </w:r>
          </w:p>
        </w:tc>
        <w:tc>
          <w:tcPr>
            <w:tcW w:w="708" w:type="pct"/>
            <w:vMerge w:val="restart"/>
            <w:tcBorders>
              <w:tl2br w:val="nil"/>
              <w:tr2bl w:val="nil"/>
            </w:tcBorders>
            <w:noWrap w:val="0"/>
            <w:vAlign w:val="center"/>
          </w:tcPr>
          <w:p>
            <w:pPr>
              <w:pStyle w:val="35"/>
              <w:bidi w:val="0"/>
              <w:jc w:val="center"/>
              <w:rPr>
                <w:b/>
                <w:bCs/>
                <w:color w:val="auto"/>
                <w:u w:val="single"/>
              </w:rPr>
            </w:pPr>
            <w:r>
              <w:rPr>
                <w:b/>
                <w:bCs/>
                <w:color w:val="auto"/>
                <w:u w:val="single"/>
              </w:rPr>
              <w:t>污染物名称</w:t>
            </w:r>
          </w:p>
        </w:tc>
        <w:tc>
          <w:tcPr>
            <w:tcW w:w="1975" w:type="pct"/>
            <w:gridSpan w:val="2"/>
            <w:tcBorders>
              <w:tl2br w:val="nil"/>
              <w:tr2bl w:val="nil"/>
            </w:tcBorders>
            <w:noWrap w:val="0"/>
            <w:vAlign w:val="center"/>
          </w:tcPr>
          <w:p>
            <w:pPr>
              <w:pStyle w:val="35"/>
              <w:bidi w:val="0"/>
              <w:jc w:val="center"/>
              <w:rPr>
                <w:b/>
                <w:bCs/>
                <w:color w:val="auto"/>
                <w:u w:val="single"/>
              </w:rPr>
            </w:pPr>
            <w:r>
              <w:rPr>
                <w:b/>
                <w:bCs/>
                <w:color w:val="auto"/>
                <w:u w:val="single"/>
              </w:rPr>
              <w:t>产生情况</w:t>
            </w:r>
          </w:p>
        </w:tc>
        <w:tc>
          <w:tcPr>
            <w:tcW w:w="936" w:type="pct"/>
            <w:vMerge w:val="restart"/>
            <w:tcBorders>
              <w:tl2br w:val="nil"/>
              <w:tr2bl w:val="nil"/>
            </w:tcBorders>
            <w:noWrap w:val="0"/>
            <w:vAlign w:val="center"/>
          </w:tcPr>
          <w:p>
            <w:pPr>
              <w:pStyle w:val="35"/>
              <w:bidi w:val="0"/>
              <w:jc w:val="center"/>
              <w:rPr>
                <w:b/>
                <w:bCs/>
                <w:color w:val="auto"/>
                <w:u w:val="single"/>
              </w:rPr>
            </w:pPr>
            <w:r>
              <w:rPr>
                <w:b/>
                <w:bCs/>
                <w:color w:val="auto"/>
                <w:u w:val="single"/>
              </w:rPr>
              <w:t>处理排</w:t>
            </w:r>
          </w:p>
          <w:p>
            <w:pPr>
              <w:pStyle w:val="35"/>
              <w:bidi w:val="0"/>
              <w:jc w:val="center"/>
              <w:rPr>
                <w:b/>
                <w:bCs/>
                <w:color w:val="auto"/>
                <w:u w:val="single"/>
              </w:rPr>
            </w:pPr>
            <w:r>
              <w:rPr>
                <w:b/>
                <w:bCs/>
                <w:color w:val="auto"/>
                <w:u w:val="single"/>
              </w:rPr>
              <w:t>放方式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9" w:hRule="atLeast"/>
          <w:jc w:val="center"/>
        </w:trPr>
        <w:tc>
          <w:tcPr>
            <w:tcW w:w="616" w:type="pct"/>
            <w:vMerge w:val="continue"/>
            <w:tcBorders>
              <w:tl2br w:val="nil"/>
              <w:tr2bl w:val="nil"/>
            </w:tcBorders>
            <w:noWrap w:val="0"/>
            <w:vAlign w:val="center"/>
          </w:tcPr>
          <w:p>
            <w:pPr>
              <w:pStyle w:val="35"/>
              <w:bidi w:val="0"/>
              <w:jc w:val="center"/>
              <w:rPr>
                <w:b/>
                <w:bCs/>
                <w:color w:val="auto"/>
                <w:u w:val="single"/>
              </w:rPr>
            </w:pPr>
          </w:p>
        </w:tc>
        <w:tc>
          <w:tcPr>
            <w:tcW w:w="763" w:type="pct"/>
            <w:vMerge w:val="continue"/>
            <w:tcBorders>
              <w:tl2br w:val="nil"/>
              <w:tr2bl w:val="nil"/>
            </w:tcBorders>
            <w:noWrap w:val="0"/>
            <w:vAlign w:val="center"/>
          </w:tcPr>
          <w:p>
            <w:pPr>
              <w:pStyle w:val="35"/>
              <w:bidi w:val="0"/>
              <w:jc w:val="center"/>
              <w:rPr>
                <w:b/>
                <w:bCs/>
                <w:color w:val="auto"/>
                <w:u w:val="single"/>
              </w:rPr>
            </w:pPr>
          </w:p>
        </w:tc>
        <w:tc>
          <w:tcPr>
            <w:tcW w:w="708" w:type="pct"/>
            <w:vMerge w:val="continue"/>
            <w:tcBorders>
              <w:tl2br w:val="nil"/>
              <w:tr2bl w:val="nil"/>
            </w:tcBorders>
            <w:noWrap w:val="0"/>
            <w:vAlign w:val="center"/>
          </w:tcPr>
          <w:p>
            <w:pPr>
              <w:pStyle w:val="35"/>
              <w:bidi w:val="0"/>
              <w:jc w:val="center"/>
              <w:rPr>
                <w:b/>
                <w:bCs/>
                <w:color w:val="auto"/>
                <w:u w:val="single"/>
              </w:rPr>
            </w:pPr>
          </w:p>
        </w:tc>
        <w:tc>
          <w:tcPr>
            <w:tcW w:w="988" w:type="pct"/>
            <w:tcBorders>
              <w:tl2br w:val="nil"/>
              <w:tr2bl w:val="nil"/>
            </w:tcBorders>
            <w:noWrap w:val="0"/>
            <w:vAlign w:val="center"/>
          </w:tcPr>
          <w:p>
            <w:pPr>
              <w:pStyle w:val="35"/>
              <w:bidi w:val="0"/>
              <w:jc w:val="center"/>
              <w:rPr>
                <w:b/>
                <w:bCs/>
                <w:color w:val="auto"/>
                <w:u w:val="single"/>
              </w:rPr>
            </w:pPr>
            <w:r>
              <w:rPr>
                <w:b/>
                <w:bCs/>
                <w:color w:val="auto"/>
                <w:u w:val="single"/>
              </w:rPr>
              <w:t>浓度（mg/L）</w:t>
            </w:r>
          </w:p>
        </w:tc>
        <w:tc>
          <w:tcPr>
            <w:tcW w:w="987" w:type="pct"/>
            <w:tcBorders>
              <w:tl2br w:val="nil"/>
              <w:tr2bl w:val="nil"/>
            </w:tcBorders>
            <w:noWrap w:val="0"/>
            <w:vAlign w:val="center"/>
          </w:tcPr>
          <w:p>
            <w:pPr>
              <w:pStyle w:val="35"/>
              <w:bidi w:val="0"/>
              <w:jc w:val="center"/>
              <w:rPr>
                <w:b/>
                <w:bCs/>
                <w:color w:val="auto"/>
                <w:u w:val="single"/>
              </w:rPr>
            </w:pPr>
            <w:r>
              <w:rPr>
                <w:rFonts w:hint="eastAsia"/>
                <w:b/>
                <w:bCs/>
                <w:color w:val="auto"/>
                <w:u w:val="single"/>
              </w:rPr>
              <w:t>产生</w:t>
            </w:r>
            <w:r>
              <w:rPr>
                <w:b/>
                <w:bCs/>
                <w:color w:val="auto"/>
                <w:u w:val="single"/>
              </w:rPr>
              <w:t>量（t/a）</w:t>
            </w:r>
          </w:p>
        </w:tc>
        <w:tc>
          <w:tcPr>
            <w:tcW w:w="936" w:type="pct"/>
            <w:vMerge w:val="continue"/>
            <w:tcBorders>
              <w:tl2br w:val="nil"/>
              <w:tr2bl w:val="nil"/>
            </w:tcBorders>
            <w:noWrap w:val="0"/>
            <w:vAlign w:val="center"/>
          </w:tcPr>
          <w:p>
            <w:pPr>
              <w:pStyle w:val="35"/>
              <w:bidi w:val="0"/>
              <w:jc w:val="center"/>
              <w:rPr>
                <w:b/>
                <w:bCs/>
                <w:color w:val="auto"/>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7" w:hRule="atLeast"/>
          <w:jc w:val="center"/>
        </w:trPr>
        <w:tc>
          <w:tcPr>
            <w:tcW w:w="616" w:type="pct"/>
            <w:tcBorders>
              <w:tl2br w:val="nil"/>
              <w:tr2bl w:val="nil"/>
            </w:tcBorders>
            <w:noWrap w:val="0"/>
            <w:vAlign w:val="center"/>
          </w:tcPr>
          <w:p>
            <w:pPr>
              <w:pStyle w:val="35"/>
              <w:bidi w:val="0"/>
              <w:jc w:val="center"/>
              <w:rPr>
                <w:color w:val="auto"/>
                <w:u w:val="none"/>
              </w:rPr>
            </w:pPr>
            <w:r>
              <w:rPr>
                <w:color w:val="auto"/>
                <w:u w:val="none"/>
              </w:rPr>
              <w:t>生产</w:t>
            </w:r>
          </w:p>
          <w:p>
            <w:pPr>
              <w:pStyle w:val="35"/>
              <w:bidi w:val="0"/>
              <w:jc w:val="center"/>
              <w:rPr>
                <w:color w:val="auto"/>
                <w:u w:val="none"/>
              </w:rPr>
            </w:pPr>
            <w:r>
              <w:rPr>
                <w:color w:val="auto"/>
                <w:u w:val="none"/>
              </w:rPr>
              <w:t>废水</w:t>
            </w:r>
          </w:p>
        </w:tc>
        <w:tc>
          <w:tcPr>
            <w:tcW w:w="763" w:type="pct"/>
            <w:tcBorders>
              <w:tl2br w:val="nil"/>
              <w:tr2bl w:val="nil"/>
            </w:tcBorders>
            <w:noWrap w:val="0"/>
            <w:vAlign w:val="center"/>
          </w:tcPr>
          <w:p>
            <w:pPr>
              <w:pStyle w:val="35"/>
              <w:bidi w:val="0"/>
              <w:jc w:val="center"/>
              <w:rPr>
                <w:color w:val="auto"/>
                <w:u w:val="none"/>
              </w:rPr>
            </w:pPr>
            <w:r>
              <w:rPr>
                <w:rFonts w:hint="eastAsia"/>
                <w:color w:val="auto"/>
                <w:u w:val="none"/>
                <w:lang w:val="en-US" w:eastAsia="zh-CN"/>
              </w:rPr>
              <w:t>1294.2m</w:t>
            </w:r>
            <w:r>
              <w:rPr>
                <w:rFonts w:hint="eastAsia"/>
                <w:color w:val="auto"/>
                <w:u w:val="none"/>
                <w:vertAlign w:val="superscript"/>
                <w:lang w:val="en-US" w:eastAsia="zh-CN"/>
              </w:rPr>
              <w:t>3</w:t>
            </w:r>
            <w:r>
              <w:rPr>
                <w:color w:val="auto"/>
                <w:u w:val="none"/>
              </w:rPr>
              <w:t>/a</w:t>
            </w:r>
          </w:p>
        </w:tc>
        <w:tc>
          <w:tcPr>
            <w:tcW w:w="708" w:type="pct"/>
            <w:tcBorders>
              <w:tl2br w:val="nil"/>
              <w:tr2bl w:val="nil"/>
            </w:tcBorders>
            <w:noWrap w:val="0"/>
            <w:vAlign w:val="center"/>
          </w:tcPr>
          <w:p>
            <w:pPr>
              <w:pStyle w:val="35"/>
              <w:bidi w:val="0"/>
              <w:jc w:val="center"/>
              <w:rPr>
                <w:color w:val="auto"/>
                <w:u w:val="none"/>
              </w:rPr>
            </w:pPr>
            <w:r>
              <w:rPr>
                <w:color w:val="auto"/>
                <w:u w:val="none"/>
              </w:rPr>
              <w:t>COD</w:t>
            </w:r>
          </w:p>
        </w:tc>
        <w:tc>
          <w:tcPr>
            <w:tcW w:w="988"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color w:val="auto"/>
                <w:u w:val="none"/>
                <w:lang w:val="en-US" w:eastAsia="zh-CN"/>
              </w:rPr>
              <w:t>60547</w:t>
            </w:r>
          </w:p>
        </w:tc>
        <w:tc>
          <w:tcPr>
            <w:tcW w:w="987" w:type="pct"/>
            <w:tcBorders>
              <w:tl2br w:val="nil"/>
              <w:tr2bl w:val="nil"/>
            </w:tcBorders>
            <w:noWrap w:val="0"/>
            <w:vAlign w:val="center"/>
          </w:tcPr>
          <w:p>
            <w:pPr>
              <w:pStyle w:val="35"/>
              <w:bidi w:val="0"/>
              <w:jc w:val="center"/>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78.36</w:t>
            </w:r>
          </w:p>
        </w:tc>
        <w:tc>
          <w:tcPr>
            <w:tcW w:w="936" w:type="pct"/>
            <w:vMerge w:val="restart"/>
            <w:tcBorders>
              <w:tl2br w:val="nil"/>
              <w:tr2bl w:val="nil"/>
            </w:tcBorders>
            <w:noWrap w:val="0"/>
            <w:vAlign w:val="center"/>
          </w:tcPr>
          <w:p>
            <w:pPr>
              <w:pStyle w:val="35"/>
              <w:bidi w:val="0"/>
              <w:jc w:val="center"/>
              <w:rPr>
                <w:color w:val="auto"/>
                <w:u w:val="none"/>
              </w:rPr>
            </w:pPr>
            <w:r>
              <w:rPr>
                <w:rFonts w:hint="eastAsia"/>
                <w:color w:val="auto"/>
                <w:u w:val="none"/>
                <w:lang w:val="en-US" w:eastAsia="zh-CN"/>
              </w:rPr>
              <w:t>排入厂区污水处理站</w:t>
            </w:r>
            <w:r>
              <w:rPr>
                <w:color w:val="auto"/>
                <w:u w:val="none"/>
              </w:rPr>
              <w:t>+云溪</w:t>
            </w:r>
            <w:r>
              <w:rPr>
                <w:rFonts w:hint="eastAsia"/>
                <w:color w:val="auto"/>
                <w:u w:val="none"/>
                <w:lang w:val="en-US" w:eastAsia="zh-CN"/>
              </w:rPr>
              <w:t>区</w:t>
            </w:r>
            <w:r>
              <w:rPr>
                <w:color w:val="auto"/>
                <w:u w:val="none"/>
              </w:rPr>
              <w:t>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8" w:hRule="atLeast"/>
          <w:jc w:val="center"/>
        </w:trPr>
        <w:tc>
          <w:tcPr>
            <w:tcW w:w="616" w:type="pct"/>
            <w:vMerge w:val="restar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color w:val="auto"/>
                <w:u w:val="none"/>
                <w:lang w:val="en-US" w:eastAsia="zh-CN"/>
              </w:rPr>
              <w:t>废气喷淋废水</w:t>
            </w:r>
          </w:p>
        </w:tc>
        <w:tc>
          <w:tcPr>
            <w:tcW w:w="763" w:type="pct"/>
            <w:vMerge w:val="restart"/>
            <w:tcBorders>
              <w:tl2br w:val="nil"/>
              <w:tr2bl w:val="nil"/>
            </w:tcBorders>
            <w:noWrap w:val="0"/>
            <w:vAlign w:val="center"/>
          </w:tcPr>
          <w:p>
            <w:pPr>
              <w:pStyle w:val="35"/>
              <w:bidi w:val="0"/>
              <w:jc w:val="center"/>
              <w:rPr>
                <w:rFonts w:hint="default"/>
                <w:color w:val="auto"/>
                <w:u w:val="none"/>
                <w:lang w:val="en-US" w:eastAsia="zh-CN"/>
              </w:rPr>
            </w:pPr>
            <w:r>
              <w:rPr>
                <w:rFonts w:hint="eastAsia"/>
                <w:color w:val="auto"/>
                <w:u w:val="none"/>
                <w:lang w:val="en-US" w:eastAsia="zh-CN"/>
              </w:rPr>
              <w:t>1140m</w:t>
            </w:r>
            <w:r>
              <w:rPr>
                <w:rFonts w:hint="eastAsia"/>
                <w:color w:val="auto"/>
                <w:u w:val="none"/>
                <w:vertAlign w:val="superscript"/>
                <w:lang w:val="en-US" w:eastAsia="zh-CN"/>
              </w:rPr>
              <w:t>3</w:t>
            </w:r>
            <w:r>
              <w:rPr>
                <w:color w:val="auto"/>
                <w:u w:val="none"/>
              </w:rPr>
              <w:t>/a</w:t>
            </w:r>
          </w:p>
        </w:tc>
        <w:tc>
          <w:tcPr>
            <w:tcW w:w="708"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color w:val="auto"/>
                <w:u w:val="none"/>
                <w:lang w:val="en-US" w:eastAsia="zh-CN"/>
              </w:rPr>
              <w:t>COD</w:t>
            </w:r>
          </w:p>
        </w:tc>
        <w:tc>
          <w:tcPr>
            <w:tcW w:w="988" w:type="pct"/>
            <w:tcBorders>
              <w:tl2br w:val="nil"/>
              <w:tr2bl w:val="nil"/>
            </w:tcBorders>
            <w:noWrap w:val="0"/>
            <w:vAlign w:val="center"/>
          </w:tcPr>
          <w:p>
            <w:pPr>
              <w:pStyle w:val="35"/>
              <w:bidi w:val="0"/>
              <w:jc w:val="center"/>
              <w:rPr>
                <w:rFonts w:hint="default"/>
                <w:color w:val="auto"/>
                <w:u w:val="none"/>
                <w:lang w:val="en-US" w:eastAsia="zh-CN"/>
              </w:rPr>
            </w:pPr>
            <w:r>
              <w:rPr>
                <w:rFonts w:hint="eastAsia"/>
                <w:color w:val="auto"/>
                <w:u w:val="none"/>
                <w:lang w:val="en-US" w:eastAsia="zh-CN"/>
              </w:rPr>
              <w:t>1500</w:t>
            </w:r>
          </w:p>
        </w:tc>
        <w:tc>
          <w:tcPr>
            <w:tcW w:w="987" w:type="pct"/>
            <w:tcBorders>
              <w:tl2br w:val="nil"/>
              <w:tr2bl w:val="nil"/>
            </w:tcBorders>
            <w:noWrap w:val="0"/>
            <w:vAlign w:val="center"/>
          </w:tcPr>
          <w:p>
            <w:pPr>
              <w:pStyle w:val="35"/>
              <w:bidi w:val="0"/>
              <w:jc w:val="center"/>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1.71</w:t>
            </w:r>
          </w:p>
        </w:tc>
        <w:tc>
          <w:tcPr>
            <w:tcW w:w="936" w:type="pct"/>
            <w:vMerge w:val="continue"/>
            <w:tcBorders>
              <w:tl2br w:val="nil"/>
              <w:tr2bl w:val="nil"/>
            </w:tcBorders>
            <w:noWrap w:val="0"/>
            <w:vAlign w:val="center"/>
          </w:tcPr>
          <w:p>
            <w:pPr>
              <w:pStyle w:val="35"/>
              <w:bidi w:val="0"/>
              <w:jc w:val="center"/>
              <w:rPr>
                <w:rFonts w:hint="eastAsia"/>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8" w:hRule="atLeast"/>
          <w:jc w:val="center"/>
        </w:trPr>
        <w:tc>
          <w:tcPr>
            <w:tcW w:w="616" w:type="pct"/>
            <w:vMerge w:val="continue"/>
            <w:tcBorders>
              <w:tl2br w:val="nil"/>
              <w:tr2bl w:val="nil"/>
            </w:tcBorders>
            <w:noWrap w:val="0"/>
            <w:vAlign w:val="center"/>
          </w:tcPr>
          <w:p>
            <w:pPr>
              <w:pStyle w:val="35"/>
              <w:bidi w:val="0"/>
              <w:jc w:val="center"/>
              <w:rPr>
                <w:color w:val="auto"/>
                <w:u w:val="none"/>
              </w:rPr>
            </w:pPr>
          </w:p>
        </w:tc>
        <w:tc>
          <w:tcPr>
            <w:tcW w:w="763" w:type="pct"/>
            <w:vMerge w:val="continue"/>
            <w:tcBorders>
              <w:tl2br w:val="nil"/>
              <w:tr2bl w:val="nil"/>
            </w:tcBorders>
            <w:noWrap w:val="0"/>
            <w:vAlign w:val="center"/>
          </w:tcPr>
          <w:p>
            <w:pPr>
              <w:pStyle w:val="35"/>
              <w:bidi w:val="0"/>
              <w:jc w:val="center"/>
              <w:rPr>
                <w:color w:val="auto"/>
                <w:u w:val="none"/>
              </w:rPr>
            </w:pPr>
          </w:p>
        </w:tc>
        <w:tc>
          <w:tcPr>
            <w:tcW w:w="708"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cs="Times New Roman"/>
                <w:color w:val="auto"/>
                <w:u w:val="none"/>
                <w:lang w:val="en-US" w:eastAsia="zh-CN"/>
              </w:rPr>
              <w:t>SS</w:t>
            </w:r>
          </w:p>
        </w:tc>
        <w:tc>
          <w:tcPr>
            <w:tcW w:w="988" w:type="pct"/>
            <w:tcBorders>
              <w:tl2br w:val="nil"/>
              <w:tr2bl w:val="nil"/>
            </w:tcBorders>
            <w:noWrap w:val="0"/>
            <w:vAlign w:val="center"/>
          </w:tcPr>
          <w:p>
            <w:pPr>
              <w:keepNext w:val="0"/>
              <w:keepLines w:val="0"/>
              <w:widowControl/>
              <w:suppressLineNumbers w:val="0"/>
              <w:jc w:val="center"/>
              <w:textAlignment w:val="center"/>
              <w:rPr>
                <w:rFonts w:hint="default" w:eastAsia="宋体"/>
                <w:color w:val="auto"/>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210</w:t>
            </w:r>
          </w:p>
        </w:tc>
        <w:tc>
          <w:tcPr>
            <w:tcW w:w="987"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cs="Times New Roman"/>
                <w:color w:val="auto"/>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936" w:type="pct"/>
            <w:vMerge w:val="continue"/>
            <w:tcBorders>
              <w:tl2br w:val="nil"/>
              <w:tr2bl w:val="nil"/>
            </w:tcBorders>
            <w:noWrap w:val="0"/>
            <w:vAlign w:val="center"/>
          </w:tcPr>
          <w:p>
            <w:pPr>
              <w:pStyle w:val="35"/>
              <w:bidi w:val="0"/>
              <w:jc w:val="center"/>
              <w:rPr>
                <w:color w:val="auto"/>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 w:hRule="atLeast"/>
          <w:jc w:val="center"/>
        </w:trPr>
        <w:tc>
          <w:tcPr>
            <w:tcW w:w="616"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color w:val="auto"/>
                <w:u w:val="none"/>
                <w:lang w:val="en-US" w:eastAsia="zh-CN"/>
              </w:rPr>
              <w:t>设备及储罐清洗水</w:t>
            </w:r>
          </w:p>
        </w:tc>
        <w:tc>
          <w:tcPr>
            <w:tcW w:w="763" w:type="pct"/>
            <w:tcBorders>
              <w:tl2br w:val="nil"/>
              <w:tr2bl w:val="nil"/>
            </w:tcBorders>
            <w:noWrap w:val="0"/>
            <w:vAlign w:val="center"/>
          </w:tcPr>
          <w:p>
            <w:pPr>
              <w:pStyle w:val="35"/>
              <w:bidi w:val="0"/>
              <w:jc w:val="center"/>
              <w:rPr>
                <w:rFonts w:hint="eastAsia"/>
                <w:color w:val="auto"/>
                <w:u w:val="none"/>
                <w:lang w:val="en-US" w:eastAsia="zh-CN"/>
              </w:rPr>
            </w:pPr>
            <w:r>
              <w:rPr>
                <w:rFonts w:hint="eastAsia"/>
                <w:color w:val="auto"/>
                <w:u w:val="none"/>
                <w:lang w:val="en-US" w:eastAsia="zh-CN"/>
              </w:rPr>
              <w:t>540m</w:t>
            </w:r>
            <w:r>
              <w:rPr>
                <w:rFonts w:hint="eastAsia"/>
                <w:color w:val="auto"/>
                <w:u w:val="none"/>
                <w:vertAlign w:val="superscript"/>
                <w:lang w:val="en-US" w:eastAsia="zh-CN"/>
              </w:rPr>
              <w:t>3</w:t>
            </w:r>
            <w:r>
              <w:rPr>
                <w:color w:val="auto"/>
                <w:u w:val="none"/>
              </w:rPr>
              <w:t>/a</w:t>
            </w:r>
          </w:p>
        </w:tc>
        <w:tc>
          <w:tcPr>
            <w:tcW w:w="708" w:type="pct"/>
            <w:tcBorders>
              <w:tl2br w:val="nil"/>
              <w:tr2bl w:val="nil"/>
            </w:tcBorders>
            <w:noWrap w:val="0"/>
            <w:vAlign w:val="center"/>
          </w:tcPr>
          <w:p>
            <w:pPr>
              <w:pStyle w:val="35"/>
              <w:bidi w:val="0"/>
              <w:ind w:firstLine="0" w:firstLineChars="0"/>
              <w:jc w:val="center"/>
              <w:rPr>
                <w:color w:val="auto"/>
                <w:u w:val="none"/>
              </w:rPr>
            </w:pPr>
            <w:r>
              <w:rPr>
                <w:rFonts w:hint="eastAsia"/>
                <w:color w:val="auto"/>
                <w:u w:val="none"/>
                <w:lang w:val="en-US" w:eastAsia="zh-CN"/>
              </w:rPr>
              <w:t>COD</w:t>
            </w:r>
          </w:p>
        </w:tc>
        <w:tc>
          <w:tcPr>
            <w:tcW w:w="988" w:type="pct"/>
            <w:tcBorders>
              <w:tl2br w:val="nil"/>
              <w:tr2bl w:val="nil"/>
            </w:tcBorders>
            <w:noWrap w:val="0"/>
            <w:vAlign w:val="center"/>
          </w:tcPr>
          <w:p>
            <w:pPr>
              <w:pStyle w:val="35"/>
              <w:bidi w:val="0"/>
              <w:jc w:val="center"/>
              <w:rPr>
                <w:rFonts w:hint="default"/>
                <w:color w:val="auto"/>
                <w:u w:val="none"/>
                <w:lang w:val="en-US" w:eastAsia="zh-CN"/>
              </w:rPr>
            </w:pPr>
            <w:r>
              <w:rPr>
                <w:rFonts w:hint="eastAsia"/>
                <w:color w:val="auto"/>
                <w:u w:val="none"/>
                <w:lang w:val="en-US" w:eastAsia="zh-CN"/>
              </w:rPr>
              <w:t>55333</w:t>
            </w:r>
          </w:p>
        </w:tc>
        <w:tc>
          <w:tcPr>
            <w:tcW w:w="987" w:type="pct"/>
            <w:tcBorders>
              <w:tl2br w:val="nil"/>
              <w:tr2bl w:val="nil"/>
            </w:tcBorders>
            <w:noWrap w:val="0"/>
            <w:vAlign w:val="center"/>
          </w:tcPr>
          <w:p>
            <w:pPr>
              <w:pStyle w:val="35"/>
              <w:bidi w:val="0"/>
              <w:jc w:val="center"/>
              <w:rPr>
                <w:rFonts w:hint="default" w:ascii="Times New Roman" w:hAnsi="Times New Roman" w:cs="Times New Roman"/>
                <w:color w:val="auto"/>
                <w:u w:val="none"/>
                <w:lang w:val="en-US" w:eastAsia="zh-CN"/>
              </w:rPr>
            </w:pPr>
            <w:r>
              <w:rPr>
                <w:rFonts w:hint="eastAsia" w:cs="Times New Roman"/>
                <w:color w:val="auto"/>
                <w:u w:val="none"/>
                <w:lang w:val="en-US" w:eastAsia="zh-CN"/>
              </w:rPr>
              <w:t>4.98</w:t>
            </w:r>
          </w:p>
        </w:tc>
        <w:tc>
          <w:tcPr>
            <w:tcW w:w="936" w:type="pct"/>
            <w:vMerge w:val="continue"/>
            <w:tcBorders>
              <w:tl2br w:val="nil"/>
              <w:tr2bl w:val="nil"/>
            </w:tcBorders>
            <w:noWrap w:val="0"/>
            <w:vAlign w:val="center"/>
          </w:tcPr>
          <w:p>
            <w:pPr>
              <w:pStyle w:val="35"/>
              <w:bidi w:val="0"/>
              <w:jc w:val="center"/>
              <w:rPr>
                <w:rFonts w:hint="eastAsia"/>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7" w:hRule="atLeast"/>
          <w:jc w:val="center"/>
        </w:trPr>
        <w:tc>
          <w:tcPr>
            <w:tcW w:w="616" w:type="pct"/>
            <w:tcBorders>
              <w:tl2br w:val="nil"/>
              <w:tr2bl w:val="nil"/>
            </w:tcBorders>
            <w:noWrap w:val="0"/>
            <w:vAlign w:val="center"/>
          </w:tcPr>
          <w:p>
            <w:pPr>
              <w:pStyle w:val="35"/>
              <w:bidi w:val="0"/>
              <w:jc w:val="center"/>
              <w:rPr>
                <w:rFonts w:hint="default" w:eastAsia="宋体"/>
                <w:color w:val="auto"/>
                <w:u w:val="none"/>
                <w:lang w:val="en-US" w:eastAsia="zh-CN"/>
              </w:rPr>
            </w:pPr>
            <w:r>
              <w:rPr>
                <w:rFonts w:hint="eastAsia"/>
                <w:color w:val="auto"/>
                <w:u w:val="none"/>
                <w:lang w:val="en-US" w:eastAsia="zh-CN"/>
              </w:rPr>
              <w:t>树脂冲洗废水</w:t>
            </w:r>
          </w:p>
        </w:tc>
        <w:tc>
          <w:tcPr>
            <w:tcW w:w="763" w:type="pct"/>
            <w:tcBorders>
              <w:tl2br w:val="nil"/>
              <w:tr2bl w:val="nil"/>
            </w:tcBorders>
            <w:noWrap w:val="0"/>
            <w:vAlign w:val="center"/>
          </w:tcPr>
          <w:p>
            <w:pPr>
              <w:pStyle w:val="35"/>
              <w:bidi w:val="0"/>
              <w:jc w:val="center"/>
              <w:rPr>
                <w:rFonts w:hint="default"/>
                <w:color w:val="auto"/>
                <w:u w:val="none"/>
                <w:lang w:val="en-US" w:eastAsia="zh-CN"/>
              </w:rPr>
            </w:pPr>
            <w:r>
              <w:rPr>
                <w:rFonts w:hint="eastAsia"/>
                <w:color w:val="auto"/>
                <w:u w:val="none"/>
                <w:lang w:val="en-US" w:eastAsia="zh-CN"/>
              </w:rPr>
              <w:t>258.5m</w:t>
            </w:r>
            <w:r>
              <w:rPr>
                <w:rFonts w:hint="eastAsia"/>
                <w:color w:val="auto"/>
                <w:u w:val="none"/>
                <w:vertAlign w:val="superscript"/>
                <w:lang w:val="en-US" w:eastAsia="zh-CN"/>
              </w:rPr>
              <w:t>3</w:t>
            </w:r>
            <w:r>
              <w:rPr>
                <w:color w:val="auto"/>
                <w:u w:val="none"/>
              </w:rPr>
              <w:t>/a</w:t>
            </w:r>
          </w:p>
        </w:tc>
        <w:tc>
          <w:tcPr>
            <w:tcW w:w="708" w:type="pct"/>
            <w:tcBorders>
              <w:tl2br w:val="nil"/>
              <w:tr2bl w:val="nil"/>
            </w:tcBorders>
            <w:noWrap w:val="0"/>
            <w:vAlign w:val="center"/>
          </w:tcPr>
          <w:p>
            <w:pPr>
              <w:pStyle w:val="35"/>
              <w:bidi w:val="0"/>
              <w:jc w:val="center"/>
              <w:rPr>
                <w:rFonts w:hint="default"/>
                <w:color w:val="auto"/>
                <w:u w:val="none"/>
                <w:lang w:val="en-US" w:eastAsia="zh-CN"/>
              </w:rPr>
            </w:pPr>
            <w:r>
              <w:rPr>
                <w:rFonts w:hint="eastAsia"/>
                <w:color w:val="auto"/>
                <w:u w:val="none"/>
                <w:lang w:val="en-US" w:eastAsia="zh-CN"/>
              </w:rPr>
              <w:t>乙</w:t>
            </w:r>
            <w:r>
              <w:rPr>
                <w:rFonts w:hint="eastAsia" w:eastAsia="宋体"/>
                <w:color w:val="auto"/>
                <w:u w:val="none"/>
                <w:lang w:val="en-US" w:eastAsia="zh-CN"/>
              </w:rPr>
              <w:t>醛酸</w:t>
            </w:r>
          </w:p>
        </w:tc>
        <w:tc>
          <w:tcPr>
            <w:tcW w:w="1975" w:type="pct"/>
            <w:gridSpan w:val="2"/>
            <w:tcBorders>
              <w:tl2br w:val="nil"/>
              <w:tr2bl w:val="nil"/>
            </w:tcBorders>
            <w:noWrap w:val="0"/>
            <w:vAlign w:val="center"/>
          </w:tcPr>
          <w:p>
            <w:pPr>
              <w:pStyle w:val="35"/>
              <w:bidi w:val="0"/>
              <w:jc w:val="center"/>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258.5m</w:t>
            </w:r>
            <w:r>
              <w:rPr>
                <w:rFonts w:hint="eastAsia" w:ascii="Times New Roman" w:hAnsi="Times New Roman" w:cs="Times New Roman"/>
                <w:color w:val="auto"/>
                <w:u w:val="none"/>
                <w:vertAlign w:val="superscript"/>
                <w:lang w:val="en-US" w:eastAsia="zh-CN"/>
              </w:rPr>
              <w:t>3</w:t>
            </w:r>
            <w:r>
              <w:rPr>
                <w:rFonts w:hint="eastAsia" w:ascii="Times New Roman" w:hAnsi="Times New Roman" w:cs="Times New Roman"/>
                <w:color w:val="auto"/>
                <w:u w:val="none"/>
                <w:lang w:val="en-US" w:eastAsia="zh-CN"/>
              </w:rPr>
              <w:t>/a</w:t>
            </w:r>
          </w:p>
        </w:tc>
        <w:tc>
          <w:tcPr>
            <w:tcW w:w="936" w:type="pct"/>
            <w:vMerge w:val="continue"/>
            <w:tcBorders>
              <w:tl2br w:val="nil"/>
              <w:tr2bl w:val="nil"/>
            </w:tcBorders>
            <w:noWrap w:val="0"/>
            <w:vAlign w:val="center"/>
          </w:tcPr>
          <w:p>
            <w:pPr>
              <w:pStyle w:val="35"/>
              <w:bidi w:val="0"/>
              <w:jc w:val="center"/>
              <w:rPr>
                <w:rFonts w:hint="eastAsia"/>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616" w:type="pct"/>
            <w:vMerge w:val="restart"/>
            <w:tcBorders>
              <w:tl2br w:val="nil"/>
              <w:tr2bl w:val="nil"/>
            </w:tcBorders>
            <w:noWrap w:val="0"/>
            <w:vAlign w:val="center"/>
          </w:tcPr>
          <w:p>
            <w:pPr>
              <w:pStyle w:val="35"/>
              <w:bidi w:val="0"/>
              <w:jc w:val="center"/>
              <w:rPr>
                <w:color w:val="auto"/>
                <w:u w:val="none"/>
              </w:rPr>
            </w:pPr>
            <w:r>
              <w:rPr>
                <w:color w:val="auto"/>
                <w:u w:val="none"/>
              </w:rPr>
              <w:t>生活</w:t>
            </w:r>
          </w:p>
          <w:p>
            <w:pPr>
              <w:pStyle w:val="35"/>
              <w:bidi w:val="0"/>
              <w:jc w:val="center"/>
              <w:rPr>
                <w:color w:val="auto"/>
                <w:u w:val="none"/>
              </w:rPr>
            </w:pPr>
            <w:r>
              <w:rPr>
                <w:color w:val="auto"/>
                <w:u w:val="none"/>
              </w:rPr>
              <w:t>污水</w:t>
            </w:r>
          </w:p>
        </w:tc>
        <w:tc>
          <w:tcPr>
            <w:tcW w:w="763" w:type="pct"/>
            <w:vMerge w:val="restart"/>
            <w:tcBorders>
              <w:tl2br w:val="nil"/>
              <w:tr2bl w:val="nil"/>
            </w:tcBorders>
            <w:noWrap w:val="0"/>
            <w:vAlign w:val="center"/>
          </w:tcPr>
          <w:p>
            <w:pPr>
              <w:pStyle w:val="35"/>
              <w:bidi w:val="0"/>
              <w:jc w:val="center"/>
              <w:rPr>
                <w:color w:val="auto"/>
                <w:u w:val="none"/>
              </w:rPr>
            </w:pPr>
            <w:r>
              <w:rPr>
                <w:rFonts w:hint="eastAsia"/>
                <w:color w:val="auto"/>
                <w:u w:val="none"/>
                <w:lang w:val="en-US" w:eastAsia="zh-CN"/>
              </w:rPr>
              <w:t>475.2m</w:t>
            </w:r>
            <w:r>
              <w:rPr>
                <w:rFonts w:hint="eastAsia"/>
                <w:color w:val="auto"/>
                <w:u w:val="none"/>
                <w:vertAlign w:val="superscript"/>
                <w:lang w:val="en-US" w:eastAsia="zh-CN"/>
              </w:rPr>
              <w:t>3</w:t>
            </w:r>
            <w:r>
              <w:rPr>
                <w:color w:val="auto"/>
                <w:u w:val="none"/>
              </w:rPr>
              <w:t>/a</w:t>
            </w:r>
          </w:p>
        </w:tc>
        <w:tc>
          <w:tcPr>
            <w:tcW w:w="708" w:type="pct"/>
            <w:tcBorders>
              <w:tl2br w:val="nil"/>
              <w:tr2bl w:val="nil"/>
            </w:tcBorders>
            <w:noWrap w:val="0"/>
            <w:vAlign w:val="center"/>
          </w:tcPr>
          <w:p>
            <w:pPr>
              <w:pStyle w:val="35"/>
              <w:bidi w:val="0"/>
              <w:jc w:val="center"/>
              <w:rPr>
                <w:color w:val="auto"/>
                <w:u w:val="none"/>
              </w:rPr>
            </w:pPr>
            <w:r>
              <w:rPr>
                <w:color w:val="auto"/>
                <w:u w:val="none"/>
              </w:rPr>
              <w:t>COD</w:t>
            </w:r>
          </w:p>
        </w:tc>
        <w:tc>
          <w:tcPr>
            <w:tcW w:w="988" w:type="pct"/>
            <w:tcBorders>
              <w:tl2br w:val="nil"/>
              <w:tr2bl w:val="nil"/>
            </w:tcBorders>
            <w:noWrap w:val="0"/>
            <w:vAlign w:val="center"/>
          </w:tcPr>
          <w:p>
            <w:pPr>
              <w:pStyle w:val="35"/>
              <w:bidi w:val="0"/>
              <w:jc w:val="center"/>
              <w:rPr>
                <w:color w:val="auto"/>
                <w:u w:val="none"/>
              </w:rPr>
            </w:pPr>
            <w:r>
              <w:rPr>
                <w:color w:val="auto"/>
                <w:u w:val="none"/>
              </w:rPr>
              <w:t>300</w:t>
            </w:r>
          </w:p>
        </w:tc>
        <w:tc>
          <w:tcPr>
            <w:tcW w:w="987" w:type="pct"/>
            <w:tcBorders>
              <w:tl2br w:val="nil"/>
              <w:tr2bl w:val="nil"/>
            </w:tcBorders>
            <w:noWrap w:val="0"/>
            <w:vAlign w:val="center"/>
          </w:tcPr>
          <w:p>
            <w:pPr>
              <w:pStyle w:val="35"/>
              <w:bidi w:val="0"/>
              <w:jc w:val="center"/>
              <w:rPr>
                <w:rFonts w:hint="eastAsia"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0.142</w:t>
            </w:r>
          </w:p>
        </w:tc>
        <w:tc>
          <w:tcPr>
            <w:tcW w:w="936" w:type="pct"/>
            <w:vMerge w:val="restart"/>
            <w:tcBorders>
              <w:tl2br w:val="nil"/>
              <w:tr2bl w:val="nil"/>
            </w:tcBorders>
            <w:noWrap w:val="0"/>
            <w:vAlign w:val="center"/>
          </w:tcPr>
          <w:p>
            <w:pPr>
              <w:pStyle w:val="35"/>
              <w:bidi w:val="0"/>
              <w:jc w:val="center"/>
              <w:rPr>
                <w:color w:val="auto"/>
                <w:u w:val="none"/>
              </w:rPr>
            </w:pPr>
            <w:r>
              <w:rPr>
                <w:color w:val="auto"/>
                <w:u w:val="none"/>
              </w:rPr>
              <w:t>化粪池处理装置处理+云溪污水处理厂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616" w:type="pct"/>
            <w:vMerge w:val="continue"/>
            <w:tcBorders>
              <w:tl2br w:val="nil"/>
              <w:tr2bl w:val="nil"/>
            </w:tcBorders>
            <w:noWrap w:val="0"/>
            <w:vAlign w:val="center"/>
          </w:tcPr>
          <w:p>
            <w:pPr>
              <w:pStyle w:val="35"/>
              <w:bidi w:val="0"/>
              <w:jc w:val="center"/>
              <w:rPr>
                <w:color w:val="auto"/>
                <w:u w:val="none"/>
              </w:rPr>
            </w:pPr>
          </w:p>
        </w:tc>
        <w:tc>
          <w:tcPr>
            <w:tcW w:w="763" w:type="pct"/>
            <w:vMerge w:val="continue"/>
            <w:tcBorders>
              <w:tl2br w:val="nil"/>
              <w:tr2bl w:val="nil"/>
            </w:tcBorders>
            <w:noWrap w:val="0"/>
            <w:vAlign w:val="center"/>
          </w:tcPr>
          <w:p>
            <w:pPr>
              <w:pStyle w:val="35"/>
              <w:bidi w:val="0"/>
              <w:jc w:val="center"/>
              <w:rPr>
                <w:color w:val="auto"/>
                <w:u w:val="none"/>
              </w:rPr>
            </w:pPr>
          </w:p>
        </w:tc>
        <w:tc>
          <w:tcPr>
            <w:tcW w:w="708" w:type="pct"/>
            <w:tcBorders>
              <w:tl2br w:val="nil"/>
              <w:tr2bl w:val="nil"/>
            </w:tcBorders>
            <w:noWrap w:val="0"/>
            <w:vAlign w:val="center"/>
          </w:tcPr>
          <w:p>
            <w:pPr>
              <w:pStyle w:val="35"/>
              <w:bidi w:val="0"/>
              <w:jc w:val="center"/>
              <w:rPr>
                <w:color w:val="auto"/>
                <w:u w:val="none"/>
              </w:rPr>
            </w:pPr>
            <w:r>
              <w:rPr>
                <w:color w:val="auto"/>
                <w:u w:val="none"/>
              </w:rPr>
              <w:t>SS</w:t>
            </w:r>
          </w:p>
        </w:tc>
        <w:tc>
          <w:tcPr>
            <w:tcW w:w="988" w:type="pct"/>
            <w:tcBorders>
              <w:tl2br w:val="nil"/>
              <w:tr2bl w:val="nil"/>
            </w:tcBorders>
            <w:noWrap w:val="0"/>
            <w:vAlign w:val="center"/>
          </w:tcPr>
          <w:p>
            <w:pPr>
              <w:pStyle w:val="35"/>
              <w:bidi w:val="0"/>
              <w:jc w:val="center"/>
              <w:rPr>
                <w:color w:val="auto"/>
                <w:u w:val="none"/>
              </w:rPr>
            </w:pPr>
            <w:r>
              <w:rPr>
                <w:color w:val="auto"/>
                <w:u w:val="none"/>
              </w:rPr>
              <w:t>200</w:t>
            </w:r>
          </w:p>
        </w:tc>
        <w:tc>
          <w:tcPr>
            <w:tcW w:w="987" w:type="pct"/>
            <w:tcBorders>
              <w:tl2br w:val="nil"/>
              <w:tr2bl w:val="nil"/>
            </w:tcBorders>
            <w:noWrap w:val="0"/>
            <w:vAlign w:val="center"/>
          </w:tcPr>
          <w:p>
            <w:pPr>
              <w:pStyle w:val="35"/>
              <w:bidi w:val="0"/>
              <w:jc w:val="center"/>
              <w:rPr>
                <w:rFonts w:hint="eastAsia"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0.095</w:t>
            </w:r>
          </w:p>
        </w:tc>
        <w:tc>
          <w:tcPr>
            <w:tcW w:w="936" w:type="pct"/>
            <w:vMerge w:val="continue"/>
            <w:tcBorders>
              <w:tl2br w:val="nil"/>
              <w:tr2bl w:val="nil"/>
            </w:tcBorders>
            <w:noWrap w:val="0"/>
            <w:vAlign w:val="center"/>
          </w:tcPr>
          <w:p>
            <w:pPr>
              <w:pStyle w:val="35"/>
              <w:bidi w:val="0"/>
              <w:jc w:val="center"/>
              <w:rPr>
                <w:color w:val="auto"/>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616" w:type="pct"/>
            <w:vMerge w:val="continue"/>
            <w:tcBorders>
              <w:tl2br w:val="nil"/>
              <w:tr2bl w:val="nil"/>
            </w:tcBorders>
            <w:noWrap w:val="0"/>
            <w:vAlign w:val="center"/>
          </w:tcPr>
          <w:p>
            <w:pPr>
              <w:pStyle w:val="35"/>
              <w:bidi w:val="0"/>
              <w:jc w:val="center"/>
              <w:rPr>
                <w:color w:val="auto"/>
                <w:u w:val="none"/>
              </w:rPr>
            </w:pPr>
          </w:p>
        </w:tc>
        <w:tc>
          <w:tcPr>
            <w:tcW w:w="763" w:type="pct"/>
            <w:vMerge w:val="continue"/>
            <w:tcBorders>
              <w:tl2br w:val="nil"/>
              <w:tr2bl w:val="nil"/>
            </w:tcBorders>
            <w:noWrap w:val="0"/>
            <w:vAlign w:val="center"/>
          </w:tcPr>
          <w:p>
            <w:pPr>
              <w:pStyle w:val="35"/>
              <w:bidi w:val="0"/>
              <w:jc w:val="center"/>
              <w:rPr>
                <w:color w:val="auto"/>
                <w:u w:val="none"/>
              </w:rPr>
            </w:pPr>
          </w:p>
        </w:tc>
        <w:tc>
          <w:tcPr>
            <w:tcW w:w="708" w:type="pct"/>
            <w:tcBorders>
              <w:tl2br w:val="nil"/>
              <w:tr2bl w:val="nil"/>
            </w:tcBorders>
            <w:noWrap w:val="0"/>
            <w:vAlign w:val="center"/>
          </w:tcPr>
          <w:p>
            <w:pPr>
              <w:pStyle w:val="35"/>
              <w:bidi w:val="0"/>
              <w:jc w:val="center"/>
              <w:rPr>
                <w:color w:val="auto"/>
                <w:u w:val="none"/>
              </w:rPr>
            </w:pPr>
            <w:r>
              <w:rPr>
                <w:color w:val="auto"/>
                <w:u w:val="none"/>
              </w:rPr>
              <w:t>NH</w:t>
            </w:r>
            <w:r>
              <w:rPr>
                <w:color w:val="auto"/>
                <w:u w:val="none"/>
                <w:vertAlign w:val="subscript"/>
              </w:rPr>
              <w:t>3</w:t>
            </w:r>
            <w:r>
              <w:rPr>
                <w:color w:val="auto"/>
                <w:u w:val="none"/>
              </w:rPr>
              <w:t>-N</w:t>
            </w:r>
          </w:p>
        </w:tc>
        <w:tc>
          <w:tcPr>
            <w:tcW w:w="988" w:type="pct"/>
            <w:tcBorders>
              <w:tl2br w:val="nil"/>
              <w:tr2bl w:val="nil"/>
            </w:tcBorders>
            <w:noWrap w:val="0"/>
            <w:vAlign w:val="center"/>
          </w:tcPr>
          <w:p>
            <w:pPr>
              <w:pStyle w:val="35"/>
              <w:bidi w:val="0"/>
              <w:jc w:val="center"/>
              <w:rPr>
                <w:color w:val="auto"/>
                <w:u w:val="none"/>
              </w:rPr>
            </w:pPr>
            <w:r>
              <w:rPr>
                <w:color w:val="auto"/>
                <w:u w:val="none"/>
              </w:rPr>
              <w:t>30</w:t>
            </w:r>
          </w:p>
        </w:tc>
        <w:tc>
          <w:tcPr>
            <w:tcW w:w="987" w:type="pct"/>
            <w:tcBorders>
              <w:tl2br w:val="nil"/>
              <w:tr2bl w:val="nil"/>
            </w:tcBorders>
            <w:noWrap w:val="0"/>
            <w:vAlign w:val="center"/>
          </w:tcPr>
          <w:p>
            <w:pPr>
              <w:pStyle w:val="35"/>
              <w:bidi w:val="0"/>
              <w:jc w:val="center"/>
              <w:rPr>
                <w:rFonts w:hint="eastAsia"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0.014</w:t>
            </w:r>
          </w:p>
        </w:tc>
        <w:tc>
          <w:tcPr>
            <w:tcW w:w="936" w:type="pct"/>
            <w:vMerge w:val="continue"/>
            <w:tcBorders>
              <w:tl2br w:val="nil"/>
              <w:tr2bl w:val="nil"/>
            </w:tcBorders>
            <w:noWrap w:val="0"/>
            <w:vAlign w:val="center"/>
          </w:tcPr>
          <w:p>
            <w:pPr>
              <w:pStyle w:val="35"/>
              <w:bidi w:val="0"/>
              <w:jc w:val="center"/>
              <w:rPr>
                <w:color w:val="auto"/>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616" w:type="pct"/>
            <w:vMerge w:val="continue"/>
            <w:tcBorders>
              <w:tl2br w:val="nil"/>
              <w:tr2bl w:val="nil"/>
            </w:tcBorders>
            <w:noWrap w:val="0"/>
            <w:vAlign w:val="center"/>
          </w:tcPr>
          <w:p>
            <w:pPr>
              <w:pStyle w:val="35"/>
              <w:bidi w:val="0"/>
              <w:jc w:val="center"/>
              <w:rPr>
                <w:color w:val="auto"/>
                <w:u w:val="none"/>
              </w:rPr>
            </w:pPr>
          </w:p>
        </w:tc>
        <w:tc>
          <w:tcPr>
            <w:tcW w:w="763" w:type="pct"/>
            <w:vMerge w:val="continue"/>
            <w:tcBorders>
              <w:tl2br w:val="nil"/>
              <w:tr2bl w:val="nil"/>
            </w:tcBorders>
            <w:noWrap w:val="0"/>
            <w:vAlign w:val="center"/>
          </w:tcPr>
          <w:p>
            <w:pPr>
              <w:pStyle w:val="35"/>
              <w:bidi w:val="0"/>
              <w:jc w:val="center"/>
              <w:rPr>
                <w:color w:val="auto"/>
                <w:u w:val="none"/>
              </w:rPr>
            </w:pPr>
          </w:p>
        </w:tc>
        <w:tc>
          <w:tcPr>
            <w:tcW w:w="708" w:type="pct"/>
            <w:tcBorders>
              <w:tl2br w:val="nil"/>
              <w:tr2bl w:val="nil"/>
            </w:tcBorders>
            <w:noWrap w:val="0"/>
            <w:vAlign w:val="center"/>
          </w:tcPr>
          <w:p>
            <w:pPr>
              <w:pStyle w:val="35"/>
              <w:bidi w:val="0"/>
              <w:jc w:val="center"/>
              <w:rPr>
                <w:color w:val="auto"/>
                <w:u w:val="none"/>
              </w:rPr>
            </w:pPr>
            <w:r>
              <w:rPr>
                <w:color w:val="auto"/>
                <w:u w:val="none"/>
              </w:rPr>
              <w:t>动植物油</w:t>
            </w:r>
          </w:p>
        </w:tc>
        <w:tc>
          <w:tcPr>
            <w:tcW w:w="988" w:type="pct"/>
            <w:tcBorders>
              <w:tl2br w:val="nil"/>
              <w:tr2bl w:val="nil"/>
            </w:tcBorders>
            <w:noWrap w:val="0"/>
            <w:vAlign w:val="center"/>
          </w:tcPr>
          <w:p>
            <w:pPr>
              <w:pStyle w:val="35"/>
              <w:bidi w:val="0"/>
              <w:jc w:val="center"/>
              <w:rPr>
                <w:color w:val="auto"/>
                <w:u w:val="none"/>
              </w:rPr>
            </w:pPr>
            <w:r>
              <w:rPr>
                <w:color w:val="auto"/>
                <w:u w:val="none"/>
              </w:rPr>
              <w:t>15</w:t>
            </w:r>
          </w:p>
        </w:tc>
        <w:tc>
          <w:tcPr>
            <w:tcW w:w="987" w:type="pct"/>
            <w:tcBorders>
              <w:tl2br w:val="nil"/>
              <w:tr2bl w:val="nil"/>
            </w:tcBorders>
            <w:noWrap w:val="0"/>
            <w:vAlign w:val="center"/>
          </w:tcPr>
          <w:p>
            <w:pPr>
              <w:pStyle w:val="35"/>
              <w:bidi w:val="0"/>
              <w:jc w:val="center"/>
              <w:rPr>
                <w:rFonts w:hint="eastAsia"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0.007</w:t>
            </w:r>
          </w:p>
        </w:tc>
        <w:tc>
          <w:tcPr>
            <w:tcW w:w="936" w:type="pct"/>
            <w:vMerge w:val="continue"/>
            <w:tcBorders>
              <w:tl2br w:val="nil"/>
              <w:tr2bl w:val="nil"/>
            </w:tcBorders>
            <w:noWrap w:val="0"/>
            <w:vAlign w:val="center"/>
          </w:tcPr>
          <w:p>
            <w:pPr>
              <w:pStyle w:val="35"/>
              <w:bidi w:val="0"/>
              <w:jc w:val="center"/>
              <w:rPr>
                <w:color w:val="auto"/>
                <w:u w:val="none"/>
              </w:rPr>
            </w:pPr>
          </w:p>
        </w:tc>
      </w:tr>
    </w:tbl>
    <w:p>
      <w:pPr>
        <w:pStyle w:val="9"/>
        <w:spacing w:line="360" w:lineRule="auto"/>
        <w:rPr>
          <w:rFonts w:ascii="Times New Roman" w:hAnsi="Times New Roman" w:cs="Times New Roman"/>
          <w:color w:val="auto"/>
          <w:szCs w:val="24"/>
          <w:u w:val="single"/>
        </w:rPr>
      </w:pPr>
      <w:bookmarkStart w:id="106" w:name="_Toc32073"/>
      <w:r>
        <w:rPr>
          <w:rFonts w:ascii="Times New Roman" w:hAnsi="Times New Roman" w:cs="Times New Roman"/>
          <w:color w:val="auto"/>
          <w:szCs w:val="24"/>
          <w:u w:val="single"/>
        </w:rPr>
        <w:t>表</w:t>
      </w:r>
      <w:r>
        <w:rPr>
          <w:rFonts w:hint="eastAsia" w:ascii="Times New Roman" w:hAnsi="Times New Roman" w:cs="Times New Roman"/>
          <w:color w:val="auto"/>
          <w:szCs w:val="24"/>
          <w:u w:val="single"/>
          <w:lang w:val="en-US" w:eastAsia="zh-CN"/>
        </w:rPr>
        <w:t>5.4</w:t>
      </w:r>
      <w:r>
        <w:rPr>
          <w:rFonts w:ascii="Times New Roman" w:hAnsi="Times New Roman" w:cs="Times New Roman"/>
          <w:color w:val="auto"/>
          <w:szCs w:val="24"/>
          <w:u w:val="single"/>
        </w:rPr>
        <w:t>-</w:t>
      </w:r>
      <w:r>
        <w:rPr>
          <w:rFonts w:hint="eastAsia" w:cs="Times New Roman"/>
          <w:color w:val="auto"/>
          <w:szCs w:val="24"/>
          <w:u w:val="single"/>
          <w:lang w:val="en-US" w:eastAsia="zh-CN"/>
        </w:rPr>
        <w:t>4</w:t>
      </w:r>
      <w:r>
        <w:rPr>
          <w:rFonts w:ascii="Times New Roman" w:hAnsi="Times New Roman" w:cs="Times New Roman"/>
          <w:color w:val="auto"/>
          <w:szCs w:val="24"/>
          <w:u w:val="single"/>
        </w:rPr>
        <w:t xml:space="preserve">   项目废水排污一览表</w:t>
      </w:r>
    </w:p>
    <w:tbl>
      <w:tblPr>
        <w:tblStyle w:val="27"/>
        <w:tblW w:w="4973"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3"/>
        <w:gridCol w:w="1310"/>
        <w:gridCol w:w="1176"/>
        <w:gridCol w:w="1678"/>
        <w:gridCol w:w="1301"/>
        <w:gridCol w:w="2298"/>
      </w:tblGrid>
      <w:tr>
        <w:trPr>
          <w:trHeight w:val="1136" w:hRule="atLeast"/>
        </w:trPr>
        <w:tc>
          <w:tcPr>
            <w:tcW w:w="666" w:type="pct"/>
            <w:noWrap w:val="0"/>
            <w:vAlign w:val="center"/>
          </w:tcPr>
          <w:p>
            <w:pPr>
              <w:pStyle w:val="35"/>
              <w:bidi w:val="0"/>
              <w:jc w:val="center"/>
              <w:rPr>
                <w:rFonts w:ascii="Times New Roman" w:hAnsi="Times New Roman" w:cs="Times New Roman"/>
                <w:color w:val="auto"/>
                <w:u w:val="single"/>
              </w:rPr>
            </w:pPr>
            <w:r>
              <w:rPr>
                <w:rFonts w:ascii="Times New Roman" w:hAnsi="Times New Roman" w:cs="Times New Roman"/>
                <w:color w:val="auto"/>
                <w:u w:val="single"/>
              </w:rPr>
              <w:t>处理废水类别</w:t>
            </w:r>
          </w:p>
        </w:tc>
        <w:tc>
          <w:tcPr>
            <w:tcW w:w="731" w:type="pct"/>
            <w:noWrap w:val="0"/>
            <w:vAlign w:val="center"/>
          </w:tcPr>
          <w:p>
            <w:pPr>
              <w:pStyle w:val="35"/>
              <w:bidi w:val="0"/>
              <w:jc w:val="center"/>
              <w:rPr>
                <w:rFonts w:ascii="Times New Roman" w:hAnsi="Times New Roman" w:cs="Times New Roman"/>
                <w:color w:val="auto"/>
                <w:u w:val="single"/>
              </w:rPr>
            </w:pPr>
            <w:r>
              <w:rPr>
                <w:rFonts w:ascii="Times New Roman" w:hAnsi="Times New Roman" w:cs="Times New Roman"/>
                <w:color w:val="auto"/>
                <w:u w:val="single"/>
              </w:rPr>
              <w:t>废水年排量（m</w:t>
            </w:r>
            <w:r>
              <w:rPr>
                <w:rFonts w:ascii="Times New Roman" w:hAnsi="Times New Roman" w:cs="Times New Roman"/>
                <w:color w:val="auto"/>
                <w:u w:val="single"/>
                <w:vertAlign w:val="superscript"/>
              </w:rPr>
              <w:t>3</w:t>
            </w:r>
            <w:r>
              <w:rPr>
                <w:rFonts w:ascii="Times New Roman" w:hAnsi="Times New Roman" w:cs="Times New Roman"/>
                <w:color w:val="auto"/>
                <w:u w:val="single"/>
              </w:rPr>
              <w:t>/a）</w:t>
            </w:r>
          </w:p>
        </w:tc>
        <w:tc>
          <w:tcPr>
            <w:tcW w:w="656" w:type="pct"/>
            <w:noWrap w:val="0"/>
            <w:vAlign w:val="center"/>
          </w:tcPr>
          <w:p>
            <w:pPr>
              <w:pStyle w:val="35"/>
              <w:bidi w:val="0"/>
              <w:jc w:val="center"/>
              <w:rPr>
                <w:rFonts w:ascii="Times New Roman" w:hAnsi="Times New Roman" w:cs="Times New Roman"/>
                <w:color w:val="auto"/>
                <w:u w:val="single"/>
              </w:rPr>
            </w:pPr>
            <w:r>
              <w:rPr>
                <w:rFonts w:ascii="Times New Roman" w:hAnsi="Times New Roman" w:cs="Times New Roman"/>
                <w:color w:val="auto"/>
                <w:u w:val="single"/>
              </w:rPr>
              <w:t>污染因子</w:t>
            </w:r>
          </w:p>
        </w:tc>
        <w:tc>
          <w:tcPr>
            <w:tcW w:w="936" w:type="pct"/>
            <w:noWrap w:val="0"/>
            <w:vAlign w:val="center"/>
          </w:tcPr>
          <w:p>
            <w:pPr>
              <w:pStyle w:val="35"/>
              <w:bidi w:val="0"/>
              <w:jc w:val="center"/>
              <w:rPr>
                <w:rFonts w:ascii="Times New Roman" w:hAnsi="Times New Roman" w:cs="Times New Roman"/>
                <w:color w:val="auto"/>
                <w:u w:val="single"/>
              </w:rPr>
            </w:pPr>
            <w:r>
              <w:rPr>
                <w:rFonts w:ascii="Times New Roman" w:hAnsi="Times New Roman" w:cs="Times New Roman"/>
                <w:color w:val="auto"/>
                <w:u w:val="single"/>
              </w:rPr>
              <w:t>产生浓度（mg/L）</w:t>
            </w:r>
          </w:p>
        </w:tc>
        <w:tc>
          <w:tcPr>
            <w:tcW w:w="726" w:type="pct"/>
            <w:noWrap w:val="0"/>
            <w:vAlign w:val="center"/>
          </w:tcPr>
          <w:p>
            <w:pPr>
              <w:pStyle w:val="35"/>
              <w:bidi w:val="0"/>
              <w:jc w:val="center"/>
              <w:rPr>
                <w:rFonts w:ascii="Times New Roman" w:hAnsi="Times New Roman" w:cs="Times New Roman"/>
                <w:color w:val="auto"/>
                <w:u w:val="single"/>
              </w:rPr>
            </w:pPr>
            <w:r>
              <w:rPr>
                <w:rFonts w:ascii="Times New Roman" w:hAnsi="Times New Roman" w:cs="Times New Roman"/>
                <w:color w:val="auto"/>
                <w:u w:val="single"/>
              </w:rPr>
              <w:t>产生量（t/a）</w:t>
            </w:r>
          </w:p>
        </w:tc>
        <w:tc>
          <w:tcPr>
            <w:tcW w:w="1282" w:type="pct"/>
            <w:noWrap w:val="0"/>
            <w:vAlign w:val="center"/>
          </w:tcPr>
          <w:p>
            <w:pPr>
              <w:pStyle w:val="35"/>
              <w:bidi w:val="0"/>
              <w:jc w:val="center"/>
              <w:rPr>
                <w:rFonts w:ascii="Times New Roman" w:hAnsi="Times New Roman" w:cs="Times New Roman"/>
                <w:color w:val="auto"/>
                <w:u w:val="single"/>
              </w:rPr>
            </w:pPr>
            <w:r>
              <w:rPr>
                <w:rFonts w:ascii="Times New Roman" w:hAnsi="Times New Roman" w:cs="Times New Roman"/>
                <w:color w:val="auto"/>
                <w:u w:val="single"/>
              </w:rPr>
              <w:t>治理措施</w:t>
            </w:r>
          </w:p>
        </w:tc>
      </w:tr>
      <w:tr>
        <w:trPr>
          <w:trHeight w:val="355" w:hRule="atLeast"/>
        </w:trPr>
        <w:tc>
          <w:tcPr>
            <w:tcW w:w="666" w:type="pct"/>
            <w:vMerge w:val="restart"/>
            <w:noWrap w:val="0"/>
            <w:vAlign w:val="center"/>
          </w:tcPr>
          <w:p>
            <w:pPr>
              <w:pStyle w:val="35"/>
              <w:bidi w:val="0"/>
              <w:jc w:val="center"/>
              <w:rPr>
                <w:rFonts w:ascii="Times New Roman" w:hAnsi="Times New Roman" w:cs="Times New Roman"/>
                <w:color w:val="auto"/>
                <w:u w:val="single"/>
              </w:rPr>
            </w:pPr>
            <w:r>
              <w:rPr>
                <w:rFonts w:hint="eastAsia" w:ascii="Times New Roman" w:hAnsi="Times New Roman" w:cs="Times New Roman"/>
                <w:color w:val="auto"/>
                <w:u w:val="single"/>
                <w:lang w:val="en-US" w:eastAsia="zh-CN"/>
              </w:rPr>
              <w:t>项目</w:t>
            </w:r>
            <w:r>
              <w:rPr>
                <w:rFonts w:hint="eastAsia" w:cs="Times New Roman"/>
                <w:color w:val="auto"/>
                <w:u w:val="single"/>
                <w:lang w:val="en-US" w:eastAsia="zh-CN"/>
              </w:rPr>
              <w:t>生产</w:t>
            </w:r>
            <w:r>
              <w:rPr>
                <w:rFonts w:hint="eastAsia" w:ascii="Times New Roman" w:hAnsi="Times New Roman" w:cs="Times New Roman"/>
                <w:color w:val="auto"/>
                <w:u w:val="single"/>
                <w:lang w:val="en-US" w:eastAsia="zh-CN"/>
              </w:rPr>
              <w:t>废水汇总</w:t>
            </w:r>
          </w:p>
        </w:tc>
        <w:tc>
          <w:tcPr>
            <w:tcW w:w="731" w:type="pct"/>
            <w:vMerge w:val="restart"/>
            <w:noWrap w:val="0"/>
            <w:vAlign w:val="center"/>
          </w:tcPr>
          <w:p>
            <w:pPr>
              <w:pStyle w:val="35"/>
              <w:bidi w:val="0"/>
              <w:jc w:val="center"/>
              <w:rPr>
                <w:rFonts w:ascii="Times New Roman" w:hAnsi="Times New Roman" w:cs="Times New Roman"/>
                <w:color w:val="auto"/>
                <w:u w:val="single"/>
              </w:rPr>
            </w:pPr>
            <w:r>
              <w:rPr>
                <w:rFonts w:hint="eastAsia" w:ascii="Times New Roman" w:hAnsi="Times New Roman" w:cs="Times New Roman"/>
                <w:color w:val="auto"/>
                <w:u w:val="single"/>
              </w:rPr>
              <w:t>3232.7</w:t>
            </w:r>
          </w:p>
        </w:tc>
        <w:tc>
          <w:tcPr>
            <w:tcW w:w="656" w:type="pct"/>
            <w:noWrap w:val="0"/>
            <w:vAlign w:val="center"/>
          </w:tcPr>
          <w:p>
            <w:pPr>
              <w:pStyle w:val="35"/>
              <w:bidi w:val="0"/>
              <w:jc w:val="center"/>
              <w:rPr>
                <w:rFonts w:ascii="Times New Roman" w:hAnsi="Times New Roman" w:cs="Times New Roman"/>
                <w:color w:val="auto"/>
                <w:u w:val="single"/>
              </w:rPr>
            </w:pPr>
            <w:r>
              <w:rPr>
                <w:rFonts w:ascii="Times New Roman" w:hAnsi="Times New Roman" w:cs="Times New Roman"/>
                <w:color w:val="auto"/>
                <w:u w:val="single"/>
              </w:rPr>
              <w:t>COD</w:t>
            </w:r>
          </w:p>
        </w:tc>
        <w:tc>
          <w:tcPr>
            <w:tcW w:w="1678" w:type="dxa"/>
            <w:noWrap w:val="0"/>
            <w:vAlign w:val="center"/>
          </w:tcPr>
          <w:p>
            <w:pPr>
              <w:keepNext w:val="0"/>
              <w:keepLines w:val="0"/>
              <w:widowControl/>
              <w:suppressLineNumbers w:val="0"/>
              <w:jc w:val="center"/>
              <w:textAlignment w:val="center"/>
              <w:rPr>
                <w:rFonts w:ascii="Times New Roman" w:hAnsi="Times New Roman" w:cs="Times New Roman"/>
                <w:color w:val="auto"/>
                <w:u w:val="single"/>
              </w:rPr>
            </w:pPr>
            <w:r>
              <w:rPr>
                <w:rFonts w:hint="default" w:ascii="Times New Roman" w:hAnsi="Times New Roman" w:eastAsia="宋体" w:cs="Times New Roman"/>
                <w:i w:val="0"/>
                <w:iCs w:val="0"/>
                <w:color w:val="auto"/>
                <w:kern w:val="0"/>
                <w:sz w:val="21"/>
                <w:szCs w:val="21"/>
                <w:u w:val="single"/>
                <w:lang w:val="en-US" w:eastAsia="zh-CN" w:bidi="ar"/>
              </w:rPr>
              <w:t>26309.3</w:t>
            </w:r>
          </w:p>
        </w:tc>
        <w:tc>
          <w:tcPr>
            <w:tcW w:w="1301" w:type="dxa"/>
            <w:noWrap w:val="0"/>
            <w:vAlign w:val="center"/>
          </w:tcPr>
          <w:p>
            <w:pPr>
              <w:keepNext w:val="0"/>
              <w:keepLines w:val="0"/>
              <w:widowControl/>
              <w:suppressLineNumbers w:val="0"/>
              <w:jc w:val="center"/>
              <w:textAlignment w:val="center"/>
              <w:rPr>
                <w:rFonts w:ascii="Times New Roman" w:hAnsi="Times New Roman" w:cs="Times New Roman"/>
                <w:color w:val="auto"/>
                <w:u w:val="single"/>
              </w:rPr>
            </w:pPr>
            <w:r>
              <w:rPr>
                <w:rFonts w:hint="default" w:ascii="Times New Roman" w:hAnsi="Times New Roman" w:eastAsia="宋体" w:cs="Times New Roman"/>
                <w:i w:val="0"/>
                <w:iCs w:val="0"/>
                <w:color w:val="auto"/>
                <w:kern w:val="0"/>
                <w:sz w:val="21"/>
                <w:szCs w:val="21"/>
                <w:u w:val="single"/>
                <w:lang w:val="en-US" w:eastAsia="zh-CN" w:bidi="ar"/>
              </w:rPr>
              <w:t>85.05</w:t>
            </w:r>
          </w:p>
        </w:tc>
        <w:tc>
          <w:tcPr>
            <w:tcW w:w="1282" w:type="pct"/>
            <w:vMerge w:val="restart"/>
            <w:noWrap w:val="0"/>
            <w:vAlign w:val="center"/>
          </w:tcPr>
          <w:p>
            <w:pPr>
              <w:pStyle w:val="35"/>
              <w:bidi w:val="0"/>
              <w:jc w:val="both"/>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经过厂区已建污水处理站</w:t>
            </w:r>
            <w:r>
              <w:rPr>
                <w:rFonts w:hint="eastAsia" w:ascii="Times New Roman" w:hAnsi="Times New Roman" w:cs="Times New Roman"/>
                <w:color w:val="auto"/>
                <w:u w:val="single"/>
              </w:rPr>
              <w:t>MVR蒸发浓缩和二甲胺回收处理工艺</w:t>
            </w:r>
            <w:r>
              <w:rPr>
                <w:rFonts w:hint="eastAsia" w:ascii="Times New Roman" w:hAnsi="Times New Roman" w:cs="Times New Roman"/>
                <w:color w:val="auto"/>
                <w:u w:val="single"/>
                <w:lang w:val="en-US" w:eastAsia="zh-CN"/>
              </w:rPr>
              <w:t>处理后排入云溪</w:t>
            </w:r>
            <w:r>
              <w:rPr>
                <w:rFonts w:hint="eastAsia" w:cs="Times New Roman"/>
                <w:color w:val="auto"/>
                <w:u w:val="single"/>
                <w:lang w:val="en-US" w:eastAsia="zh-CN"/>
              </w:rPr>
              <w:t>区</w:t>
            </w:r>
            <w:r>
              <w:rPr>
                <w:rFonts w:hint="eastAsia" w:ascii="Times New Roman" w:hAnsi="Times New Roman" w:cs="Times New Roman"/>
                <w:color w:val="auto"/>
                <w:u w:val="single"/>
                <w:lang w:val="en-US" w:eastAsia="zh-CN"/>
              </w:rPr>
              <w:t>污水处理厂处理</w:t>
            </w:r>
          </w:p>
        </w:tc>
      </w:tr>
      <w:tr>
        <w:trPr>
          <w:trHeight w:val="355" w:hRule="atLeast"/>
        </w:trPr>
        <w:tc>
          <w:tcPr>
            <w:tcW w:w="666" w:type="pct"/>
            <w:vMerge w:val="continue"/>
            <w:noWrap w:val="0"/>
            <w:vAlign w:val="center"/>
          </w:tcPr>
          <w:p>
            <w:pPr>
              <w:pStyle w:val="35"/>
              <w:bidi w:val="0"/>
              <w:jc w:val="center"/>
              <w:rPr>
                <w:rFonts w:ascii="Times New Roman" w:hAnsi="Times New Roman" w:cs="Times New Roman"/>
                <w:color w:val="auto"/>
                <w:u w:val="single"/>
              </w:rPr>
            </w:pPr>
          </w:p>
        </w:tc>
        <w:tc>
          <w:tcPr>
            <w:tcW w:w="731" w:type="pct"/>
            <w:vMerge w:val="continue"/>
            <w:noWrap w:val="0"/>
            <w:vAlign w:val="center"/>
          </w:tcPr>
          <w:p>
            <w:pPr>
              <w:pStyle w:val="35"/>
              <w:bidi w:val="0"/>
              <w:jc w:val="center"/>
              <w:rPr>
                <w:rFonts w:ascii="Times New Roman" w:hAnsi="Times New Roman" w:cs="Times New Roman"/>
                <w:color w:val="auto"/>
                <w:u w:val="single"/>
              </w:rPr>
            </w:pPr>
          </w:p>
        </w:tc>
        <w:tc>
          <w:tcPr>
            <w:tcW w:w="656" w:type="pct"/>
            <w:noWrap w:val="0"/>
            <w:vAlign w:val="center"/>
          </w:tcPr>
          <w:p>
            <w:pPr>
              <w:pStyle w:val="35"/>
              <w:bidi w:val="0"/>
              <w:jc w:val="center"/>
              <w:rPr>
                <w:rFonts w:ascii="Times New Roman" w:hAnsi="Times New Roman" w:cs="Times New Roman"/>
                <w:color w:val="auto"/>
                <w:u w:val="single"/>
              </w:rPr>
            </w:pPr>
            <w:r>
              <w:rPr>
                <w:rFonts w:ascii="Times New Roman" w:hAnsi="Times New Roman" w:cs="Times New Roman"/>
                <w:color w:val="auto"/>
                <w:u w:val="single"/>
              </w:rPr>
              <w:t>SS</w:t>
            </w:r>
          </w:p>
        </w:tc>
        <w:tc>
          <w:tcPr>
            <w:tcW w:w="1678" w:type="dxa"/>
            <w:noWrap w:val="0"/>
            <w:vAlign w:val="center"/>
          </w:tcPr>
          <w:p>
            <w:pPr>
              <w:keepNext w:val="0"/>
              <w:keepLines w:val="0"/>
              <w:widowControl/>
              <w:suppressLineNumbers w:val="0"/>
              <w:jc w:val="center"/>
              <w:textAlignment w:val="center"/>
              <w:rPr>
                <w:rFonts w:ascii="Times New Roman" w:hAnsi="Times New Roman" w:cs="Times New Roman"/>
                <w:color w:val="auto"/>
                <w:u w:val="single"/>
              </w:rPr>
            </w:pPr>
            <w:r>
              <w:rPr>
                <w:rFonts w:hint="default" w:ascii="Times New Roman" w:hAnsi="Times New Roman" w:eastAsia="宋体" w:cs="Times New Roman"/>
                <w:i w:val="0"/>
                <w:iCs w:val="0"/>
                <w:color w:val="auto"/>
                <w:kern w:val="0"/>
                <w:sz w:val="21"/>
                <w:szCs w:val="21"/>
                <w:u w:val="single"/>
                <w:lang w:val="en-US" w:eastAsia="zh-CN" w:bidi="ar"/>
              </w:rPr>
              <w:t>74</w:t>
            </w:r>
          </w:p>
        </w:tc>
        <w:tc>
          <w:tcPr>
            <w:tcW w:w="1301" w:type="dxa"/>
            <w:noWrap w:val="0"/>
            <w:vAlign w:val="center"/>
          </w:tcPr>
          <w:p>
            <w:pPr>
              <w:keepNext w:val="0"/>
              <w:keepLines w:val="0"/>
              <w:widowControl/>
              <w:suppressLineNumbers w:val="0"/>
              <w:jc w:val="center"/>
              <w:textAlignment w:val="center"/>
              <w:rPr>
                <w:rFonts w:hint="eastAsia" w:ascii="Times New Roman" w:hAnsi="Times New Roman" w:cs="Times New Roman"/>
                <w:color w:val="auto"/>
                <w:u w:val="single"/>
              </w:rPr>
            </w:pPr>
            <w:r>
              <w:rPr>
                <w:rFonts w:hint="default" w:ascii="Times New Roman" w:hAnsi="Times New Roman" w:eastAsia="宋体" w:cs="Times New Roman"/>
                <w:i w:val="0"/>
                <w:iCs w:val="0"/>
                <w:color w:val="auto"/>
                <w:kern w:val="0"/>
                <w:sz w:val="21"/>
                <w:szCs w:val="21"/>
                <w:u w:val="single"/>
                <w:lang w:val="en-US" w:eastAsia="zh-CN" w:bidi="ar"/>
              </w:rPr>
              <w:t>0.24</w:t>
            </w:r>
          </w:p>
        </w:tc>
        <w:tc>
          <w:tcPr>
            <w:tcW w:w="1282" w:type="pct"/>
            <w:vMerge w:val="continue"/>
            <w:noWrap w:val="0"/>
            <w:vAlign w:val="center"/>
          </w:tcPr>
          <w:p>
            <w:pPr>
              <w:pStyle w:val="35"/>
              <w:bidi w:val="0"/>
              <w:jc w:val="center"/>
              <w:rPr>
                <w:rFonts w:ascii="Times New Roman" w:hAnsi="Times New Roman" w:cs="Times New Roman"/>
                <w:color w:val="auto"/>
                <w:u w:val="single"/>
              </w:rPr>
            </w:pPr>
          </w:p>
        </w:tc>
      </w:tr>
    </w:tbl>
    <w:p>
      <w:pPr>
        <w:pStyle w:val="33"/>
        <w:bidi w:val="0"/>
        <w:rPr>
          <w:color w:val="auto"/>
          <w:u w:val="single"/>
        </w:rPr>
      </w:pPr>
      <w:r>
        <w:rPr>
          <w:rFonts w:hint="eastAsia"/>
          <w:color w:val="auto"/>
          <w:u w:val="single"/>
          <w:lang w:val="en-US" w:eastAsia="zh-CN"/>
        </w:rPr>
        <w:t>项目</w:t>
      </w:r>
      <w:r>
        <w:rPr>
          <w:rFonts w:hint="eastAsia"/>
          <w:color w:val="auto"/>
          <w:u w:val="single"/>
        </w:rPr>
        <w:t>水平衡见图</w:t>
      </w:r>
      <w:r>
        <w:rPr>
          <w:rFonts w:hint="eastAsia"/>
          <w:color w:val="auto"/>
          <w:u w:val="single"/>
          <w:lang w:val="en-US" w:eastAsia="zh-CN"/>
        </w:rPr>
        <w:t>5.4-1</w:t>
      </w:r>
      <w:r>
        <w:rPr>
          <w:rFonts w:hint="eastAsia"/>
          <w:color w:val="auto"/>
          <w:u w:val="single"/>
        </w:rPr>
        <w:t>，表</w:t>
      </w:r>
      <w:r>
        <w:rPr>
          <w:rFonts w:hint="eastAsia"/>
          <w:color w:val="auto"/>
          <w:u w:val="single"/>
          <w:lang w:val="en-US" w:eastAsia="zh-CN"/>
        </w:rPr>
        <w:t>5.4-5</w:t>
      </w:r>
      <w:r>
        <w:rPr>
          <w:rFonts w:hint="eastAsia"/>
          <w:color w:val="auto"/>
          <w:u w:val="single"/>
        </w:rPr>
        <w:t>。</w:t>
      </w:r>
    </w:p>
    <w:p>
      <w:pPr>
        <w:pStyle w:val="36"/>
        <w:bidi w:val="0"/>
        <w:rPr>
          <w:rFonts w:hint="eastAsia" w:ascii="Times New Roman" w:hAnsi="Times New Roman" w:eastAsia="宋体"/>
          <w:caps w:val="0"/>
          <w:smallCaps w:val="0"/>
          <w:color w:val="auto"/>
          <w:sz w:val="24"/>
          <w:szCs w:val="24"/>
          <w:u w:val="single"/>
          <w:lang w:val="en-US" w:eastAsia="zh-CN"/>
        </w:rPr>
      </w:pPr>
      <w:r>
        <w:rPr>
          <w:rFonts w:hint="eastAsia" w:ascii="Times New Roman" w:hAnsi="Times New Roman"/>
          <w:caps w:val="0"/>
          <w:smallCaps w:val="0"/>
          <w:color w:val="auto"/>
          <w:sz w:val="24"/>
          <w:szCs w:val="24"/>
          <w:u w:val="single"/>
        </w:rPr>
        <w:t>表</w:t>
      </w:r>
      <w:r>
        <w:rPr>
          <w:rFonts w:hint="eastAsia" w:ascii="Times New Roman" w:hAnsi="Times New Roman"/>
          <w:caps w:val="0"/>
          <w:smallCaps w:val="0"/>
          <w:color w:val="auto"/>
          <w:sz w:val="24"/>
          <w:szCs w:val="24"/>
          <w:u w:val="single"/>
          <w:lang w:val="en-US" w:eastAsia="zh-CN"/>
        </w:rPr>
        <w:t>5.4-</w:t>
      </w:r>
      <w:r>
        <w:rPr>
          <w:rFonts w:hint="eastAsia"/>
          <w:caps w:val="0"/>
          <w:smallCaps w:val="0"/>
          <w:color w:val="auto"/>
          <w:sz w:val="24"/>
          <w:szCs w:val="24"/>
          <w:u w:val="single"/>
          <w:lang w:val="en-US" w:eastAsia="zh-CN"/>
        </w:rPr>
        <w:t>5</w:t>
      </w:r>
      <w:r>
        <w:rPr>
          <w:rFonts w:ascii="Times New Roman" w:hAnsi="Times New Roman"/>
          <w:caps w:val="0"/>
          <w:smallCaps w:val="0"/>
          <w:color w:val="auto"/>
          <w:sz w:val="24"/>
          <w:szCs w:val="24"/>
          <w:u w:val="single"/>
        </w:rPr>
        <w:t xml:space="preserve">   </w:t>
      </w:r>
      <w:r>
        <w:rPr>
          <w:rFonts w:hint="eastAsia" w:ascii="Times New Roman" w:hAnsi="Times New Roman"/>
          <w:caps w:val="0"/>
          <w:smallCaps w:val="0"/>
          <w:color w:val="auto"/>
          <w:sz w:val="24"/>
          <w:szCs w:val="24"/>
          <w:u w:val="single"/>
          <w:lang w:val="en-US" w:eastAsia="zh-CN"/>
        </w:rPr>
        <w:t>项目</w:t>
      </w:r>
      <w:r>
        <w:rPr>
          <w:rFonts w:hint="eastAsia" w:ascii="Times New Roman" w:hAnsi="Times New Roman"/>
          <w:caps w:val="0"/>
          <w:smallCaps w:val="0"/>
          <w:color w:val="auto"/>
          <w:sz w:val="24"/>
          <w:szCs w:val="24"/>
          <w:u w:val="single"/>
        </w:rPr>
        <w:t>水量平衡表</w:t>
      </w:r>
      <w:r>
        <w:rPr>
          <w:rFonts w:ascii="Times New Roman" w:hAnsi="Times New Roman"/>
          <w:caps w:val="0"/>
          <w:smallCaps w:val="0"/>
          <w:color w:val="auto"/>
          <w:sz w:val="24"/>
          <w:szCs w:val="24"/>
          <w:u w:val="single"/>
        </w:rPr>
        <w:t xml:space="preserve">     </w:t>
      </w:r>
      <w:r>
        <w:rPr>
          <w:rFonts w:hint="eastAsia" w:ascii="Times New Roman" w:hAnsi="Times New Roman"/>
          <w:caps w:val="0"/>
          <w:smallCaps w:val="0"/>
          <w:color w:val="auto"/>
          <w:sz w:val="24"/>
          <w:szCs w:val="24"/>
          <w:u w:val="single"/>
        </w:rPr>
        <w:t xml:space="preserve"> 单位：</w:t>
      </w:r>
      <w:r>
        <w:rPr>
          <w:rFonts w:ascii="Times New Roman" w:hAnsi="Times New Roman"/>
          <w:caps w:val="0"/>
          <w:smallCaps w:val="0"/>
          <w:color w:val="auto"/>
          <w:sz w:val="24"/>
          <w:szCs w:val="24"/>
          <w:u w:val="single"/>
        </w:rPr>
        <w:t>m</w:t>
      </w:r>
      <w:r>
        <w:rPr>
          <w:rFonts w:ascii="Times New Roman" w:hAnsi="Times New Roman"/>
          <w:caps w:val="0"/>
          <w:smallCaps w:val="0"/>
          <w:color w:val="auto"/>
          <w:sz w:val="24"/>
          <w:szCs w:val="24"/>
          <w:u w:val="single"/>
          <w:vertAlign w:val="superscript"/>
        </w:rPr>
        <w:t>3</w:t>
      </w:r>
      <w:r>
        <w:rPr>
          <w:rFonts w:ascii="Times New Roman" w:hAnsi="Times New Roman"/>
          <w:caps w:val="0"/>
          <w:smallCaps w:val="0"/>
          <w:color w:val="auto"/>
          <w:sz w:val="24"/>
          <w:szCs w:val="24"/>
          <w:u w:val="single"/>
        </w:rPr>
        <w:t>/</w:t>
      </w:r>
      <w:r>
        <w:rPr>
          <w:rFonts w:hint="eastAsia" w:ascii="Times New Roman" w:hAnsi="Times New Roman"/>
          <w:caps w:val="0"/>
          <w:smallCaps w:val="0"/>
          <w:color w:val="auto"/>
          <w:sz w:val="24"/>
          <w:szCs w:val="24"/>
          <w:u w:val="single"/>
          <w:lang w:val="en-US" w:eastAsia="zh-CN"/>
        </w:rPr>
        <w:t>a</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84"/>
        <w:gridCol w:w="2163"/>
        <w:gridCol w:w="1016"/>
        <w:gridCol w:w="1355"/>
        <w:gridCol w:w="873"/>
        <w:gridCol w:w="1161"/>
        <w:gridCol w:w="1662"/>
      </w:tblGrid>
      <w:tr>
        <w:trPr>
          <w:jc w:val="center"/>
        </w:trPr>
        <w:tc>
          <w:tcPr>
            <w:tcW w:w="331" w:type="pct"/>
            <w:tcBorders>
              <w:tl2br w:val="nil"/>
              <w:tr2bl w:val="nil"/>
            </w:tcBorders>
            <w:noWrap w:val="0"/>
            <w:vAlign w:val="center"/>
          </w:tcPr>
          <w:p>
            <w:pPr>
              <w:pStyle w:val="35"/>
              <w:bidi w:val="0"/>
              <w:rPr>
                <w:color w:val="auto"/>
                <w:u w:val="single"/>
              </w:rPr>
            </w:pPr>
            <w:r>
              <w:rPr>
                <w:color w:val="auto"/>
                <w:u w:val="single"/>
              </w:rPr>
              <w:t>序号</w:t>
            </w:r>
          </w:p>
        </w:tc>
        <w:tc>
          <w:tcPr>
            <w:tcW w:w="1225" w:type="pct"/>
            <w:tcBorders>
              <w:tl2br w:val="nil"/>
              <w:tr2bl w:val="nil"/>
            </w:tcBorders>
            <w:noWrap w:val="0"/>
            <w:vAlign w:val="center"/>
          </w:tcPr>
          <w:p>
            <w:pPr>
              <w:pStyle w:val="35"/>
              <w:bidi w:val="0"/>
              <w:rPr>
                <w:color w:val="auto"/>
                <w:u w:val="single"/>
              </w:rPr>
            </w:pPr>
            <w:r>
              <w:rPr>
                <w:color w:val="auto"/>
                <w:u w:val="single"/>
              </w:rPr>
              <w:t>用水工序</w:t>
            </w:r>
          </w:p>
        </w:tc>
        <w:tc>
          <w:tcPr>
            <w:tcW w:w="576" w:type="pct"/>
            <w:tcBorders>
              <w:tl2br w:val="nil"/>
              <w:tr2bl w:val="nil"/>
            </w:tcBorders>
            <w:noWrap w:val="0"/>
            <w:vAlign w:val="center"/>
          </w:tcPr>
          <w:p>
            <w:pPr>
              <w:pStyle w:val="35"/>
              <w:bidi w:val="0"/>
              <w:rPr>
                <w:color w:val="auto"/>
                <w:u w:val="single"/>
              </w:rPr>
            </w:pPr>
            <w:r>
              <w:rPr>
                <w:color w:val="auto"/>
                <w:u w:val="single"/>
              </w:rPr>
              <w:t>新鲜水</w:t>
            </w:r>
          </w:p>
          <w:p>
            <w:pPr>
              <w:pStyle w:val="35"/>
              <w:bidi w:val="0"/>
              <w:rPr>
                <w:color w:val="auto"/>
                <w:u w:val="single"/>
              </w:rPr>
            </w:pPr>
            <w:r>
              <w:rPr>
                <w:color w:val="auto"/>
                <w:u w:val="single"/>
              </w:rPr>
              <w:t>用量</w:t>
            </w:r>
          </w:p>
        </w:tc>
        <w:tc>
          <w:tcPr>
            <w:tcW w:w="768" w:type="pct"/>
            <w:tcBorders>
              <w:tl2br w:val="nil"/>
              <w:tr2bl w:val="nil"/>
            </w:tcBorders>
            <w:noWrap w:val="0"/>
            <w:vAlign w:val="center"/>
          </w:tcPr>
          <w:p>
            <w:pPr>
              <w:pStyle w:val="35"/>
              <w:bidi w:val="0"/>
              <w:rPr>
                <w:color w:val="auto"/>
                <w:u w:val="single"/>
              </w:rPr>
            </w:pPr>
            <w:r>
              <w:rPr>
                <w:color w:val="auto"/>
                <w:u w:val="single"/>
              </w:rPr>
              <w:t>原料带水及生成水量</w:t>
            </w:r>
          </w:p>
        </w:tc>
        <w:tc>
          <w:tcPr>
            <w:tcW w:w="495" w:type="pct"/>
            <w:tcBorders>
              <w:tl2br w:val="nil"/>
              <w:tr2bl w:val="nil"/>
            </w:tcBorders>
            <w:noWrap w:val="0"/>
            <w:vAlign w:val="center"/>
          </w:tcPr>
          <w:p>
            <w:pPr>
              <w:pStyle w:val="35"/>
              <w:bidi w:val="0"/>
              <w:rPr>
                <w:color w:val="auto"/>
                <w:u w:val="single"/>
              </w:rPr>
            </w:pPr>
            <w:r>
              <w:rPr>
                <w:rFonts w:hint="eastAsia"/>
                <w:color w:val="auto"/>
                <w:u w:val="single"/>
                <w:lang w:val="en-US" w:eastAsia="zh-CN"/>
              </w:rPr>
              <w:t>损耗</w:t>
            </w:r>
            <w:r>
              <w:rPr>
                <w:color w:val="auto"/>
                <w:u w:val="single"/>
              </w:rPr>
              <w:t>量</w:t>
            </w:r>
          </w:p>
        </w:tc>
        <w:tc>
          <w:tcPr>
            <w:tcW w:w="658" w:type="pct"/>
            <w:tcBorders>
              <w:tl2br w:val="nil"/>
              <w:tr2bl w:val="nil"/>
            </w:tcBorders>
            <w:noWrap w:val="0"/>
            <w:vAlign w:val="center"/>
          </w:tcPr>
          <w:p>
            <w:pPr>
              <w:pStyle w:val="35"/>
              <w:bidi w:val="0"/>
              <w:rPr>
                <w:color w:val="auto"/>
                <w:u w:val="single"/>
              </w:rPr>
            </w:pPr>
            <w:r>
              <w:rPr>
                <w:color w:val="auto"/>
                <w:u w:val="single"/>
              </w:rPr>
              <w:t>排放量</w:t>
            </w:r>
          </w:p>
        </w:tc>
        <w:tc>
          <w:tcPr>
            <w:tcW w:w="942" w:type="pct"/>
            <w:tcBorders>
              <w:tl2br w:val="nil"/>
              <w:tr2bl w:val="nil"/>
            </w:tcBorders>
            <w:noWrap w:val="0"/>
            <w:vAlign w:val="center"/>
          </w:tcPr>
          <w:p>
            <w:pPr>
              <w:pStyle w:val="35"/>
              <w:bidi w:val="0"/>
              <w:rPr>
                <w:color w:val="auto"/>
                <w:u w:val="single"/>
              </w:rPr>
            </w:pPr>
            <w:r>
              <w:rPr>
                <w:color w:val="auto"/>
                <w:u w:val="single"/>
              </w:rPr>
              <w:t>排放去向</w:t>
            </w:r>
          </w:p>
        </w:tc>
      </w:tr>
      <w:tr>
        <w:trPr>
          <w:cantSplit/>
          <w:trHeight w:val="90" w:hRule="atLeast"/>
          <w:jc w:val="center"/>
        </w:trPr>
        <w:tc>
          <w:tcPr>
            <w:tcW w:w="331" w:type="pct"/>
            <w:tcBorders>
              <w:tl2br w:val="nil"/>
              <w:tr2bl w:val="nil"/>
            </w:tcBorders>
            <w:noWrap w:val="0"/>
            <w:vAlign w:val="center"/>
          </w:tcPr>
          <w:p>
            <w:pPr>
              <w:pStyle w:val="35"/>
              <w:bidi w:val="0"/>
              <w:rPr>
                <w:color w:val="auto"/>
                <w:u w:val="single"/>
              </w:rPr>
            </w:pPr>
            <w:r>
              <w:rPr>
                <w:rFonts w:hint="eastAsia"/>
                <w:color w:val="auto"/>
                <w:u w:val="single"/>
              </w:rPr>
              <w:t>1</w:t>
            </w:r>
          </w:p>
        </w:tc>
        <w:tc>
          <w:tcPr>
            <w:tcW w:w="1225" w:type="pct"/>
            <w:tcBorders>
              <w:tl2br w:val="nil"/>
              <w:tr2bl w:val="nil"/>
            </w:tcBorders>
            <w:noWrap w:val="0"/>
            <w:vAlign w:val="center"/>
          </w:tcPr>
          <w:p>
            <w:pPr>
              <w:pStyle w:val="35"/>
              <w:bidi w:val="0"/>
              <w:ind w:firstLine="0" w:firstLineChars="0"/>
              <w:rPr>
                <w:rFonts w:hint="default"/>
                <w:color w:val="auto"/>
                <w:u w:val="single"/>
                <w:lang w:val="en-US" w:eastAsia="zh-CN"/>
              </w:rPr>
            </w:pPr>
            <w:r>
              <w:rPr>
                <w:rFonts w:hint="eastAsia"/>
                <w:color w:val="auto"/>
                <w:u w:val="single"/>
                <w:lang w:val="en-US" w:eastAsia="zh-CN"/>
              </w:rPr>
              <w:t>工艺废水</w:t>
            </w:r>
          </w:p>
        </w:tc>
        <w:tc>
          <w:tcPr>
            <w:tcW w:w="576" w:type="pct"/>
            <w:tcBorders>
              <w:tl2br w:val="nil"/>
              <w:tr2bl w:val="nil"/>
            </w:tcBorders>
            <w:noWrap w:val="0"/>
            <w:vAlign w:val="center"/>
          </w:tcPr>
          <w:p>
            <w:pPr>
              <w:pStyle w:val="35"/>
              <w:bidi w:val="0"/>
              <w:ind w:firstLine="0" w:firstLineChars="0"/>
              <w:rPr>
                <w:color w:val="auto"/>
                <w:u w:val="single"/>
              </w:rPr>
            </w:pPr>
          </w:p>
        </w:tc>
        <w:tc>
          <w:tcPr>
            <w:tcW w:w="768" w:type="pct"/>
            <w:tcBorders>
              <w:tl2br w:val="nil"/>
              <w:tr2bl w:val="nil"/>
            </w:tcBorders>
            <w:noWrap w:val="0"/>
            <w:vAlign w:val="center"/>
          </w:tcPr>
          <w:p>
            <w:pPr>
              <w:pStyle w:val="35"/>
              <w:bidi w:val="0"/>
              <w:ind w:firstLine="0" w:firstLineChars="0"/>
              <w:rPr>
                <w:rFonts w:hint="default"/>
                <w:color w:val="auto"/>
                <w:u w:val="single"/>
                <w:lang w:val="en-US" w:eastAsia="zh-CN"/>
              </w:rPr>
            </w:pPr>
            <w:r>
              <w:rPr>
                <w:rFonts w:hint="eastAsia"/>
                <w:color w:val="auto"/>
                <w:u w:val="single"/>
                <w:lang w:val="en-US" w:eastAsia="zh-CN"/>
              </w:rPr>
              <w:t>1294.2</w:t>
            </w:r>
          </w:p>
        </w:tc>
        <w:tc>
          <w:tcPr>
            <w:tcW w:w="495" w:type="pct"/>
            <w:tcBorders>
              <w:tl2br w:val="nil"/>
              <w:tr2bl w:val="nil"/>
            </w:tcBorders>
            <w:noWrap w:val="0"/>
            <w:vAlign w:val="center"/>
          </w:tcPr>
          <w:p>
            <w:pPr>
              <w:pStyle w:val="35"/>
              <w:bidi w:val="0"/>
              <w:ind w:firstLine="0" w:firstLineChars="0"/>
              <w:rPr>
                <w:color w:val="auto"/>
                <w:u w:val="single"/>
              </w:rPr>
            </w:pPr>
          </w:p>
        </w:tc>
        <w:tc>
          <w:tcPr>
            <w:tcW w:w="658" w:type="pct"/>
            <w:tcBorders>
              <w:tl2br w:val="nil"/>
              <w:tr2bl w:val="nil"/>
            </w:tcBorders>
            <w:noWrap w:val="0"/>
            <w:vAlign w:val="center"/>
          </w:tcPr>
          <w:p>
            <w:pPr>
              <w:pStyle w:val="35"/>
              <w:bidi w:val="0"/>
              <w:ind w:firstLine="0" w:firstLineChars="0"/>
              <w:rPr>
                <w:rFonts w:hint="eastAsia"/>
                <w:color w:val="auto"/>
                <w:u w:val="single"/>
                <w:lang w:eastAsia="zh-CN"/>
              </w:rPr>
            </w:pPr>
            <w:r>
              <w:rPr>
                <w:rFonts w:hint="eastAsia"/>
                <w:color w:val="auto"/>
                <w:u w:val="single"/>
                <w:lang w:val="en-US" w:eastAsia="zh-CN"/>
              </w:rPr>
              <w:t>1294.2</w:t>
            </w:r>
          </w:p>
        </w:tc>
        <w:tc>
          <w:tcPr>
            <w:tcW w:w="942" w:type="pct"/>
            <w:vMerge w:val="restar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预处理</w:t>
            </w:r>
            <w:r>
              <w:rPr>
                <w:rFonts w:hint="eastAsia"/>
                <w:color w:val="auto"/>
                <w:u w:val="single"/>
                <w:lang w:eastAsia="zh-CN"/>
              </w:rPr>
              <w:t>后</w:t>
            </w:r>
            <w:r>
              <w:rPr>
                <w:rFonts w:hint="eastAsia"/>
                <w:color w:val="auto"/>
                <w:u w:val="single"/>
                <w:lang w:val="en-US" w:eastAsia="zh-CN"/>
              </w:rPr>
              <w:t>排</w:t>
            </w:r>
            <w:r>
              <w:rPr>
                <w:rFonts w:hint="eastAsia"/>
                <w:color w:val="auto"/>
                <w:u w:val="single"/>
                <w:lang w:eastAsia="zh-CN"/>
              </w:rPr>
              <w:t>入</w:t>
            </w:r>
            <w:r>
              <w:rPr>
                <w:rFonts w:hint="eastAsia"/>
                <w:color w:val="auto"/>
                <w:u w:val="single"/>
                <w:lang w:val="en-US" w:eastAsia="zh-CN"/>
              </w:rPr>
              <w:t>云溪区</w:t>
            </w:r>
            <w:r>
              <w:rPr>
                <w:rFonts w:hint="eastAsia"/>
                <w:color w:val="auto"/>
                <w:u w:val="single"/>
              </w:rPr>
              <w:t>污水处理厂</w:t>
            </w:r>
          </w:p>
          <w:p>
            <w:pPr>
              <w:pStyle w:val="35"/>
              <w:bidi w:val="0"/>
              <w:rPr>
                <w:rFonts w:hint="eastAsia"/>
                <w:color w:val="auto"/>
                <w:u w:val="single"/>
              </w:rPr>
            </w:pPr>
          </w:p>
        </w:tc>
      </w:tr>
      <w:tr>
        <w:trPr>
          <w:cantSplit/>
          <w:trHeight w:val="90" w:hRule="atLeast"/>
          <w:jc w:val="center"/>
        </w:trPr>
        <w:tc>
          <w:tcPr>
            <w:tcW w:w="331"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2</w:t>
            </w:r>
          </w:p>
        </w:tc>
        <w:tc>
          <w:tcPr>
            <w:tcW w:w="1225" w:type="pct"/>
            <w:tcBorders>
              <w:tl2br w:val="nil"/>
              <w:tr2bl w:val="nil"/>
            </w:tcBorders>
            <w:noWrap w:val="0"/>
            <w:vAlign w:val="center"/>
          </w:tcPr>
          <w:p>
            <w:pPr>
              <w:pStyle w:val="35"/>
              <w:bidi w:val="0"/>
              <w:ind w:firstLine="0" w:firstLineChars="0"/>
              <w:rPr>
                <w:rFonts w:hint="eastAsia"/>
                <w:color w:val="auto"/>
                <w:u w:val="single"/>
                <w:lang w:eastAsia="zh-CN"/>
              </w:rPr>
            </w:pPr>
            <w:r>
              <w:rPr>
                <w:rFonts w:hint="eastAsia"/>
                <w:color w:val="auto"/>
                <w:u w:val="single"/>
                <w:lang w:val="en-US" w:eastAsia="zh-CN"/>
              </w:rPr>
              <w:t>树脂冲洗废水</w:t>
            </w:r>
          </w:p>
        </w:tc>
        <w:tc>
          <w:tcPr>
            <w:tcW w:w="576" w:type="pct"/>
            <w:tcBorders>
              <w:tl2br w:val="nil"/>
              <w:tr2bl w:val="nil"/>
            </w:tcBorders>
            <w:noWrap w:val="0"/>
            <w:vAlign w:val="center"/>
          </w:tcPr>
          <w:p>
            <w:pPr>
              <w:pStyle w:val="35"/>
              <w:bidi w:val="0"/>
              <w:ind w:firstLine="0" w:firstLineChars="0"/>
              <w:rPr>
                <w:rFonts w:hint="default"/>
                <w:color w:val="auto"/>
                <w:u w:val="single"/>
                <w:lang w:val="en-US"/>
              </w:rPr>
            </w:pPr>
            <w:r>
              <w:rPr>
                <w:rFonts w:hint="eastAsia"/>
                <w:color w:val="auto"/>
                <w:u w:val="single"/>
                <w:lang w:val="en-US" w:eastAsia="zh-CN"/>
              </w:rPr>
              <w:t>152</w:t>
            </w:r>
          </w:p>
        </w:tc>
        <w:tc>
          <w:tcPr>
            <w:tcW w:w="768" w:type="pct"/>
            <w:tcBorders>
              <w:tl2br w:val="nil"/>
              <w:tr2bl w:val="nil"/>
            </w:tcBorders>
            <w:noWrap w:val="0"/>
            <w:vAlign w:val="center"/>
          </w:tcPr>
          <w:p>
            <w:pPr>
              <w:pStyle w:val="35"/>
              <w:bidi w:val="0"/>
              <w:ind w:firstLine="0" w:firstLineChars="0"/>
              <w:rPr>
                <w:rFonts w:hint="default"/>
                <w:color w:val="auto"/>
                <w:u w:val="single"/>
                <w:lang w:val="en-US" w:eastAsia="zh-CN"/>
              </w:rPr>
            </w:pPr>
            <w:r>
              <w:rPr>
                <w:rFonts w:hint="eastAsia"/>
                <w:color w:val="auto"/>
                <w:u w:val="single"/>
                <w:lang w:val="en-US" w:eastAsia="zh-CN"/>
              </w:rPr>
              <w:t>106.5</w:t>
            </w:r>
          </w:p>
        </w:tc>
        <w:tc>
          <w:tcPr>
            <w:tcW w:w="495" w:type="pct"/>
            <w:tcBorders>
              <w:tl2br w:val="nil"/>
              <w:tr2bl w:val="nil"/>
            </w:tcBorders>
            <w:noWrap w:val="0"/>
            <w:vAlign w:val="center"/>
          </w:tcPr>
          <w:p>
            <w:pPr>
              <w:pStyle w:val="35"/>
              <w:bidi w:val="0"/>
              <w:ind w:firstLine="0" w:firstLineChars="0"/>
              <w:rPr>
                <w:color w:val="auto"/>
                <w:u w:val="single"/>
              </w:rPr>
            </w:pPr>
          </w:p>
        </w:tc>
        <w:tc>
          <w:tcPr>
            <w:tcW w:w="658" w:type="pct"/>
            <w:tcBorders>
              <w:tl2br w:val="nil"/>
              <w:tr2bl w:val="nil"/>
            </w:tcBorders>
            <w:noWrap w:val="0"/>
            <w:vAlign w:val="center"/>
          </w:tcPr>
          <w:p>
            <w:pPr>
              <w:pStyle w:val="35"/>
              <w:bidi w:val="0"/>
              <w:ind w:firstLine="0" w:firstLineChars="0"/>
              <w:rPr>
                <w:rFonts w:hint="default"/>
                <w:color w:val="auto"/>
                <w:u w:val="single"/>
                <w:lang w:val="en-US" w:eastAsia="zh-CN"/>
              </w:rPr>
            </w:pPr>
            <w:r>
              <w:rPr>
                <w:rFonts w:hint="eastAsia"/>
                <w:color w:val="auto"/>
                <w:u w:val="single"/>
                <w:lang w:val="en-US" w:eastAsia="zh-CN"/>
              </w:rPr>
              <w:t>258.5</w:t>
            </w:r>
          </w:p>
        </w:tc>
        <w:tc>
          <w:tcPr>
            <w:tcW w:w="942" w:type="pct"/>
            <w:vMerge w:val="continue"/>
            <w:tcBorders>
              <w:tl2br w:val="nil"/>
              <w:tr2bl w:val="nil"/>
            </w:tcBorders>
            <w:noWrap w:val="0"/>
            <w:vAlign w:val="center"/>
          </w:tcPr>
          <w:p>
            <w:pPr>
              <w:pStyle w:val="35"/>
              <w:bidi w:val="0"/>
              <w:rPr>
                <w:color w:val="auto"/>
                <w:u w:val="single"/>
              </w:rPr>
            </w:pPr>
          </w:p>
        </w:tc>
      </w:tr>
      <w:tr>
        <w:trPr>
          <w:cantSplit/>
          <w:trHeight w:val="135" w:hRule="atLeast"/>
          <w:jc w:val="center"/>
        </w:trPr>
        <w:tc>
          <w:tcPr>
            <w:tcW w:w="331" w:type="pct"/>
            <w:tcBorders>
              <w:tl2br w:val="nil"/>
              <w:tr2bl w:val="nil"/>
            </w:tcBorders>
            <w:noWrap w:val="0"/>
            <w:vAlign w:val="center"/>
          </w:tcPr>
          <w:p>
            <w:pPr>
              <w:pStyle w:val="35"/>
              <w:bidi w:val="0"/>
              <w:rPr>
                <w:color w:val="auto"/>
                <w:u w:val="single"/>
              </w:rPr>
            </w:pPr>
            <w:r>
              <w:rPr>
                <w:rFonts w:hint="eastAsia"/>
                <w:color w:val="auto"/>
                <w:u w:val="single"/>
              </w:rPr>
              <w:t>3</w:t>
            </w:r>
          </w:p>
        </w:tc>
        <w:tc>
          <w:tcPr>
            <w:tcW w:w="1225"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设备及储罐清洗水</w:t>
            </w:r>
          </w:p>
        </w:tc>
        <w:tc>
          <w:tcPr>
            <w:tcW w:w="576"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600</w:t>
            </w:r>
          </w:p>
        </w:tc>
        <w:tc>
          <w:tcPr>
            <w:tcW w:w="768" w:type="pct"/>
            <w:tcBorders>
              <w:tl2br w:val="nil"/>
              <w:tr2bl w:val="nil"/>
            </w:tcBorders>
            <w:noWrap w:val="0"/>
            <w:vAlign w:val="center"/>
          </w:tcPr>
          <w:p>
            <w:pPr>
              <w:pStyle w:val="35"/>
              <w:bidi w:val="0"/>
              <w:rPr>
                <w:rFonts w:hint="default"/>
                <w:color w:val="auto"/>
                <w:u w:val="single"/>
                <w:lang w:val="en-US" w:eastAsia="zh-CN"/>
              </w:rPr>
            </w:pPr>
          </w:p>
        </w:tc>
        <w:tc>
          <w:tcPr>
            <w:tcW w:w="495"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60</w:t>
            </w:r>
          </w:p>
        </w:tc>
        <w:tc>
          <w:tcPr>
            <w:tcW w:w="658"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540</w:t>
            </w:r>
          </w:p>
        </w:tc>
        <w:tc>
          <w:tcPr>
            <w:tcW w:w="942" w:type="pct"/>
            <w:vMerge w:val="continue"/>
            <w:tcBorders>
              <w:tl2br w:val="nil"/>
              <w:tr2bl w:val="nil"/>
            </w:tcBorders>
            <w:noWrap w:val="0"/>
            <w:vAlign w:val="center"/>
          </w:tcPr>
          <w:p>
            <w:pPr>
              <w:pStyle w:val="35"/>
              <w:bidi w:val="0"/>
              <w:rPr>
                <w:color w:val="auto"/>
                <w:u w:val="single"/>
              </w:rPr>
            </w:pPr>
          </w:p>
        </w:tc>
      </w:tr>
      <w:tr>
        <w:trPr>
          <w:cantSplit/>
          <w:trHeight w:val="135" w:hRule="atLeast"/>
          <w:jc w:val="center"/>
        </w:trPr>
        <w:tc>
          <w:tcPr>
            <w:tcW w:w="331" w:type="pct"/>
            <w:tcBorders>
              <w:tl2br w:val="nil"/>
              <w:tr2bl w:val="nil"/>
            </w:tcBorders>
            <w:noWrap w:val="0"/>
            <w:vAlign w:val="center"/>
          </w:tcPr>
          <w:p>
            <w:pPr>
              <w:pStyle w:val="35"/>
              <w:bidi w:val="0"/>
              <w:ind w:firstLine="0" w:firstLineChars="0"/>
              <w:rPr>
                <w:rFonts w:hint="eastAsia"/>
                <w:color w:val="auto"/>
                <w:u w:val="single"/>
              </w:rPr>
            </w:pPr>
            <w:r>
              <w:rPr>
                <w:rFonts w:hint="eastAsia"/>
                <w:color w:val="auto"/>
                <w:u w:val="single"/>
              </w:rPr>
              <w:t>4</w:t>
            </w:r>
          </w:p>
        </w:tc>
        <w:tc>
          <w:tcPr>
            <w:tcW w:w="1225"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rPr>
              <w:t>碱液喷淋用水</w:t>
            </w:r>
          </w:p>
        </w:tc>
        <w:tc>
          <w:tcPr>
            <w:tcW w:w="576"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1200</w:t>
            </w:r>
          </w:p>
        </w:tc>
        <w:tc>
          <w:tcPr>
            <w:tcW w:w="768" w:type="pct"/>
            <w:tcBorders>
              <w:tl2br w:val="nil"/>
              <w:tr2bl w:val="nil"/>
            </w:tcBorders>
            <w:noWrap w:val="0"/>
            <w:vAlign w:val="center"/>
          </w:tcPr>
          <w:p>
            <w:pPr>
              <w:pStyle w:val="35"/>
              <w:bidi w:val="0"/>
              <w:rPr>
                <w:rFonts w:hint="eastAsia"/>
                <w:color w:val="auto"/>
                <w:u w:val="single"/>
                <w:lang w:val="en-US" w:eastAsia="zh-CN"/>
              </w:rPr>
            </w:pPr>
          </w:p>
        </w:tc>
        <w:tc>
          <w:tcPr>
            <w:tcW w:w="495"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60</w:t>
            </w:r>
          </w:p>
        </w:tc>
        <w:tc>
          <w:tcPr>
            <w:tcW w:w="658"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1140</w:t>
            </w:r>
          </w:p>
        </w:tc>
        <w:tc>
          <w:tcPr>
            <w:tcW w:w="942" w:type="pct"/>
            <w:vMerge w:val="continue"/>
            <w:tcBorders>
              <w:tl2br w:val="nil"/>
              <w:tr2bl w:val="nil"/>
            </w:tcBorders>
            <w:noWrap w:val="0"/>
            <w:vAlign w:val="center"/>
          </w:tcPr>
          <w:p>
            <w:pPr>
              <w:pStyle w:val="35"/>
              <w:bidi w:val="0"/>
              <w:rPr>
                <w:color w:val="auto"/>
                <w:u w:val="single"/>
              </w:rPr>
            </w:pPr>
          </w:p>
        </w:tc>
      </w:tr>
      <w:tr>
        <w:trPr>
          <w:cantSplit/>
          <w:jc w:val="center"/>
        </w:trPr>
        <w:tc>
          <w:tcPr>
            <w:tcW w:w="331" w:type="pct"/>
            <w:tcBorders>
              <w:tl2br w:val="nil"/>
              <w:tr2bl w:val="nil"/>
            </w:tcBorders>
            <w:noWrap w:val="0"/>
            <w:vAlign w:val="center"/>
          </w:tcPr>
          <w:p>
            <w:pPr>
              <w:pStyle w:val="35"/>
              <w:bidi w:val="0"/>
              <w:ind w:firstLine="0" w:firstLineChars="0"/>
              <w:rPr>
                <w:rFonts w:hint="eastAsia"/>
                <w:color w:val="auto"/>
                <w:u w:val="single"/>
                <w:lang w:val="en-US" w:eastAsia="zh-CN"/>
              </w:rPr>
            </w:pPr>
            <w:r>
              <w:rPr>
                <w:rFonts w:hint="eastAsia"/>
                <w:color w:val="auto"/>
                <w:u w:val="single"/>
                <w:lang w:val="en-US" w:eastAsia="zh-CN"/>
              </w:rPr>
              <w:t>5</w:t>
            </w:r>
          </w:p>
        </w:tc>
        <w:tc>
          <w:tcPr>
            <w:tcW w:w="1225" w:type="pct"/>
            <w:tcBorders>
              <w:tl2br w:val="nil"/>
              <w:tr2bl w:val="nil"/>
            </w:tcBorders>
            <w:noWrap w:val="0"/>
            <w:vAlign w:val="center"/>
          </w:tcPr>
          <w:p>
            <w:pPr>
              <w:pStyle w:val="35"/>
              <w:bidi w:val="0"/>
              <w:ind w:firstLine="0" w:firstLineChars="0"/>
              <w:rPr>
                <w:rFonts w:hint="eastAsia"/>
                <w:color w:val="auto"/>
                <w:u w:val="single"/>
                <w:lang w:eastAsia="zh-CN"/>
              </w:rPr>
            </w:pPr>
            <w:r>
              <w:rPr>
                <w:color w:val="auto"/>
                <w:u w:val="single"/>
              </w:rPr>
              <w:t>生活用水</w:t>
            </w:r>
          </w:p>
        </w:tc>
        <w:tc>
          <w:tcPr>
            <w:tcW w:w="576" w:type="pct"/>
            <w:tcBorders>
              <w:tl2br w:val="nil"/>
              <w:tr2bl w:val="nil"/>
            </w:tcBorders>
            <w:noWrap w:val="0"/>
            <w:vAlign w:val="center"/>
          </w:tcPr>
          <w:p>
            <w:pPr>
              <w:pStyle w:val="35"/>
              <w:bidi w:val="0"/>
              <w:ind w:firstLine="0" w:firstLineChars="0"/>
              <w:rPr>
                <w:rFonts w:hint="default"/>
                <w:color w:val="auto"/>
                <w:u w:val="single"/>
                <w:lang w:val="en-US" w:eastAsia="zh-CN"/>
              </w:rPr>
            </w:pPr>
            <w:r>
              <w:rPr>
                <w:rFonts w:hint="eastAsia"/>
                <w:color w:val="auto"/>
                <w:u w:val="single"/>
                <w:lang w:val="en-US" w:eastAsia="zh-CN"/>
              </w:rPr>
              <w:t>594</w:t>
            </w:r>
          </w:p>
        </w:tc>
        <w:tc>
          <w:tcPr>
            <w:tcW w:w="768" w:type="pct"/>
            <w:tcBorders>
              <w:tl2br w:val="nil"/>
              <w:tr2bl w:val="nil"/>
            </w:tcBorders>
            <w:noWrap w:val="0"/>
            <w:vAlign w:val="center"/>
          </w:tcPr>
          <w:p>
            <w:pPr>
              <w:pStyle w:val="35"/>
              <w:bidi w:val="0"/>
              <w:ind w:firstLine="0" w:firstLineChars="0"/>
              <w:rPr>
                <w:rFonts w:hint="eastAsia"/>
                <w:color w:val="auto"/>
                <w:u w:val="single"/>
                <w:lang w:val="en-US" w:eastAsia="zh-CN"/>
              </w:rPr>
            </w:pPr>
          </w:p>
        </w:tc>
        <w:tc>
          <w:tcPr>
            <w:tcW w:w="495" w:type="pct"/>
            <w:tcBorders>
              <w:tl2br w:val="nil"/>
              <w:tr2bl w:val="nil"/>
            </w:tcBorders>
            <w:noWrap w:val="0"/>
            <w:vAlign w:val="center"/>
          </w:tcPr>
          <w:p>
            <w:pPr>
              <w:pStyle w:val="35"/>
              <w:bidi w:val="0"/>
              <w:ind w:firstLine="0" w:firstLineChars="0"/>
              <w:rPr>
                <w:rFonts w:hint="eastAsia"/>
                <w:color w:val="auto"/>
                <w:u w:val="single"/>
                <w:lang w:val="en-US" w:eastAsia="zh-CN"/>
              </w:rPr>
            </w:pPr>
            <w:r>
              <w:rPr>
                <w:rFonts w:hint="eastAsia"/>
                <w:color w:val="auto"/>
                <w:u w:val="single"/>
                <w:lang w:val="en-US" w:eastAsia="zh-CN"/>
              </w:rPr>
              <w:t>118.8</w:t>
            </w:r>
          </w:p>
        </w:tc>
        <w:tc>
          <w:tcPr>
            <w:tcW w:w="658" w:type="pct"/>
            <w:tcBorders>
              <w:tl2br w:val="nil"/>
              <w:tr2bl w:val="nil"/>
            </w:tcBorders>
            <w:noWrap w:val="0"/>
            <w:vAlign w:val="center"/>
          </w:tcPr>
          <w:p>
            <w:pPr>
              <w:pStyle w:val="35"/>
              <w:bidi w:val="0"/>
              <w:ind w:firstLine="0" w:firstLineChars="0"/>
              <w:rPr>
                <w:rFonts w:hint="default"/>
                <w:color w:val="auto"/>
                <w:u w:val="single"/>
                <w:lang w:val="en-US" w:eastAsia="zh-CN"/>
              </w:rPr>
            </w:pPr>
            <w:r>
              <w:rPr>
                <w:rFonts w:hint="eastAsia"/>
                <w:color w:val="auto"/>
                <w:u w:val="single"/>
                <w:lang w:val="en-US" w:eastAsia="zh-CN"/>
              </w:rPr>
              <w:t>475.2</w:t>
            </w:r>
          </w:p>
        </w:tc>
        <w:tc>
          <w:tcPr>
            <w:tcW w:w="942" w:type="pct"/>
            <w:vMerge w:val="continue"/>
            <w:tcBorders>
              <w:tl2br w:val="nil"/>
              <w:tr2bl w:val="nil"/>
            </w:tcBorders>
            <w:noWrap w:val="0"/>
            <w:vAlign w:val="center"/>
          </w:tcPr>
          <w:p>
            <w:pPr>
              <w:pStyle w:val="35"/>
              <w:bidi w:val="0"/>
              <w:rPr>
                <w:color w:val="auto"/>
                <w:u w:val="single"/>
              </w:rPr>
            </w:pPr>
          </w:p>
        </w:tc>
      </w:tr>
      <w:tr>
        <w:trPr>
          <w:cantSplit/>
          <w:jc w:val="center"/>
        </w:trPr>
        <w:tc>
          <w:tcPr>
            <w:tcW w:w="1557" w:type="pct"/>
            <w:gridSpan w:val="2"/>
            <w:tcBorders>
              <w:tl2br w:val="nil"/>
              <w:tr2bl w:val="nil"/>
            </w:tcBorders>
            <w:noWrap w:val="0"/>
            <w:vAlign w:val="center"/>
          </w:tcPr>
          <w:p>
            <w:pPr>
              <w:pStyle w:val="35"/>
              <w:bidi w:val="0"/>
              <w:rPr>
                <w:color w:val="auto"/>
                <w:u w:val="single"/>
              </w:rPr>
            </w:pPr>
            <w:r>
              <w:rPr>
                <w:rFonts w:hint="eastAsia"/>
                <w:color w:val="auto"/>
                <w:u w:val="single"/>
                <w:lang w:val="en-US" w:eastAsia="zh-CN"/>
              </w:rPr>
              <w:t>合计</w:t>
            </w:r>
          </w:p>
        </w:tc>
        <w:tc>
          <w:tcPr>
            <w:tcW w:w="576"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2546</w:t>
            </w:r>
          </w:p>
        </w:tc>
        <w:tc>
          <w:tcPr>
            <w:tcW w:w="768"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1400.7</w:t>
            </w:r>
          </w:p>
        </w:tc>
        <w:tc>
          <w:tcPr>
            <w:tcW w:w="495"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238.8</w:t>
            </w:r>
          </w:p>
        </w:tc>
        <w:tc>
          <w:tcPr>
            <w:tcW w:w="658"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3593.9</w:t>
            </w:r>
          </w:p>
        </w:tc>
        <w:tc>
          <w:tcPr>
            <w:tcW w:w="942" w:type="pct"/>
            <w:vMerge w:val="continue"/>
            <w:tcBorders>
              <w:tl2br w:val="nil"/>
              <w:tr2bl w:val="nil"/>
            </w:tcBorders>
            <w:noWrap w:val="0"/>
            <w:vAlign w:val="center"/>
          </w:tcPr>
          <w:p>
            <w:pPr>
              <w:pStyle w:val="35"/>
              <w:bidi w:val="0"/>
              <w:rPr>
                <w:rFonts w:hint="eastAsia"/>
                <w:color w:val="auto"/>
                <w:u w:val="single"/>
              </w:rPr>
            </w:pPr>
          </w:p>
        </w:tc>
      </w:tr>
    </w:tbl>
    <w:p>
      <w:pPr>
        <w:pStyle w:val="36"/>
        <w:bidi w:val="0"/>
        <w:rPr>
          <w:rFonts w:hint="eastAsia" w:ascii="Times New Roman" w:hAnsi="Times New Roman"/>
          <w:b/>
          <w:caps w:val="0"/>
          <w:smallCaps w:val="0"/>
          <w:color w:val="auto"/>
          <w:szCs w:val="21"/>
          <w:u w:val="single"/>
        </w:rPr>
      </w:pPr>
      <w:r>
        <w:rPr>
          <w:rFonts w:hint="eastAsia" w:ascii="Times New Roman" w:hAnsi="Times New Roman"/>
          <w:b/>
          <w:caps w:val="0"/>
          <w:smallCaps w:val="0"/>
          <w:color w:val="auto"/>
          <w:szCs w:val="21"/>
          <w:u w:val="single"/>
        </w:rPr>
        <w:object>
          <v:shape id="_x0000_i1036" o:spt="75" type="#_x0000_t75" style="height:336.65pt;width:438.95pt;" o:ole="t" filled="f" o:preferrelative="t" stroked="f" coordsize="21600,21600">
            <v:path/>
            <v:fill on="f" focussize="0,0"/>
            <v:stroke on="f"/>
            <v:imagedata r:id="rId46" o:title=""/>
            <o:lock v:ext="edit" aspectratio="f"/>
            <w10:wrap type="none"/>
            <w10:anchorlock/>
          </v:shape>
          <o:OLEObject Type="Embed" ProgID="Visio.Drawing.11" ShapeID="_x0000_i1036" DrawAspect="Content" ObjectID="_1468075736" r:id="rId45">
            <o:LockedField>false</o:LockedField>
          </o:OLEObject>
        </w:object>
      </w:r>
    </w:p>
    <w:p>
      <w:pPr>
        <w:pStyle w:val="36"/>
        <w:bidi w:val="0"/>
        <w:rPr>
          <w:rFonts w:hint="eastAsia" w:ascii="Times New Roman" w:hAnsi="Times New Roman"/>
          <w:b/>
          <w:caps w:val="0"/>
          <w:smallCaps w:val="0"/>
          <w:color w:val="auto"/>
          <w:szCs w:val="21"/>
          <w:u w:val="single"/>
        </w:rPr>
      </w:pPr>
      <w:r>
        <w:rPr>
          <w:rFonts w:hint="eastAsia" w:ascii="Times New Roman" w:hAnsi="Times New Roman"/>
          <w:b/>
          <w:caps w:val="0"/>
          <w:smallCaps w:val="0"/>
          <w:color w:val="auto"/>
          <w:szCs w:val="21"/>
          <w:u w:val="single"/>
        </w:rPr>
        <w:t>图</w:t>
      </w:r>
      <w:r>
        <w:rPr>
          <w:rFonts w:hint="eastAsia" w:ascii="Times New Roman" w:hAnsi="Times New Roman"/>
          <w:b/>
          <w:caps w:val="0"/>
          <w:smallCaps w:val="0"/>
          <w:color w:val="auto"/>
          <w:szCs w:val="21"/>
          <w:u w:val="single"/>
          <w:lang w:val="en-US" w:eastAsia="zh-CN"/>
        </w:rPr>
        <w:t>5.4-1</w:t>
      </w:r>
      <w:r>
        <w:rPr>
          <w:rFonts w:hint="eastAsia" w:ascii="Times New Roman" w:hAnsi="Times New Roman"/>
          <w:b/>
          <w:caps w:val="0"/>
          <w:smallCaps w:val="0"/>
          <w:color w:val="auto"/>
          <w:szCs w:val="21"/>
          <w:u w:val="single"/>
        </w:rPr>
        <w:t xml:space="preserve">    </w:t>
      </w:r>
      <w:r>
        <w:rPr>
          <w:rFonts w:hint="eastAsia" w:ascii="Times New Roman" w:hAnsi="Times New Roman"/>
          <w:b/>
          <w:caps w:val="0"/>
          <w:smallCaps w:val="0"/>
          <w:color w:val="auto"/>
          <w:szCs w:val="21"/>
          <w:u w:val="single"/>
          <w:lang w:val="en-US" w:eastAsia="zh-CN"/>
        </w:rPr>
        <w:t>本项目</w:t>
      </w:r>
      <w:r>
        <w:rPr>
          <w:rFonts w:hint="eastAsia" w:ascii="Times New Roman" w:hAnsi="Times New Roman"/>
          <w:b/>
          <w:caps w:val="0"/>
          <w:smallCaps w:val="0"/>
          <w:color w:val="auto"/>
          <w:szCs w:val="21"/>
          <w:u w:val="single"/>
        </w:rPr>
        <w:t>水量平衡图（单位：</w:t>
      </w:r>
      <w:r>
        <w:rPr>
          <w:rFonts w:ascii="Times New Roman" w:hAnsi="Times New Roman"/>
          <w:b/>
          <w:caps w:val="0"/>
          <w:smallCaps w:val="0"/>
          <w:color w:val="auto"/>
          <w:szCs w:val="21"/>
          <w:u w:val="single"/>
        </w:rPr>
        <w:t>m</w:t>
      </w:r>
      <w:r>
        <w:rPr>
          <w:rFonts w:ascii="Times New Roman" w:hAnsi="Times New Roman"/>
          <w:b/>
          <w:caps w:val="0"/>
          <w:smallCaps w:val="0"/>
          <w:color w:val="auto"/>
          <w:szCs w:val="21"/>
          <w:u w:val="single"/>
          <w:vertAlign w:val="superscript"/>
        </w:rPr>
        <w:t>3</w:t>
      </w:r>
      <w:r>
        <w:rPr>
          <w:rFonts w:ascii="Times New Roman" w:hAnsi="Times New Roman"/>
          <w:b/>
          <w:caps w:val="0"/>
          <w:smallCaps w:val="0"/>
          <w:color w:val="auto"/>
          <w:szCs w:val="21"/>
          <w:u w:val="single"/>
        </w:rPr>
        <w:t>/</w:t>
      </w:r>
      <w:r>
        <w:rPr>
          <w:rFonts w:hint="eastAsia"/>
          <w:b/>
          <w:caps w:val="0"/>
          <w:smallCaps w:val="0"/>
          <w:color w:val="auto"/>
          <w:szCs w:val="21"/>
          <w:u w:val="single"/>
          <w:lang w:val="en-US" w:eastAsia="zh-CN"/>
        </w:rPr>
        <w:t>a</w:t>
      </w:r>
      <w:r>
        <w:rPr>
          <w:rFonts w:hint="eastAsia" w:ascii="Times New Roman" w:hAnsi="Times New Roman"/>
          <w:b/>
          <w:caps w:val="0"/>
          <w:smallCaps w:val="0"/>
          <w:color w:val="auto"/>
          <w:szCs w:val="21"/>
          <w:u w:val="single"/>
        </w:rPr>
        <w:t>）</w:t>
      </w:r>
    </w:p>
    <w:p>
      <w:pPr>
        <w:pStyle w:val="32"/>
        <w:bidi w:val="0"/>
        <w:rPr>
          <w:rFonts w:hint="eastAsia"/>
          <w:color w:val="auto"/>
          <w:lang w:val="en-US" w:eastAsia="zh-CN"/>
        </w:rPr>
      </w:pPr>
      <w:r>
        <w:rPr>
          <w:rFonts w:hint="eastAsia"/>
          <w:color w:val="auto"/>
          <w:lang w:val="en-US" w:eastAsia="zh-CN"/>
        </w:rPr>
        <w:t>5.4.3噪声</w:t>
      </w:r>
      <w:bookmarkEnd w:id="106"/>
    </w:p>
    <w:p>
      <w:pPr>
        <w:pStyle w:val="33"/>
        <w:bidi w:val="0"/>
        <w:rPr>
          <w:color w:val="auto"/>
          <w:sz w:val="24"/>
        </w:rPr>
      </w:pPr>
      <w:r>
        <w:rPr>
          <w:color w:val="auto"/>
        </w:rPr>
        <w:t>本项目产生噪声的主要设备有初精馏釜、泵、各种风机等，</w:t>
      </w:r>
      <w:r>
        <w:rPr>
          <w:color w:val="auto"/>
          <w:sz w:val="24"/>
        </w:rPr>
        <w:t>在采取建筑隔声、基础减震、安装消声器等措施后，可降噪10dB（A）~20dB（A）。本项目主要噪声声源状况见下表。</w:t>
      </w:r>
    </w:p>
    <w:p>
      <w:pPr>
        <w:pStyle w:val="36"/>
        <w:bidi w:val="0"/>
        <w:rPr>
          <w:rFonts w:ascii="Times New Roman" w:hAnsi="Times New Roman" w:cs="Times New Roman"/>
          <w:color w:val="auto"/>
        </w:rPr>
      </w:pPr>
      <w:r>
        <w:rPr>
          <w:rFonts w:ascii="Times New Roman" w:hAnsi="Times New Roman" w:cs="Times New Roman"/>
          <w:color w:val="auto"/>
        </w:rPr>
        <w:t>表</w:t>
      </w:r>
      <w:r>
        <w:rPr>
          <w:rFonts w:hint="eastAsia" w:ascii="Times New Roman" w:hAnsi="Times New Roman" w:cs="Times New Roman"/>
          <w:color w:val="auto"/>
          <w:lang w:val="en-US" w:eastAsia="zh-CN"/>
        </w:rPr>
        <w:t>5.4-</w:t>
      </w:r>
      <w:r>
        <w:rPr>
          <w:rFonts w:hint="eastAsia" w:cs="Times New Roman"/>
          <w:color w:val="auto"/>
          <w:lang w:val="en-US" w:eastAsia="zh-CN"/>
        </w:rPr>
        <w:t>6</w:t>
      </w:r>
      <w:r>
        <w:rPr>
          <w:rFonts w:ascii="Times New Roman" w:hAnsi="Times New Roman" w:cs="Times New Roman"/>
          <w:color w:val="auto"/>
        </w:rPr>
        <w:t xml:space="preserve">  本项目</w:t>
      </w:r>
      <w:r>
        <w:rPr>
          <w:rFonts w:hint="eastAsia" w:ascii="Times New Roman" w:hAnsi="Times New Roman" w:cs="Times New Roman"/>
          <w:color w:val="auto"/>
          <w:lang w:val="en-US" w:eastAsia="zh-CN"/>
        </w:rPr>
        <w:t>新增</w:t>
      </w:r>
      <w:r>
        <w:rPr>
          <w:rFonts w:ascii="Times New Roman" w:hAnsi="Times New Roman" w:cs="Times New Roman"/>
          <w:color w:val="auto"/>
        </w:rPr>
        <w:t>噪声声源状况一览表单位：（dB（A））</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9"/>
        <w:gridCol w:w="1214"/>
        <w:gridCol w:w="1130"/>
        <w:gridCol w:w="1722"/>
        <w:gridCol w:w="2817"/>
      </w:tblGrid>
      <w:tr>
        <w:trPr>
          <w:cantSplit/>
          <w:trHeight w:val="340" w:hRule="atLeast"/>
          <w:jc w:val="center"/>
        </w:trPr>
        <w:tc>
          <w:tcPr>
            <w:tcW w:w="1779" w:type="dxa"/>
            <w:noWrap w:val="0"/>
            <w:vAlign w:val="center"/>
          </w:tcPr>
          <w:p>
            <w:pPr>
              <w:pStyle w:val="35"/>
              <w:bidi w:val="0"/>
              <w:rPr>
                <w:rFonts w:ascii="Times New Roman" w:hAnsi="Times New Roman" w:cs="Times New Roman"/>
                <w:b/>
                <w:bCs/>
                <w:color w:val="auto"/>
              </w:rPr>
            </w:pPr>
            <w:r>
              <w:rPr>
                <w:rFonts w:ascii="Times New Roman" w:hAnsi="Times New Roman" w:cs="Times New Roman"/>
                <w:b/>
                <w:bCs/>
                <w:color w:val="auto"/>
              </w:rPr>
              <w:t>噪声设备</w:t>
            </w:r>
          </w:p>
        </w:tc>
        <w:tc>
          <w:tcPr>
            <w:tcW w:w="1214" w:type="dxa"/>
            <w:noWrap w:val="0"/>
            <w:vAlign w:val="center"/>
          </w:tcPr>
          <w:p>
            <w:pPr>
              <w:pStyle w:val="35"/>
              <w:bidi w:val="0"/>
              <w:rPr>
                <w:rFonts w:ascii="Times New Roman" w:hAnsi="Times New Roman" w:cs="Times New Roman"/>
                <w:b/>
                <w:bCs/>
                <w:color w:val="auto"/>
              </w:rPr>
            </w:pPr>
            <w:r>
              <w:rPr>
                <w:rFonts w:ascii="Times New Roman" w:hAnsi="Times New Roman" w:cs="Times New Roman"/>
                <w:b/>
                <w:bCs/>
                <w:color w:val="auto"/>
              </w:rPr>
              <w:t>数量</w:t>
            </w:r>
          </w:p>
          <w:p>
            <w:pPr>
              <w:pStyle w:val="35"/>
              <w:bidi w:val="0"/>
              <w:rPr>
                <w:rFonts w:ascii="Times New Roman" w:hAnsi="Times New Roman" w:cs="Times New Roman"/>
                <w:b/>
                <w:bCs/>
                <w:color w:val="auto"/>
              </w:rPr>
            </w:pPr>
            <w:r>
              <w:rPr>
                <w:rFonts w:ascii="Times New Roman" w:hAnsi="Times New Roman" w:cs="Times New Roman"/>
                <w:b/>
                <w:bCs/>
                <w:color w:val="auto"/>
              </w:rPr>
              <w:t>（台）</w:t>
            </w:r>
          </w:p>
        </w:tc>
        <w:tc>
          <w:tcPr>
            <w:tcW w:w="1130" w:type="dxa"/>
            <w:noWrap w:val="0"/>
            <w:vAlign w:val="center"/>
          </w:tcPr>
          <w:p>
            <w:pPr>
              <w:pStyle w:val="35"/>
              <w:bidi w:val="0"/>
              <w:rPr>
                <w:rFonts w:ascii="Times New Roman" w:hAnsi="Times New Roman" w:cs="Times New Roman"/>
                <w:b/>
                <w:bCs/>
                <w:color w:val="auto"/>
              </w:rPr>
            </w:pPr>
            <w:r>
              <w:rPr>
                <w:rFonts w:ascii="Times New Roman" w:hAnsi="Times New Roman" w:cs="Times New Roman"/>
                <w:b/>
                <w:bCs/>
                <w:color w:val="auto"/>
              </w:rPr>
              <w:t>单台设备</w:t>
            </w:r>
          </w:p>
          <w:p>
            <w:pPr>
              <w:pStyle w:val="35"/>
              <w:bidi w:val="0"/>
              <w:rPr>
                <w:rFonts w:ascii="Times New Roman" w:hAnsi="Times New Roman" w:cs="Times New Roman"/>
                <w:b/>
                <w:bCs/>
                <w:color w:val="auto"/>
              </w:rPr>
            </w:pPr>
            <w:r>
              <w:rPr>
                <w:rFonts w:ascii="Times New Roman" w:hAnsi="Times New Roman" w:cs="Times New Roman"/>
                <w:b/>
                <w:bCs/>
                <w:color w:val="auto"/>
              </w:rPr>
              <w:t>噪声值</w:t>
            </w:r>
          </w:p>
        </w:tc>
        <w:tc>
          <w:tcPr>
            <w:tcW w:w="1722" w:type="dxa"/>
            <w:noWrap w:val="0"/>
            <w:vAlign w:val="center"/>
          </w:tcPr>
          <w:p>
            <w:pPr>
              <w:pStyle w:val="35"/>
              <w:bidi w:val="0"/>
              <w:rPr>
                <w:rFonts w:ascii="Times New Roman" w:hAnsi="Times New Roman" w:cs="Times New Roman"/>
                <w:b/>
                <w:bCs/>
                <w:color w:val="auto"/>
              </w:rPr>
            </w:pPr>
            <w:r>
              <w:rPr>
                <w:rFonts w:ascii="Times New Roman" w:hAnsi="Times New Roman" w:cs="Times New Roman"/>
                <w:b/>
                <w:bCs/>
                <w:color w:val="auto"/>
              </w:rPr>
              <w:t>控制措施</w:t>
            </w:r>
          </w:p>
        </w:tc>
        <w:tc>
          <w:tcPr>
            <w:tcW w:w="2817" w:type="dxa"/>
            <w:noWrap w:val="0"/>
            <w:vAlign w:val="center"/>
          </w:tcPr>
          <w:p>
            <w:pPr>
              <w:pStyle w:val="35"/>
              <w:bidi w:val="0"/>
              <w:rPr>
                <w:rFonts w:ascii="Times New Roman" w:hAnsi="Times New Roman" w:cs="Times New Roman"/>
                <w:b/>
                <w:bCs/>
                <w:color w:val="auto"/>
              </w:rPr>
            </w:pPr>
            <w:r>
              <w:rPr>
                <w:rFonts w:ascii="Times New Roman" w:hAnsi="Times New Roman" w:cs="Times New Roman"/>
                <w:b/>
                <w:bCs/>
                <w:color w:val="auto"/>
              </w:rPr>
              <w:t>单台设备防护体外噪声值</w:t>
            </w:r>
          </w:p>
        </w:tc>
      </w:tr>
      <w:tr>
        <w:trPr>
          <w:cantSplit/>
          <w:trHeight w:val="340" w:hRule="atLeast"/>
          <w:jc w:val="center"/>
        </w:trPr>
        <w:tc>
          <w:tcPr>
            <w:tcW w:w="1779" w:type="dxa"/>
            <w:noWrap w:val="0"/>
            <w:vAlign w:val="center"/>
          </w:tcPr>
          <w:p>
            <w:pPr>
              <w:pStyle w:val="35"/>
              <w:bidi w:val="0"/>
              <w:rPr>
                <w:rFonts w:ascii="Times New Roman" w:hAnsi="Times New Roman" w:cs="Times New Roman"/>
                <w:color w:val="auto"/>
              </w:rPr>
            </w:pPr>
            <w:r>
              <w:rPr>
                <w:rFonts w:ascii="Times New Roman" w:hAnsi="Times New Roman" w:cs="Times New Roman"/>
                <w:color w:val="auto"/>
              </w:rPr>
              <w:t>反应釜（</w:t>
            </w:r>
            <w:r>
              <w:rPr>
                <w:rFonts w:hint="eastAsia" w:ascii="Times New Roman" w:hAnsi="Times New Roman" w:cs="Times New Roman"/>
                <w:color w:val="auto"/>
                <w:lang w:val="en-US" w:eastAsia="zh-CN"/>
              </w:rPr>
              <w:t>酯化反应</w:t>
            </w:r>
            <w:r>
              <w:rPr>
                <w:rFonts w:ascii="Times New Roman" w:hAnsi="Times New Roman" w:cs="Times New Roman"/>
                <w:color w:val="auto"/>
              </w:rPr>
              <w:t>）</w:t>
            </w:r>
          </w:p>
        </w:tc>
        <w:tc>
          <w:tcPr>
            <w:tcW w:w="1214" w:type="dxa"/>
            <w:noWrap w:val="0"/>
            <w:vAlign w:val="center"/>
          </w:tcPr>
          <w:p>
            <w:pPr>
              <w:pStyle w:val="35"/>
              <w:bidi w:val="0"/>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1</w:t>
            </w:r>
          </w:p>
        </w:tc>
        <w:tc>
          <w:tcPr>
            <w:tcW w:w="1130" w:type="dxa"/>
            <w:noWrap w:val="0"/>
            <w:vAlign w:val="center"/>
          </w:tcPr>
          <w:p>
            <w:pPr>
              <w:pStyle w:val="3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70</w:t>
            </w:r>
          </w:p>
        </w:tc>
        <w:tc>
          <w:tcPr>
            <w:tcW w:w="1722" w:type="dxa"/>
            <w:vMerge w:val="restart"/>
            <w:noWrap w:val="0"/>
            <w:vAlign w:val="center"/>
          </w:tcPr>
          <w:p>
            <w:pPr>
              <w:pStyle w:val="35"/>
              <w:bidi w:val="0"/>
              <w:rPr>
                <w:rFonts w:ascii="Times New Roman" w:hAnsi="Times New Roman" w:cs="Times New Roman"/>
                <w:color w:val="auto"/>
              </w:rPr>
            </w:pPr>
            <w:r>
              <w:rPr>
                <w:rFonts w:ascii="Times New Roman" w:hAnsi="Times New Roman" w:cs="Times New Roman"/>
                <w:color w:val="auto"/>
              </w:rPr>
              <w:t>采取建筑隔声、基础减震、安装消声器等措施</w:t>
            </w:r>
          </w:p>
        </w:tc>
        <w:tc>
          <w:tcPr>
            <w:tcW w:w="2817" w:type="dxa"/>
            <w:noWrap w:val="0"/>
            <w:vAlign w:val="center"/>
          </w:tcPr>
          <w:p>
            <w:pPr>
              <w:pStyle w:val="35"/>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60</w:t>
            </w:r>
          </w:p>
        </w:tc>
      </w:tr>
      <w:tr>
        <w:trPr>
          <w:cantSplit/>
          <w:trHeight w:val="340" w:hRule="atLeast"/>
          <w:jc w:val="center"/>
        </w:trPr>
        <w:tc>
          <w:tcPr>
            <w:tcW w:w="1779" w:type="dxa"/>
            <w:noWrap w:val="0"/>
            <w:vAlign w:val="center"/>
          </w:tcPr>
          <w:p>
            <w:pPr>
              <w:pStyle w:val="35"/>
              <w:bidi w:val="0"/>
              <w:rPr>
                <w:rFonts w:ascii="Times New Roman" w:hAnsi="Times New Roman" w:cs="Times New Roman"/>
                <w:color w:val="auto"/>
              </w:rPr>
            </w:pPr>
            <w:r>
              <w:rPr>
                <w:rFonts w:ascii="Times New Roman" w:hAnsi="Times New Roman" w:cs="Times New Roman"/>
                <w:color w:val="auto"/>
              </w:rPr>
              <w:t>各类泵</w:t>
            </w:r>
          </w:p>
        </w:tc>
        <w:tc>
          <w:tcPr>
            <w:tcW w:w="1214" w:type="dxa"/>
            <w:noWrap w:val="0"/>
            <w:vAlign w:val="center"/>
          </w:tcPr>
          <w:p>
            <w:pPr>
              <w:pStyle w:val="35"/>
              <w:bidi w:val="0"/>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5</w:t>
            </w:r>
          </w:p>
        </w:tc>
        <w:tc>
          <w:tcPr>
            <w:tcW w:w="1130" w:type="dxa"/>
            <w:noWrap w:val="0"/>
            <w:vAlign w:val="center"/>
          </w:tcPr>
          <w:p>
            <w:pPr>
              <w:pStyle w:val="35"/>
              <w:bidi w:val="0"/>
              <w:rPr>
                <w:rFonts w:ascii="Times New Roman" w:hAnsi="Times New Roman" w:cs="Times New Roman"/>
                <w:color w:val="auto"/>
              </w:rPr>
            </w:pPr>
            <w:r>
              <w:rPr>
                <w:rFonts w:ascii="Times New Roman" w:hAnsi="Times New Roman" w:cs="Times New Roman"/>
                <w:color w:val="auto"/>
              </w:rPr>
              <w:t>85</w:t>
            </w:r>
          </w:p>
        </w:tc>
        <w:tc>
          <w:tcPr>
            <w:tcW w:w="1722" w:type="dxa"/>
            <w:vMerge w:val="continue"/>
            <w:noWrap w:val="0"/>
            <w:vAlign w:val="center"/>
          </w:tcPr>
          <w:p>
            <w:pPr>
              <w:pStyle w:val="35"/>
              <w:bidi w:val="0"/>
              <w:rPr>
                <w:rFonts w:ascii="Times New Roman" w:hAnsi="Times New Roman" w:cs="Times New Roman"/>
                <w:color w:val="auto"/>
              </w:rPr>
            </w:pPr>
          </w:p>
        </w:tc>
        <w:tc>
          <w:tcPr>
            <w:tcW w:w="2817" w:type="dxa"/>
            <w:noWrap w:val="0"/>
            <w:vAlign w:val="center"/>
          </w:tcPr>
          <w:p>
            <w:pPr>
              <w:pStyle w:val="35"/>
              <w:bidi w:val="0"/>
              <w:rPr>
                <w:rFonts w:ascii="Times New Roman" w:hAnsi="Times New Roman" w:cs="Times New Roman"/>
                <w:color w:val="auto"/>
              </w:rPr>
            </w:pPr>
            <w:r>
              <w:rPr>
                <w:rFonts w:ascii="Times New Roman" w:hAnsi="Times New Roman" w:cs="Times New Roman"/>
                <w:color w:val="auto"/>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1779" w:type="dxa"/>
            <w:noWrap w:val="0"/>
            <w:vAlign w:val="center"/>
          </w:tcPr>
          <w:p>
            <w:pPr>
              <w:pStyle w:val="35"/>
              <w:bidi w:val="0"/>
              <w:rPr>
                <w:rFonts w:ascii="Times New Roman" w:hAnsi="Times New Roman" w:cs="Times New Roman"/>
                <w:color w:val="auto"/>
              </w:rPr>
            </w:pPr>
            <w:r>
              <w:rPr>
                <w:rFonts w:ascii="Times New Roman" w:hAnsi="Times New Roman" w:cs="Times New Roman"/>
                <w:color w:val="auto"/>
              </w:rPr>
              <w:t>风机</w:t>
            </w:r>
          </w:p>
        </w:tc>
        <w:tc>
          <w:tcPr>
            <w:tcW w:w="1214" w:type="dxa"/>
            <w:noWrap w:val="0"/>
            <w:vAlign w:val="center"/>
          </w:tcPr>
          <w:p>
            <w:pPr>
              <w:pStyle w:val="35"/>
              <w:bidi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w:t>
            </w:r>
          </w:p>
        </w:tc>
        <w:tc>
          <w:tcPr>
            <w:tcW w:w="1130" w:type="dxa"/>
            <w:noWrap w:val="0"/>
            <w:vAlign w:val="center"/>
          </w:tcPr>
          <w:p>
            <w:pPr>
              <w:pStyle w:val="35"/>
              <w:bidi w:val="0"/>
              <w:rPr>
                <w:rFonts w:ascii="Times New Roman" w:hAnsi="Times New Roman" w:cs="Times New Roman"/>
                <w:color w:val="auto"/>
              </w:rPr>
            </w:pPr>
            <w:r>
              <w:rPr>
                <w:rFonts w:ascii="Times New Roman" w:hAnsi="Times New Roman" w:cs="Times New Roman"/>
                <w:color w:val="auto"/>
              </w:rPr>
              <w:t>95</w:t>
            </w:r>
          </w:p>
        </w:tc>
        <w:tc>
          <w:tcPr>
            <w:tcW w:w="1722" w:type="dxa"/>
            <w:vMerge w:val="continue"/>
            <w:noWrap w:val="0"/>
            <w:vAlign w:val="center"/>
          </w:tcPr>
          <w:p>
            <w:pPr>
              <w:pStyle w:val="35"/>
              <w:bidi w:val="0"/>
              <w:rPr>
                <w:rFonts w:ascii="Times New Roman" w:hAnsi="Times New Roman" w:cs="Times New Roman"/>
                <w:color w:val="auto"/>
              </w:rPr>
            </w:pPr>
          </w:p>
        </w:tc>
        <w:tc>
          <w:tcPr>
            <w:tcW w:w="2817" w:type="dxa"/>
            <w:noWrap w:val="0"/>
            <w:vAlign w:val="center"/>
          </w:tcPr>
          <w:p>
            <w:pPr>
              <w:pStyle w:val="35"/>
              <w:bidi w:val="0"/>
              <w:rPr>
                <w:rFonts w:ascii="Times New Roman" w:hAnsi="Times New Roman" w:cs="Times New Roman"/>
                <w:color w:val="auto"/>
              </w:rPr>
            </w:pPr>
            <w:r>
              <w:rPr>
                <w:rFonts w:ascii="Times New Roman" w:hAnsi="Times New Roman" w:cs="Times New Roman"/>
                <w:color w:val="auto"/>
              </w:rPr>
              <w:t>75</w:t>
            </w:r>
          </w:p>
        </w:tc>
      </w:tr>
    </w:tbl>
    <w:p>
      <w:pPr>
        <w:pStyle w:val="32"/>
        <w:bidi w:val="0"/>
        <w:rPr>
          <w:rFonts w:hint="default"/>
          <w:color w:val="auto"/>
          <w:lang w:val="en-US" w:eastAsia="zh-CN"/>
        </w:rPr>
      </w:pPr>
      <w:bookmarkStart w:id="107" w:name="_Toc3951"/>
      <w:r>
        <w:rPr>
          <w:rFonts w:hint="eastAsia"/>
          <w:color w:val="auto"/>
          <w:lang w:val="en-US" w:eastAsia="zh-CN"/>
        </w:rPr>
        <w:t>5.4.4固废</w:t>
      </w:r>
      <w:bookmarkEnd w:id="107"/>
    </w:p>
    <w:p>
      <w:pPr>
        <w:pStyle w:val="33"/>
        <w:bidi w:val="0"/>
        <w:rPr>
          <w:color w:val="auto"/>
        </w:rPr>
      </w:pPr>
      <w:r>
        <w:rPr>
          <w:rFonts w:hint="eastAsia"/>
          <w:color w:val="auto"/>
        </w:rPr>
        <w:t>拟建项目运营期间产生的固体废物主要有釜残、废包装桶</w:t>
      </w:r>
      <w:r>
        <w:rPr>
          <w:rFonts w:hint="eastAsia"/>
          <w:color w:val="auto"/>
          <w:lang w:eastAsia="zh-Hans"/>
        </w:rPr>
        <w:t>、</w:t>
      </w:r>
      <w:r>
        <w:rPr>
          <w:rFonts w:hint="eastAsia"/>
          <w:color w:val="auto"/>
          <w:lang w:val="en-US" w:eastAsia="zh-Hans"/>
        </w:rPr>
        <w:t>废活性炭</w:t>
      </w:r>
      <w:r>
        <w:rPr>
          <w:rFonts w:hint="eastAsia"/>
          <w:color w:val="auto"/>
        </w:rPr>
        <w:t>和</w:t>
      </w:r>
      <w:r>
        <w:rPr>
          <w:rFonts w:hint="eastAsia"/>
          <w:color w:val="auto"/>
          <w:lang w:val="en-US" w:eastAsia="zh-CN"/>
        </w:rPr>
        <w:t>废</w:t>
      </w:r>
      <w:r>
        <w:rPr>
          <w:rFonts w:hint="eastAsia"/>
          <w:color w:val="auto"/>
        </w:rPr>
        <w:t>离子交换树脂</w:t>
      </w:r>
      <w:r>
        <w:rPr>
          <w:rFonts w:hint="eastAsia"/>
          <w:color w:val="auto"/>
          <w:lang w:eastAsia="zh-CN"/>
        </w:rPr>
        <w:t>、</w:t>
      </w:r>
      <w:r>
        <w:rPr>
          <w:rFonts w:hint="eastAsia"/>
          <w:color w:val="auto"/>
        </w:rPr>
        <w:t>生活垃圾等。</w:t>
      </w:r>
    </w:p>
    <w:p>
      <w:pPr>
        <w:pStyle w:val="33"/>
        <w:bidi w:val="0"/>
        <w:rPr>
          <w:color w:val="auto"/>
        </w:rPr>
      </w:pPr>
      <w:r>
        <w:rPr>
          <w:rFonts w:hint="eastAsia"/>
          <w:color w:val="auto"/>
        </w:rPr>
        <w:t>（1）</w:t>
      </w:r>
      <w:r>
        <w:rPr>
          <w:rFonts w:hint="eastAsia"/>
          <w:color w:val="auto"/>
          <w:lang w:val="en-US" w:eastAsia="zh-CN"/>
        </w:rPr>
        <w:t>反应</w:t>
      </w:r>
      <w:r>
        <w:rPr>
          <w:rFonts w:hint="eastAsia"/>
          <w:color w:val="auto"/>
        </w:rPr>
        <w:t>釜残</w:t>
      </w:r>
    </w:p>
    <w:p>
      <w:pPr>
        <w:pStyle w:val="33"/>
        <w:bidi w:val="0"/>
        <w:rPr>
          <w:rFonts w:hint="eastAsia" w:eastAsia="宋体"/>
          <w:color w:val="auto"/>
          <w:lang w:eastAsia="zh-CN"/>
        </w:rPr>
      </w:pPr>
      <w:r>
        <w:rPr>
          <w:rFonts w:hint="eastAsia"/>
          <w:color w:val="auto"/>
          <w:lang w:val="en-US" w:eastAsia="zh-CN"/>
        </w:rPr>
        <w:t>技改</w:t>
      </w:r>
      <w:r>
        <w:rPr>
          <w:rFonts w:hint="eastAsia"/>
          <w:color w:val="auto"/>
          <w:lang w:eastAsia="zh-CN"/>
        </w:rPr>
        <w:t>生产线</w:t>
      </w:r>
      <w:r>
        <w:rPr>
          <w:rFonts w:hint="eastAsia"/>
          <w:color w:val="auto"/>
        </w:rPr>
        <w:t>装置</w:t>
      </w:r>
      <w:r>
        <w:rPr>
          <w:rFonts w:hint="eastAsia"/>
          <w:color w:val="auto"/>
          <w:lang w:val="en-US" w:eastAsia="zh-CN"/>
        </w:rPr>
        <w:t>酯化反应</w:t>
      </w:r>
      <w:r>
        <w:rPr>
          <w:rFonts w:hint="eastAsia"/>
          <w:color w:val="auto"/>
        </w:rPr>
        <w:t>新增</w:t>
      </w:r>
      <w:r>
        <w:rPr>
          <w:rFonts w:hint="eastAsia"/>
          <w:color w:val="auto"/>
          <w:lang w:val="en-US" w:eastAsia="zh-CN"/>
        </w:rPr>
        <w:t>反应</w:t>
      </w:r>
      <w:r>
        <w:rPr>
          <w:rFonts w:hint="eastAsia"/>
          <w:color w:val="auto"/>
        </w:rPr>
        <w:t>釜残产生量约</w:t>
      </w:r>
      <w:r>
        <w:rPr>
          <w:rFonts w:hint="eastAsia"/>
          <w:color w:val="auto"/>
          <w:lang w:val="en-US" w:eastAsia="zh-CN"/>
        </w:rPr>
        <w:t>1.2</w:t>
      </w:r>
      <w:r>
        <w:rPr>
          <w:rFonts w:hint="eastAsia"/>
          <w:color w:val="auto"/>
        </w:rPr>
        <w:t>t/a，危废类别HW</w:t>
      </w:r>
      <w:r>
        <w:rPr>
          <w:rFonts w:hint="eastAsia"/>
          <w:color w:val="auto"/>
          <w:lang w:val="en-US" w:eastAsia="zh-CN"/>
        </w:rPr>
        <w:t>11</w:t>
      </w:r>
      <w:r>
        <w:rPr>
          <w:rFonts w:hint="eastAsia"/>
          <w:color w:val="auto"/>
        </w:rPr>
        <w:t>及代码900-</w:t>
      </w:r>
      <w:r>
        <w:rPr>
          <w:rFonts w:hint="eastAsia"/>
          <w:color w:val="auto"/>
          <w:lang w:val="en-US" w:eastAsia="zh-CN"/>
        </w:rPr>
        <w:t>013</w:t>
      </w:r>
      <w:r>
        <w:rPr>
          <w:rFonts w:hint="eastAsia"/>
          <w:color w:val="auto"/>
        </w:rPr>
        <w:t>-</w:t>
      </w:r>
      <w:r>
        <w:rPr>
          <w:rFonts w:hint="eastAsia"/>
          <w:color w:val="auto"/>
          <w:lang w:val="en-US" w:eastAsia="zh-CN"/>
        </w:rPr>
        <w:t>11</w:t>
      </w:r>
      <w:r>
        <w:rPr>
          <w:rFonts w:hint="eastAsia"/>
          <w:color w:val="auto"/>
        </w:rPr>
        <w:t>；用100L铁桶盛装，暂存于危险废物暂存间，定期送有资质单位处置</w:t>
      </w:r>
      <w:r>
        <w:rPr>
          <w:rFonts w:hint="eastAsia"/>
          <w:color w:val="auto"/>
          <w:lang w:eastAsia="zh-CN"/>
        </w:rPr>
        <w:t>。</w:t>
      </w:r>
    </w:p>
    <w:p>
      <w:pPr>
        <w:pStyle w:val="33"/>
        <w:bidi w:val="0"/>
        <w:rPr>
          <w:rFonts w:hint="eastAsia"/>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废离子交换树脂</w:t>
      </w:r>
    </w:p>
    <w:p>
      <w:pPr>
        <w:pStyle w:val="33"/>
        <w:bidi w:val="0"/>
        <w:rPr>
          <w:rFonts w:hint="eastAsia"/>
          <w:color w:val="auto"/>
          <w:lang w:eastAsia="zh-CN"/>
        </w:rPr>
      </w:pPr>
      <w:r>
        <w:rPr>
          <w:rFonts w:hint="eastAsia"/>
          <w:color w:val="auto"/>
          <w:lang w:val="en-US" w:eastAsia="zh-CN"/>
        </w:rPr>
        <w:t>项目预处理工序产生的废离子交换树脂约0.5t/a，</w:t>
      </w:r>
      <w:r>
        <w:rPr>
          <w:rFonts w:hint="eastAsia"/>
          <w:color w:val="auto"/>
        </w:rPr>
        <w:t>危废类别HW</w:t>
      </w:r>
      <w:r>
        <w:rPr>
          <w:rFonts w:hint="eastAsia"/>
          <w:color w:val="auto"/>
          <w:lang w:val="en-US" w:eastAsia="zh-CN"/>
        </w:rPr>
        <w:t>13</w:t>
      </w:r>
      <w:r>
        <w:rPr>
          <w:rFonts w:hint="eastAsia"/>
          <w:color w:val="auto"/>
        </w:rPr>
        <w:t>及代码900-</w:t>
      </w:r>
      <w:r>
        <w:rPr>
          <w:rFonts w:hint="eastAsia"/>
          <w:color w:val="auto"/>
          <w:lang w:val="en-US" w:eastAsia="zh-CN"/>
        </w:rPr>
        <w:t>015</w:t>
      </w:r>
      <w:r>
        <w:rPr>
          <w:rFonts w:hint="eastAsia"/>
          <w:color w:val="auto"/>
        </w:rPr>
        <w:t>-</w:t>
      </w:r>
      <w:r>
        <w:rPr>
          <w:rFonts w:hint="eastAsia"/>
          <w:color w:val="auto"/>
          <w:lang w:val="en-US" w:eastAsia="zh-CN"/>
        </w:rPr>
        <w:t>13，</w:t>
      </w:r>
      <w:r>
        <w:rPr>
          <w:rFonts w:hint="eastAsia"/>
          <w:color w:val="auto"/>
        </w:rPr>
        <w:t>暂存于危险废物暂存间，定期送有资质单位处置</w:t>
      </w:r>
      <w:r>
        <w:rPr>
          <w:rFonts w:hint="eastAsia"/>
          <w:color w:val="auto"/>
          <w:lang w:eastAsia="zh-CN"/>
        </w:rPr>
        <w:t>。</w:t>
      </w:r>
    </w:p>
    <w:p>
      <w:pPr>
        <w:pStyle w:val="33"/>
        <w:bidi w:val="0"/>
        <w:rPr>
          <w:rFonts w:hint="eastAsia"/>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废包装桶</w:t>
      </w:r>
    </w:p>
    <w:p>
      <w:pPr>
        <w:pStyle w:val="33"/>
        <w:bidi w:val="0"/>
        <w:rPr>
          <w:rFonts w:hint="eastAsia"/>
          <w:color w:val="auto"/>
          <w:lang w:eastAsia="zh-CN"/>
        </w:rPr>
      </w:pPr>
      <w:r>
        <w:rPr>
          <w:rFonts w:hint="eastAsia"/>
          <w:color w:val="auto"/>
          <w:lang w:eastAsia="zh-CN"/>
        </w:rPr>
        <w:t>空原料桶收集、堆存于原料仓库分出空桶区，定期由原料供应商回收重复利用，厂区内不设洗桶工序。</w:t>
      </w:r>
    </w:p>
    <w:p>
      <w:pPr>
        <w:pStyle w:val="3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废活性炭</w:t>
      </w:r>
    </w:p>
    <w:p>
      <w:pPr>
        <w:pStyle w:val="3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项目有机废气</w:t>
      </w:r>
      <w:r>
        <w:rPr>
          <w:rFonts w:hint="default" w:ascii="Times New Roman" w:hAnsi="Times New Roman" w:eastAsia="宋体" w:cs="Times New Roman"/>
          <w:color w:val="auto"/>
          <w:lang w:eastAsia="zh-CN"/>
        </w:rPr>
        <w:t>收集后的活性炭吸附处理，</w:t>
      </w:r>
      <w:r>
        <w:rPr>
          <w:rFonts w:hint="eastAsia" w:ascii="Times New Roman" w:hAnsi="Times New Roman" w:eastAsia="宋体" w:cs="Times New Roman"/>
          <w:color w:val="auto"/>
          <w:lang w:val="en-US" w:eastAsia="zh-CN"/>
        </w:rPr>
        <w:t>项目有机废气（甲醇和VOCs）产生量为21.64t，</w:t>
      </w:r>
      <w:r>
        <w:rPr>
          <w:rFonts w:hint="default" w:ascii="Times New Roman" w:hAnsi="Times New Roman" w:eastAsia="宋体" w:cs="Times New Roman"/>
          <w:color w:val="auto"/>
          <w:lang w:eastAsia="zh-CN"/>
        </w:rPr>
        <w:t>处理效率</w:t>
      </w:r>
      <w:r>
        <w:rPr>
          <w:rFonts w:hint="eastAsia" w:ascii="Times New Roman" w:hAnsi="Times New Roman" w:eastAsia="宋体" w:cs="Times New Roman"/>
          <w:color w:val="auto"/>
          <w:lang w:val="en-US" w:eastAsia="zh-CN"/>
        </w:rPr>
        <w:t>按80%</w:t>
      </w:r>
      <w:r>
        <w:rPr>
          <w:rFonts w:hint="default" w:ascii="Times New Roman" w:hAnsi="Times New Roman" w:eastAsia="宋体" w:cs="Times New Roman"/>
          <w:color w:val="auto"/>
          <w:lang w:eastAsia="zh-CN"/>
        </w:rPr>
        <w:t>计算，</w:t>
      </w:r>
      <w:r>
        <w:rPr>
          <w:rFonts w:hint="eastAsia" w:ascii="Times New Roman" w:hAnsi="Times New Roman" w:eastAsia="宋体" w:cs="Times New Roman"/>
          <w:color w:val="auto"/>
          <w:lang w:eastAsia="zh-CN"/>
        </w:rPr>
        <w:t>活性炭吸收处理</w:t>
      </w:r>
      <w:r>
        <w:rPr>
          <w:rFonts w:hint="eastAsia" w:ascii="Times New Roman" w:hAnsi="Times New Roman" w:eastAsia="宋体" w:cs="Times New Roman"/>
          <w:color w:val="auto"/>
          <w:lang w:val="en-US" w:eastAsia="zh-CN"/>
        </w:rPr>
        <w:t>有机废气约17.3t/a。</w:t>
      </w:r>
      <w:r>
        <w:rPr>
          <w:rFonts w:hint="default" w:ascii="Times New Roman" w:hAnsi="Times New Roman" w:eastAsia="宋体" w:cs="Times New Roman"/>
          <w:color w:val="auto"/>
          <w:lang w:eastAsia="zh-CN"/>
        </w:rPr>
        <w:t>根据《简明通风设计手册》P510页</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活性炭有效吸附量：</w:t>
      </w:r>
      <w:r>
        <w:rPr>
          <w:rFonts w:hint="default" w:ascii="Times New Roman" w:hAnsi="Times New Roman" w:eastAsia="宋体" w:cs="Times New Roman"/>
          <w:color w:val="auto"/>
          <w:lang w:val="en-US" w:eastAsia="zh-CN"/>
        </w:rPr>
        <w:t>qe=</w:t>
      </w:r>
      <w:r>
        <w:rPr>
          <w:rFonts w:hint="default" w:ascii="Times New Roman" w:hAnsi="Times New Roman" w:eastAsia="宋体" w:cs="Times New Roman"/>
          <w:color w:val="auto"/>
          <w:lang w:eastAsia="zh-CN"/>
        </w:rPr>
        <w:t>0.24kg/kg活性炭，则</w:t>
      </w:r>
      <w:r>
        <w:rPr>
          <w:rFonts w:hint="eastAsia" w:ascii="Times New Roman" w:hAnsi="Times New Roman" w:eastAsia="宋体" w:cs="Times New Roman"/>
          <w:color w:val="auto"/>
          <w:lang w:val="en-US" w:eastAsia="zh-CN"/>
        </w:rPr>
        <w:t>项目</w:t>
      </w:r>
      <w:r>
        <w:rPr>
          <w:rFonts w:hint="default" w:ascii="Times New Roman" w:hAnsi="Times New Roman" w:eastAsia="宋体" w:cs="Times New Roman"/>
          <w:color w:val="auto"/>
          <w:lang w:eastAsia="zh-CN"/>
        </w:rPr>
        <w:t>的活性炭量</w:t>
      </w:r>
      <w:r>
        <w:rPr>
          <w:rFonts w:hint="eastAsia" w:ascii="Times New Roman" w:hAnsi="Times New Roman" w:eastAsia="宋体" w:cs="Times New Roman"/>
          <w:color w:val="auto"/>
          <w:lang w:val="en-US" w:eastAsia="zh-CN"/>
        </w:rPr>
        <w:t>需求量72.1</w:t>
      </w:r>
      <w:r>
        <w:rPr>
          <w:rFonts w:hint="default" w:ascii="Times New Roman" w:hAnsi="Times New Roman" w:eastAsia="宋体" w:cs="Times New Roman"/>
          <w:color w:val="auto"/>
          <w:lang w:val="en-US" w:eastAsia="zh-CN"/>
        </w:rPr>
        <w:t>t</w:t>
      </w:r>
      <w:r>
        <w:rPr>
          <w:rFonts w:hint="default" w:ascii="Times New Roman" w:hAnsi="Times New Roman" w:eastAsia="宋体" w:cs="Times New Roman"/>
          <w:color w:val="auto"/>
          <w:lang w:eastAsia="zh-CN"/>
        </w:rPr>
        <w:t>/a，废活性炭量为</w:t>
      </w:r>
      <w:r>
        <w:rPr>
          <w:rFonts w:hint="default" w:ascii="Times New Roman" w:hAnsi="Times New Roman" w:eastAsia="宋体" w:cs="Times New Roman"/>
          <w:color w:val="auto"/>
          <w:lang w:val="en-US" w:eastAsia="zh-CN"/>
        </w:rPr>
        <w:t>活性炭吸附的</w:t>
      </w:r>
      <w:r>
        <w:rPr>
          <w:rFonts w:hint="eastAsia" w:ascii="Times New Roman" w:hAnsi="Times New Roman" w:eastAsia="宋体" w:cs="Times New Roman"/>
          <w:color w:val="auto"/>
          <w:lang w:val="en-US" w:eastAsia="zh-CN"/>
        </w:rPr>
        <w:t>有机废气</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lang w:eastAsia="zh-CN"/>
        </w:rPr>
        <w:t>活性炭量使用量，即</w:t>
      </w:r>
      <w:r>
        <w:rPr>
          <w:rFonts w:hint="eastAsia" w:ascii="Times New Roman" w:hAnsi="Times New Roman" w:eastAsia="宋体" w:cs="Times New Roman"/>
          <w:color w:val="auto"/>
          <w:lang w:val="en-US" w:eastAsia="zh-CN"/>
        </w:rPr>
        <w:t>89.4</w:t>
      </w:r>
      <w:r>
        <w:rPr>
          <w:rFonts w:hint="default" w:ascii="Times New Roman" w:hAnsi="Times New Roman" w:eastAsia="宋体" w:cs="Times New Roman"/>
          <w:color w:val="auto"/>
          <w:lang w:val="en-US" w:eastAsia="zh-CN"/>
        </w:rPr>
        <w:t>t/a</w:t>
      </w:r>
      <w:r>
        <w:rPr>
          <w:rFonts w:hint="default" w:ascii="Times New Roman" w:hAnsi="Times New Roman" w:eastAsia="宋体" w:cs="Times New Roman"/>
          <w:color w:val="auto"/>
          <w:lang w:eastAsia="zh-CN"/>
        </w:rPr>
        <w:t>。废</w:t>
      </w:r>
      <w:r>
        <w:rPr>
          <w:rFonts w:hint="default" w:ascii="Times New Roman" w:hAnsi="Times New Roman" w:eastAsia="宋体" w:cs="Times New Roman"/>
          <w:color w:val="auto"/>
          <w:lang w:val="en-US" w:eastAsia="zh-CN"/>
        </w:rPr>
        <w:t>活性炭属于危险废物</w:t>
      </w:r>
      <w:r>
        <w:rPr>
          <w:rFonts w:hint="eastAsia" w:ascii="Times New Roman" w:hAnsi="Times New Roman" w:eastAsia="宋体" w:cs="Times New Roman"/>
          <w:color w:val="auto"/>
          <w:lang w:val="en-US" w:eastAsia="zh-CN"/>
        </w:rPr>
        <w:t>，危废代码</w:t>
      </w:r>
      <w:r>
        <w:rPr>
          <w:rFonts w:hint="default" w:ascii="Times New Roman" w:hAnsi="Times New Roman" w:eastAsia="宋体" w:cs="Times New Roman"/>
          <w:color w:val="auto"/>
          <w:lang w:val="en-US" w:eastAsia="zh-CN"/>
        </w:rPr>
        <w:t>为HW49其他废物，代码为900-0</w:t>
      </w:r>
      <w:r>
        <w:rPr>
          <w:rFonts w:hint="eastAsia" w:ascii="Times New Roman" w:hAnsi="Times New Roman" w:eastAsia="宋体" w:cs="Times New Roman"/>
          <w:color w:val="auto"/>
          <w:lang w:val="en-US" w:eastAsia="zh-CN"/>
        </w:rPr>
        <w:t>39</w:t>
      </w:r>
      <w:r>
        <w:rPr>
          <w:rFonts w:hint="default" w:ascii="Times New Roman" w:hAnsi="Times New Roman" w:eastAsia="宋体" w:cs="Times New Roman"/>
          <w:color w:val="auto"/>
          <w:lang w:val="en-US" w:eastAsia="zh-CN"/>
        </w:rPr>
        <w:t>-49，</w:t>
      </w:r>
      <w:r>
        <w:rPr>
          <w:rFonts w:hint="eastAsia"/>
          <w:color w:val="auto"/>
        </w:rPr>
        <w:t>暂存于危险废物暂存间，定期送有资质单位处置</w:t>
      </w:r>
      <w:r>
        <w:rPr>
          <w:rFonts w:hint="default" w:ascii="Times New Roman" w:hAnsi="Times New Roman" w:eastAsia="宋体" w:cs="Times New Roman"/>
          <w:color w:val="auto"/>
          <w:lang w:val="en-US" w:eastAsia="zh-CN"/>
        </w:rPr>
        <w:t>。</w:t>
      </w:r>
    </w:p>
    <w:p>
      <w:pPr>
        <w:pStyle w:val="33"/>
        <w:bidi w:val="0"/>
        <w:rPr>
          <w:color w:val="auto"/>
        </w:rPr>
      </w:pPr>
      <w:r>
        <w:rPr>
          <w:rFonts w:hint="eastAsia"/>
          <w:color w:val="auto"/>
        </w:rPr>
        <w:t>（</w:t>
      </w:r>
      <w:r>
        <w:rPr>
          <w:rFonts w:hint="eastAsia"/>
          <w:color w:val="auto"/>
          <w:lang w:val="en-US" w:eastAsia="zh-CN"/>
        </w:rPr>
        <w:t>5</w:t>
      </w:r>
      <w:r>
        <w:rPr>
          <w:rFonts w:hint="eastAsia"/>
          <w:color w:val="auto"/>
        </w:rPr>
        <w:t>）生活垃圾</w:t>
      </w:r>
    </w:p>
    <w:p>
      <w:pPr>
        <w:pStyle w:val="33"/>
        <w:bidi w:val="0"/>
        <w:rPr>
          <w:color w:val="auto"/>
        </w:rPr>
      </w:pPr>
      <w:r>
        <w:rPr>
          <w:rFonts w:hint="eastAsia"/>
          <w:color w:val="auto"/>
        </w:rPr>
        <w:t>改扩工程新增员工为</w:t>
      </w:r>
      <w:r>
        <w:rPr>
          <w:rFonts w:hint="eastAsia"/>
          <w:color w:val="auto"/>
          <w:lang w:val="en-US" w:eastAsia="zh-CN"/>
        </w:rPr>
        <w:t>12</w:t>
      </w:r>
      <w:r>
        <w:rPr>
          <w:rFonts w:hint="eastAsia"/>
          <w:color w:val="auto"/>
        </w:rPr>
        <w:t>人，</w:t>
      </w:r>
      <w:r>
        <w:rPr>
          <w:rFonts w:hint="eastAsia"/>
          <w:color w:val="auto"/>
          <w:lang w:val="en-US" w:eastAsia="zh-CN"/>
        </w:rPr>
        <w:t>年工作330天，</w:t>
      </w:r>
      <w:r>
        <w:rPr>
          <w:rFonts w:hint="eastAsia"/>
          <w:color w:val="auto"/>
        </w:rPr>
        <w:t>按每人每天产生1kg生活垃圾计算，生活垃圾产生量</w:t>
      </w:r>
      <w:r>
        <w:rPr>
          <w:rFonts w:hint="eastAsia"/>
          <w:color w:val="auto"/>
          <w:lang w:val="en-US" w:eastAsia="zh-CN"/>
        </w:rPr>
        <w:t>3.96</w:t>
      </w:r>
      <w:r>
        <w:rPr>
          <w:rFonts w:hint="eastAsia"/>
          <w:color w:val="auto"/>
        </w:rPr>
        <w:t>t/a，送环卫部门处理。</w:t>
      </w:r>
    </w:p>
    <w:p>
      <w:pPr>
        <w:pStyle w:val="33"/>
        <w:bidi w:val="0"/>
        <w:rPr>
          <w:color w:val="auto"/>
        </w:rPr>
      </w:pPr>
      <w:r>
        <w:rPr>
          <w:color w:val="auto"/>
        </w:rPr>
        <w:t>各类固体废物暂存设施见下表</w:t>
      </w:r>
      <w:r>
        <w:rPr>
          <w:rFonts w:hint="eastAsia"/>
          <w:color w:val="auto"/>
          <w:lang w:val="en-US" w:eastAsia="zh-CN"/>
        </w:rPr>
        <w:t>5.4-7</w:t>
      </w:r>
      <w:r>
        <w:rPr>
          <w:color w:val="auto"/>
        </w:rPr>
        <w:t>。</w:t>
      </w:r>
    </w:p>
    <w:p>
      <w:pPr>
        <w:pStyle w:val="36"/>
        <w:bidi w:val="0"/>
        <w:rPr>
          <w:color w:val="auto"/>
        </w:rPr>
      </w:pPr>
      <w:r>
        <w:rPr>
          <w:rFonts w:hint="eastAsia"/>
          <w:color w:val="auto"/>
        </w:rPr>
        <w:t>表</w:t>
      </w:r>
      <w:r>
        <w:rPr>
          <w:rFonts w:hint="eastAsia"/>
          <w:color w:val="auto"/>
          <w:lang w:val="en-US" w:eastAsia="zh-CN"/>
        </w:rPr>
        <w:t>5.4-7</w:t>
      </w:r>
      <w:r>
        <w:rPr>
          <w:rFonts w:hint="eastAsia"/>
          <w:color w:val="auto"/>
        </w:rPr>
        <w:t xml:space="preserve">  运营期固体废物产生及处置情况一览表</w:t>
      </w:r>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954"/>
        <w:gridCol w:w="1196"/>
        <w:gridCol w:w="870"/>
        <w:gridCol w:w="1077"/>
        <w:gridCol w:w="693"/>
        <w:gridCol w:w="920"/>
        <w:gridCol w:w="564"/>
        <w:gridCol w:w="724"/>
        <w:gridCol w:w="10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05" w:type="pct"/>
            <w:tcBorders>
              <w:tl2br w:val="nil"/>
              <w:tr2bl w:val="nil"/>
            </w:tcBorders>
            <w:noWrap w:val="0"/>
            <w:vAlign w:val="center"/>
          </w:tcPr>
          <w:p>
            <w:pPr>
              <w:pStyle w:val="35"/>
              <w:bidi w:val="0"/>
              <w:rPr>
                <w:b/>
                <w:bCs/>
                <w:color w:val="auto"/>
                <w:u w:val="none"/>
              </w:rPr>
            </w:pPr>
            <w:r>
              <w:rPr>
                <w:b/>
                <w:bCs/>
                <w:color w:val="auto"/>
                <w:u w:val="none"/>
              </w:rPr>
              <w:t>危险废物名称</w:t>
            </w:r>
          </w:p>
        </w:tc>
        <w:tc>
          <w:tcPr>
            <w:tcW w:w="530" w:type="pct"/>
            <w:tcBorders>
              <w:tl2br w:val="nil"/>
              <w:tr2bl w:val="nil"/>
            </w:tcBorders>
            <w:noWrap w:val="0"/>
            <w:vAlign w:val="center"/>
          </w:tcPr>
          <w:p>
            <w:pPr>
              <w:pStyle w:val="35"/>
              <w:bidi w:val="0"/>
              <w:rPr>
                <w:b/>
                <w:bCs/>
                <w:color w:val="auto"/>
                <w:u w:val="none"/>
              </w:rPr>
            </w:pPr>
            <w:r>
              <w:rPr>
                <w:b/>
                <w:bCs/>
                <w:color w:val="auto"/>
                <w:u w:val="none"/>
              </w:rPr>
              <w:t>危险废物类别</w:t>
            </w:r>
          </w:p>
        </w:tc>
        <w:tc>
          <w:tcPr>
            <w:tcW w:w="664" w:type="pct"/>
            <w:tcBorders>
              <w:tl2br w:val="nil"/>
              <w:tr2bl w:val="nil"/>
            </w:tcBorders>
            <w:noWrap w:val="0"/>
            <w:vAlign w:val="center"/>
          </w:tcPr>
          <w:p>
            <w:pPr>
              <w:pStyle w:val="35"/>
              <w:bidi w:val="0"/>
              <w:rPr>
                <w:b/>
                <w:bCs/>
                <w:color w:val="auto"/>
                <w:u w:val="none"/>
              </w:rPr>
            </w:pPr>
            <w:r>
              <w:rPr>
                <w:b/>
                <w:bCs/>
                <w:color w:val="auto"/>
                <w:u w:val="none"/>
              </w:rPr>
              <w:t>废物代码</w:t>
            </w:r>
          </w:p>
        </w:tc>
        <w:tc>
          <w:tcPr>
            <w:tcW w:w="483" w:type="pct"/>
            <w:tcBorders>
              <w:tl2br w:val="nil"/>
              <w:tr2bl w:val="nil"/>
            </w:tcBorders>
            <w:noWrap w:val="0"/>
            <w:vAlign w:val="center"/>
          </w:tcPr>
          <w:p>
            <w:pPr>
              <w:pStyle w:val="35"/>
              <w:bidi w:val="0"/>
              <w:rPr>
                <w:b/>
                <w:bCs/>
                <w:color w:val="auto"/>
                <w:u w:val="none"/>
              </w:rPr>
            </w:pPr>
            <w:r>
              <w:rPr>
                <w:b/>
                <w:bCs/>
                <w:color w:val="auto"/>
                <w:u w:val="none"/>
              </w:rPr>
              <w:t>产生量（t/a）</w:t>
            </w:r>
          </w:p>
        </w:tc>
        <w:tc>
          <w:tcPr>
            <w:tcW w:w="598" w:type="pct"/>
            <w:tcBorders>
              <w:tl2br w:val="nil"/>
              <w:tr2bl w:val="nil"/>
            </w:tcBorders>
            <w:noWrap w:val="0"/>
            <w:vAlign w:val="center"/>
          </w:tcPr>
          <w:p>
            <w:pPr>
              <w:pStyle w:val="35"/>
              <w:bidi w:val="0"/>
              <w:rPr>
                <w:b/>
                <w:bCs/>
                <w:color w:val="auto"/>
                <w:u w:val="none"/>
              </w:rPr>
            </w:pPr>
            <w:r>
              <w:rPr>
                <w:b/>
                <w:bCs/>
                <w:color w:val="auto"/>
                <w:u w:val="none"/>
              </w:rPr>
              <w:t>产生工序及装置</w:t>
            </w:r>
          </w:p>
        </w:tc>
        <w:tc>
          <w:tcPr>
            <w:tcW w:w="385" w:type="pct"/>
            <w:tcBorders>
              <w:tl2br w:val="nil"/>
              <w:tr2bl w:val="nil"/>
            </w:tcBorders>
            <w:noWrap w:val="0"/>
            <w:vAlign w:val="center"/>
          </w:tcPr>
          <w:p>
            <w:pPr>
              <w:pStyle w:val="35"/>
              <w:bidi w:val="0"/>
              <w:rPr>
                <w:b/>
                <w:bCs/>
                <w:color w:val="auto"/>
                <w:u w:val="none"/>
              </w:rPr>
            </w:pPr>
            <w:r>
              <w:rPr>
                <w:b/>
                <w:bCs/>
                <w:color w:val="auto"/>
                <w:u w:val="none"/>
              </w:rPr>
              <w:t>形态</w:t>
            </w:r>
          </w:p>
        </w:tc>
        <w:tc>
          <w:tcPr>
            <w:tcW w:w="509" w:type="pct"/>
            <w:tcBorders>
              <w:tl2br w:val="nil"/>
              <w:tr2bl w:val="nil"/>
            </w:tcBorders>
            <w:noWrap w:val="0"/>
            <w:vAlign w:val="center"/>
          </w:tcPr>
          <w:p>
            <w:pPr>
              <w:pStyle w:val="35"/>
              <w:bidi w:val="0"/>
              <w:rPr>
                <w:b/>
                <w:bCs/>
                <w:color w:val="auto"/>
                <w:u w:val="none"/>
              </w:rPr>
            </w:pPr>
            <w:r>
              <w:rPr>
                <w:b/>
                <w:bCs/>
                <w:color w:val="auto"/>
                <w:u w:val="none"/>
              </w:rPr>
              <w:t>主要危险成分</w:t>
            </w:r>
          </w:p>
        </w:tc>
        <w:tc>
          <w:tcPr>
            <w:tcW w:w="313" w:type="pct"/>
            <w:tcBorders>
              <w:tl2br w:val="nil"/>
              <w:tr2bl w:val="nil"/>
            </w:tcBorders>
            <w:noWrap w:val="0"/>
            <w:vAlign w:val="center"/>
          </w:tcPr>
          <w:p>
            <w:pPr>
              <w:pStyle w:val="35"/>
              <w:bidi w:val="0"/>
              <w:rPr>
                <w:b/>
                <w:bCs/>
                <w:color w:val="auto"/>
                <w:u w:val="none"/>
              </w:rPr>
            </w:pPr>
            <w:r>
              <w:rPr>
                <w:b/>
                <w:bCs/>
                <w:color w:val="auto"/>
                <w:u w:val="none"/>
              </w:rPr>
              <w:t>产废周期</w:t>
            </w:r>
          </w:p>
        </w:tc>
        <w:tc>
          <w:tcPr>
            <w:tcW w:w="402" w:type="pct"/>
            <w:tcBorders>
              <w:tl2br w:val="nil"/>
              <w:tr2bl w:val="nil"/>
            </w:tcBorders>
            <w:noWrap w:val="0"/>
            <w:vAlign w:val="center"/>
          </w:tcPr>
          <w:p>
            <w:pPr>
              <w:pStyle w:val="35"/>
              <w:bidi w:val="0"/>
              <w:rPr>
                <w:b/>
                <w:bCs/>
                <w:color w:val="auto"/>
                <w:u w:val="none"/>
              </w:rPr>
            </w:pPr>
            <w:r>
              <w:rPr>
                <w:b/>
                <w:bCs/>
                <w:color w:val="auto"/>
                <w:u w:val="none"/>
              </w:rPr>
              <w:t>危险特性</w:t>
            </w:r>
          </w:p>
        </w:tc>
        <w:tc>
          <w:tcPr>
            <w:tcW w:w="606" w:type="pct"/>
            <w:tcBorders>
              <w:tl2br w:val="nil"/>
              <w:tr2bl w:val="nil"/>
            </w:tcBorders>
            <w:noWrap w:val="0"/>
            <w:vAlign w:val="center"/>
          </w:tcPr>
          <w:p>
            <w:pPr>
              <w:pStyle w:val="35"/>
              <w:bidi w:val="0"/>
              <w:rPr>
                <w:b/>
                <w:bCs/>
                <w:color w:val="auto"/>
                <w:u w:val="none"/>
              </w:rPr>
            </w:pPr>
            <w:r>
              <w:rPr>
                <w:b/>
                <w:bCs/>
                <w:color w:val="auto"/>
                <w:u w:val="none"/>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05" w:type="pct"/>
            <w:tcBorders>
              <w:tl2br w:val="nil"/>
              <w:tr2bl w:val="nil"/>
            </w:tcBorders>
            <w:noWrap w:val="0"/>
            <w:vAlign w:val="center"/>
          </w:tcPr>
          <w:p>
            <w:pPr>
              <w:pStyle w:val="35"/>
              <w:bidi w:val="0"/>
              <w:rPr>
                <w:color w:val="auto"/>
                <w:u w:val="none"/>
              </w:rPr>
            </w:pPr>
            <w:r>
              <w:rPr>
                <w:rFonts w:hint="eastAsia"/>
                <w:color w:val="auto"/>
                <w:u w:val="none"/>
              </w:rPr>
              <w:t>釜残</w:t>
            </w:r>
          </w:p>
        </w:tc>
        <w:tc>
          <w:tcPr>
            <w:tcW w:w="530" w:type="pct"/>
            <w:tcBorders>
              <w:tl2br w:val="nil"/>
              <w:tr2bl w:val="nil"/>
            </w:tcBorders>
            <w:noWrap w:val="0"/>
            <w:vAlign w:val="center"/>
          </w:tcPr>
          <w:p>
            <w:pPr>
              <w:pStyle w:val="35"/>
              <w:bidi w:val="0"/>
              <w:rPr>
                <w:rFonts w:hint="default" w:eastAsia="宋体"/>
                <w:color w:val="auto"/>
                <w:u w:val="none"/>
                <w:lang w:val="en-US" w:eastAsia="zh-CN"/>
              </w:rPr>
            </w:pPr>
            <w:r>
              <w:rPr>
                <w:rFonts w:hint="eastAsia"/>
                <w:color w:val="auto"/>
                <w:u w:val="none"/>
              </w:rPr>
              <w:t>HW</w:t>
            </w:r>
            <w:r>
              <w:rPr>
                <w:rFonts w:hint="eastAsia"/>
                <w:color w:val="auto"/>
                <w:u w:val="none"/>
                <w:lang w:val="en-US" w:eastAsia="zh-CN"/>
              </w:rPr>
              <w:t>11精（蒸）馏残渣</w:t>
            </w:r>
          </w:p>
        </w:tc>
        <w:tc>
          <w:tcPr>
            <w:tcW w:w="664" w:type="pct"/>
            <w:tcBorders>
              <w:tl2br w:val="nil"/>
              <w:tr2bl w:val="nil"/>
            </w:tcBorders>
            <w:noWrap w:val="0"/>
            <w:vAlign w:val="center"/>
          </w:tcPr>
          <w:p>
            <w:pPr>
              <w:pStyle w:val="35"/>
              <w:bidi w:val="0"/>
              <w:rPr>
                <w:rFonts w:hint="default" w:eastAsia="宋体"/>
                <w:color w:val="auto"/>
                <w:u w:val="none"/>
                <w:lang w:val="en-US" w:eastAsia="zh-CN"/>
              </w:rPr>
            </w:pPr>
            <w:r>
              <w:rPr>
                <w:rFonts w:hint="eastAsia"/>
                <w:color w:val="auto"/>
                <w:u w:val="none"/>
              </w:rPr>
              <w:t>900-</w:t>
            </w:r>
            <w:r>
              <w:rPr>
                <w:rFonts w:hint="eastAsia"/>
                <w:color w:val="auto"/>
                <w:u w:val="none"/>
                <w:lang w:val="en-US" w:eastAsia="zh-CN"/>
              </w:rPr>
              <w:t>013</w:t>
            </w:r>
            <w:r>
              <w:rPr>
                <w:rFonts w:hint="eastAsia"/>
                <w:color w:val="auto"/>
                <w:u w:val="none"/>
              </w:rPr>
              <w:t>-</w:t>
            </w:r>
            <w:r>
              <w:rPr>
                <w:rFonts w:hint="eastAsia"/>
                <w:color w:val="auto"/>
                <w:u w:val="none"/>
                <w:lang w:val="en-US" w:eastAsia="zh-CN"/>
              </w:rPr>
              <w:t>11</w:t>
            </w:r>
          </w:p>
        </w:tc>
        <w:tc>
          <w:tcPr>
            <w:tcW w:w="483" w:type="pct"/>
            <w:tcBorders>
              <w:tl2br w:val="nil"/>
              <w:tr2bl w:val="nil"/>
            </w:tcBorders>
            <w:noWrap w:val="0"/>
            <w:vAlign w:val="center"/>
          </w:tcPr>
          <w:p>
            <w:pPr>
              <w:pStyle w:val="35"/>
              <w:bidi w:val="0"/>
              <w:rPr>
                <w:rFonts w:hint="default" w:eastAsia="宋体"/>
                <w:color w:val="auto"/>
                <w:u w:val="none"/>
                <w:lang w:val="en-US" w:eastAsia="zh-CN"/>
              </w:rPr>
            </w:pPr>
            <w:r>
              <w:rPr>
                <w:rFonts w:hint="eastAsia"/>
                <w:color w:val="auto"/>
                <w:u w:val="none"/>
                <w:lang w:val="en-US" w:eastAsia="zh-CN"/>
              </w:rPr>
              <w:t>1.2</w:t>
            </w:r>
          </w:p>
        </w:tc>
        <w:tc>
          <w:tcPr>
            <w:tcW w:w="598" w:type="pct"/>
            <w:tcBorders>
              <w:tl2br w:val="nil"/>
              <w:tr2bl w:val="nil"/>
            </w:tcBorders>
            <w:noWrap w:val="0"/>
            <w:vAlign w:val="center"/>
          </w:tcPr>
          <w:p>
            <w:pPr>
              <w:pStyle w:val="35"/>
              <w:bidi w:val="0"/>
              <w:rPr>
                <w:rFonts w:hint="eastAsia"/>
                <w:color w:val="auto"/>
                <w:u w:val="none"/>
                <w:lang w:eastAsia="zh-CN"/>
              </w:rPr>
            </w:pPr>
            <w:r>
              <w:rPr>
                <w:rFonts w:hint="eastAsia"/>
                <w:color w:val="auto"/>
                <w:u w:val="none"/>
                <w:lang w:val="en-US" w:eastAsia="zh-CN"/>
              </w:rPr>
              <w:t>醋酸甲酯</w:t>
            </w:r>
            <w:r>
              <w:rPr>
                <w:rFonts w:hint="eastAsia"/>
                <w:color w:val="auto"/>
                <w:u w:val="none"/>
                <w:lang w:eastAsia="zh-CN"/>
              </w:rPr>
              <w:t>生产线</w:t>
            </w:r>
          </w:p>
        </w:tc>
        <w:tc>
          <w:tcPr>
            <w:tcW w:w="385" w:type="pct"/>
            <w:tcBorders>
              <w:tl2br w:val="nil"/>
              <w:tr2bl w:val="nil"/>
            </w:tcBorders>
            <w:noWrap w:val="0"/>
            <w:vAlign w:val="center"/>
          </w:tcPr>
          <w:p>
            <w:pPr>
              <w:pStyle w:val="35"/>
              <w:bidi w:val="0"/>
              <w:rPr>
                <w:color w:val="auto"/>
                <w:u w:val="none"/>
              </w:rPr>
            </w:pPr>
            <w:r>
              <w:rPr>
                <w:color w:val="auto"/>
                <w:u w:val="none"/>
              </w:rPr>
              <w:t>固态</w:t>
            </w:r>
          </w:p>
        </w:tc>
        <w:tc>
          <w:tcPr>
            <w:tcW w:w="509" w:type="pct"/>
            <w:tcBorders>
              <w:tl2br w:val="nil"/>
              <w:tr2bl w:val="nil"/>
            </w:tcBorders>
            <w:noWrap w:val="0"/>
            <w:vAlign w:val="center"/>
          </w:tcPr>
          <w:p>
            <w:pPr>
              <w:pStyle w:val="35"/>
              <w:bidi w:val="0"/>
              <w:rPr>
                <w:color w:val="auto"/>
                <w:u w:val="none"/>
              </w:rPr>
            </w:pPr>
            <w:r>
              <w:rPr>
                <w:rFonts w:hint="eastAsia"/>
                <w:color w:val="auto"/>
                <w:u w:val="none"/>
              </w:rPr>
              <w:t>有机化</w:t>
            </w:r>
            <w:r>
              <w:rPr>
                <w:rFonts w:hint="eastAsia"/>
                <w:color w:val="auto"/>
                <w:u w:val="none"/>
                <w:lang w:val="en-US" w:eastAsia="zh-CN"/>
              </w:rPr>
              <w:t>合</w:t>
            </w:r>
            <w:r>
              <w:rPr>
                <w:rFonts w:hint="eastAsia"/>
                <w:color w:val="auto"/>
                <w:u w:val="none"/>
              </w:rPr>
              <w:t>物</w:t>
            </w:r>
          </w:p>
        </w:tc>
        <w:tc>
          <w:tcPr>
            <w:tcW w:w="313" w:type="pct"/>
            <w:tcBorders>
              <w:tl2br w:val="nil"/>
              <w:tr2bl w:val="nil"/>
            </w:tcBorders>
            <w:noWrap w:val="0"/>
            <w:vAlign w:val="center"/>
          </w:tcPr>
          <w:p>
            <w:pPr>
              <w:pStyle w:val="35"/>
              <w:bidi w:val="0"/>
              <w:rPr>
                <w:color w:val="auto"/>
                <w:u w:val="none"/>
              </w:rPr>
            </w:pPr>
            <w:r>
              <w:rPr>
                <w:color w:val="auto"/>
                <w:u w:val="none"/>
              </w:rPr>
              <w:t>不定</w:t>
            </w:r>
          </w:p>
        </w:tc>
        <w:tc>
          <w:tcPr>
            <w:tcW w:w="402" w:type="pct"/>
            <w:tcBorders>
              <w:tl2br w:val="nil"/>
              <w:tr2bl w:val="nil"/>
            </w:tcBorders>
            <w:noWrap w:val="0"/>
            <w:vAlign w:val="center"/>
          </w:tcPr>
          <w:p>
            <w:pPr>
              <w:pStyle w:val="35"/>
              <w:bidi w:val="0"/>
              <w:rPr>
                <w:color w:val="auto"/>
                <w:u w:val="none"/>
              </w:rPr>
            </w:pPr>
            <w:r>
              <w:rPr>
                <w:rFonts w:hint="eastAsia"/>
                <w:color w:val="auto"/>
                <w:u w:val="none"/>
              </w:rPr>
              <w:t>T</w:t>
            </w:r>
          </w:p>
        </w:tc>
        <w:tc>
          <w:tcPr>
            <w:tcW w:w="606" w:type="pct"/>
            <w:tcBorders>
              <w:tl2br w:val="nil"/>
              <w:tr2bl w:val="nil"/>
            </w:tcBorders>
            <w:noWrap w:val="0"/>
            <w:vAlign w:val="center"/>
          </w:tcPr>
          <w:p>
            <w:pPr>
              <w:pStyle w:val="35"/>
              <w:bidi w:val="0"/>
              <w:rPr>
                <w:color w:val="auto"/>
                <w:u w:val="none"/>
              </w:rPr>
            </w:pPr>
            <w:r>
              <w:rPr>
                <w:rFonts w:hint="eastAsia"/>
                <w:color w:val="auto"/>
                <w:u w:val="none"/>
              </w:rPr>
              <w:t>暂存于危险废物暂存间，定期送资质单位处置。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05" w:type="pct"/>
            <w:tcBorders>
              <w:tl2br w:val="nil"/>
              <w:tr2bl w:val="nil"/>
            </w:tcBorders>
            <w:noWrap w:val="0"/>
            <w:vAlign w:val="center"/>
          </w:tcPr>
          <w:p>
            <w:pPr>
              <w:pStyle w:val="35"/>
              <w:bidi w:val="0"/>
              <w:rPr>
                <w:rFonts w:hint="eastAsia"/>
                <w:color w:val="auto"/>
                <w:u w:val="none"/>
              </w:rPr>
            </w:pPr>
            <w:r>
              <w:rPr>
                <w:rFonts w:hint="eastAsia"/>
                <w:color w:val="auto"/>
                <w:u w:val="none"/>
              </w:rPr>
              <w:t>废离子交换树脂</w:t>
            </w:r>
          </w:p>
        </w:tc>
        <w:tc>
          <w:tcPr>
            <w:tcW w:w="530" w:type="pct"/>
            <w:tcBorders>
              <w:tl2br w:val="nil"/>
              <w:tr2bl w:val="nil"/>
            </w:tcBorders>
            <w:noWrap w:val="0"/>
            <w:vAlign w:val="center"/>
          </w:tcPr>
          <w:p>
            <w:pPr>
              <w:pStyle w:val="35"/>
              <w:bidi w:val="0"/>
              <w:rPr>
                <w:rFonts w:hint="default" w:eastAsia="宋体"/>
                <w:color w:val="auto"/>
                <w:u w:val="none"/>
                <w:lang w:val="en-US" w:eastAsia="zh-CN"/>
              </w:rPr>
            </w:pPr>
            <w:r>
              <w:rPr>
                <w:rFonts w:hint="eastAsia"/>
                <w:color w:val="auto"/>
                <w:u w:val="none"/>
                <w:lang w:val="en-US" w:eastAsia="zh-CN"/>
              </w:rPr>
              <w:t>HW有机树脂类废物</w:t>
            </w:r>
          </w:p>
        </w:tc>
        <w:tc>
          <w:tcPr>
            <w:tcW w:w="664" w:type="pct"/>
            <w:tcBorders>
              <w:tl2br w:val="nil"/>
              <w:tr2bl w:val="nil"/>
            </w:tcBorders>
            <w:noWrap w:val="0"/>
            <w:vAlign w:val="center"/>
          </w:tcPr>
          <w:p>
            <w:pPr>
              <w:pStyle w:val="35"/>
              <w:bidi w:val="0"/>
              <w:rPr>
                <w:rFonts w:hint="eastAsia"/>
                <w:color w:val="auto"/>
                <w:u w:val="none"/>
              </w:rPr>
            </w:pPr>
            <w:r>
              <w:rPr>
                <w:rFonts w:hint="eastAsia"/>
                <w:color w:val="auto"/>
              </w:rPr>
              <w:t>900-</w:t>
            </w:r>
            <w:r>
              <w:rPr>
                <w:rFonts w:hint="eastAsia"/>
                <w:color w:val="auto"/>
                <w:lang w:val="en-US" w:eastAsia="zh-CN"/>
              </w:rPr>
              <w:t>015</w:t>
            </w:r>
            <w:r>
              <w:rPr>
                <w:rFonts w:hint="eastAsia"/>
                <w:color w:val="auto"/>
              </w:rPr>
              <w:t>-</w:t>
            </w:r>
            <w:r>
              <w:rPr>
                <w:rFonts w:hint="eastAsia"/>
                <w:color w:val="auto"/>
                <w:lang w:val="en-US" w:eastAsia="zh-CN"/>
              </w:rPr>
              <w:t>13</w:t>
            </w:r>
          </w:p>
        </w:tc>
        <w:tc>
          <w:tcPr>
            <w:tcW w:w="483" w:type="pct"/>
            <w:tcBorders>
              <w:tl2br w:val="nil"/>
              <w:tr2bl w:val="nil"/>
            </w:tcBorders>
            <w:noWrap w:val="0"/>
            <w:vAlign w:val="center"/>
          </w:tcPr>
          <w:p>
            <w:pPr>
              <w:pStyle w:val="35"/>
              <w:bidi w:val="0"/>
              <w:rPr>
                <w:rFonts w:hint="default"/>
                <w:color w:val="auto"/>
                <w:u w:val="none"/>
                <w:lang w:val="en-US" w:eastAsia="zh-CN"/>
              </w:rPr>
            </w:pPr>
            <w:r>
              <w:rPr>
                <w:rFonts w:hint="eastAsia"/>
                <w:color w:val="auto"/>
                <w:u w:val="none"/>
                <w:lang w:val="en-US" w:eastAsia="zh-CN"/>
              </w:rPr>
              <w:t>0.5</w:t>
            </w:r>
          </w:p>
        </w:tc>
        <w:tc>
          <w:tcPr>
            <w:tcW w:w="598" w:type="pct"/>
            <w:tcBorders>
              <w:tl2br w:val="nil"/>
              <w:tr2bl w:val="nil"/>
            </w:tcBorders>
            <w:noWrap w:val="0"/>
            <w:vAlign w:val="center"/>
          </w:tcPr>
          <w:p>
            <w:pPr>
              <w:pStyle w:val="35"/>
              <w:bidi w:val="0"/>
              <w:rPr>
                <w:rFonts w:hint="default"/>
                <w:color w:val="auto"/>
                <w:u w:val="none"/>
                <w:lang w:val="en-US" w:eastAsia="zh-CN"/>
              </w:rPr>
            </w:pPr>
            <w:r>
              <w:rPr>
                <w:rFonts w:hint="eastAsia"/>
                <w:color w:val="auto"/>
                <w:u w:val="none"/>
                <w:lang w:val="en-US" w:eastAsia="zh-CN"/>
              </w:rPr>
              <w:t>预处理工序</w:t>
            </w:r>
          </w:p>
        </w:tc>
        <w:tc>
          <w:tcPr>
            <w:tcW w:w="385" w:type="pct"/>
            <w:tcBorders>
              <w:tl2br w:val="nil"/>
              <w:tr2bl w:val="nil"/>
            </w:tcBorders>
            <w:noWrap w:val="0"/>
            <w:vAlign w:val="center"/>
          </w:tcPr>
          <w:p>
            <w:pPr>
              <w:pStyle w:val="35"/>
              <w:bidi w:val="0"/>
              <w:rPr>
                <w:color w:val="auto"/>
                <w:u w:val="none"/>
              </w:rPr>
            </w:pPr>
            <w:r>
              <w:rPr>
                <w:color w:val="auto"/>
                <w:u w:val="none"/>
              </w:rPr>
              <w:t>固态</w:t>
            </w:r>
          </w:p>
        </w:tc>
        <w:tc>
          <w:tcPr>
            <w:tcW w:w="509" w:type="pct"/>
            <w:tcBorders>
              <w:tl2br w:val="nil"/>
              <w:tr2bl w:val="nil"/>
            </w:tcBorders>
            <w:noWrap w:val="0"/>
            <w:vAlign w:val="center"/>
          </w:tcPr>
          <w:p>
            <w:pPr>
              <w:pStyle w:val="35"/>
              <w:bidi w:val="0"/>
              <w:rPr>
                <w:rFonts w:hint="eastAsia"/>
                <w:color w:val="auto"/>
                <w:u w:val="none"/>
              </w:rPr>
            </w:pPr>
            <w:r>
              <w:rPr>
                <w:rFonts w:hint="eastAsia"/>
                <w:color w:val="auto"/>
                <w:u w:val="none"/>
              </w:rPr>
              <w:t>有机化</w:t>
            </w:r>
            <w:r>
              <w:rPr>
                <w:rFonts w:hint="eastAsia"/>
                <w:color w:val="auto"/>
                <w:u w:val="none"/>
                <w:lang w:val="en-US" w:eastAsia="zh-CN"/>
              </w:rPr>
              <w:t>合</w:t>
            </w:r>
            <w:r>
              <w:rPr>
                <w:rFonts w:hint="eastAsia"/>
                <w:color w:val="auto"/>
                <w:u w:val="none"/>
              </w:rPr>
              <w:t>物</w:t>
            </w:r>
          </w:p>
        </w:tc>
        <w:tc>
          <w:tcPr>
            <w:tcW w:w="564" w:type="dxa"/>
            <w:tcBorders>
              <w:tl2br w:val="nil"/>
              <w:tr2bl w:val="nil"/>
            </w:tcBorders>
            <w:noWrap w:val="0"/>
            <w:vAlign w:val="center"/>
          </w:tcPr>
          <w:p>
            <w:pPr>
              <w:pStyle w:val="35"/>
              <w:bidi w:val="0"/>
              <w:ind w:firstLine="0" w:firstLineChars="0"/>
              <w:rPr>
                <w:color w:val="auto"/>
                <w:u w:val="none"/>
              </w:rPr>
            </w:pPr>
            <w:r>
              <w:rPr>
                <w:color w:val="auto"/>
                <w:u w:val="none"/>
              </w:rPr>
              <w:t>不定</w:t>
            </w:r>
          </w:p>
        </w:tc>
        <w:tc>
          <w:tcPr>
            <w:tcW w:w="724" w:type="dxa"/>
            <w:tcBorders>
              <w:tl2br w:val="nil"/>
              <w:tr2bl w:val="nil"/>
            </w:tcBorders>
            <w:noWrap w:val="0"/>
            <w:vAlign w:val="center"/>
          </w:tcPr>
          <w:p>
            <w:pPr>
              <w:pStyle w:val="35"/>
              <w:bidi w:val="0"/>
              <w:ind w:firstLine="0" w:firstLineChars="0"/>
              <w:rPr>
                <w:rFonts w:hint="eastAsia"/>
                <w:color w:val="auto"/>
                <w:u w:val="none"/>
              </w:rPr>
            </w:pPr>
            <w:r>
              <w:rPr>
                <w:rFonts w:hint="eastAsia"/>
                <w:color w:val="auto"/>
                <w:u w:val="none"/>
              </w:rPr>
              <w:t>T</w:t>
            </w:r>
          </w:p>
        </w:tc>
        <w:tc>
          <w:tcPr>
            <w:tcW w:w="606" w:type="pct"/>
            <w:tcBorders>
              <w:tl2br w:val="nil"/>
              <w:tr2bl w:val="nil"/>
            </w:tcBorders>
            <w:noWrap w:val="0"/>
            <w:vAlign w:val="center"/>
          </w:tcPr>
          <w:p>
            <w:pPr>
              <w:pStyle w:val="35"/>
              <w:bidi w:val="0"/>
              <w:rPr>
                <w:rFonts w:hint="eastAsia"/>
                <w:color w:val="auto"/>
                <w:u w:val="none"/>
              </w:rPr>
            </w:pPr>
            <w:r>
              <w:rPr>
                <w:rFonts w:hint="eastAsia"/>
                <w:color w:val="auto"/>
                <w:u w:val="none"/>
              </w:rPr>
              <w:t>暂存于危险废物暂存间，定期送资质单位处置。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05" w:type="pct"/>
            <w:tcBorders>
              <w:tl2br w:val="nil"/>
              <w:tr2bl w:val="nil"/>
            </w:tcBorders>
            <w:noWrap w:val="0"/>
            <w:vAlign w:val="center"/>
          </w:tcPr>
          <w:p>
            <w:pPr>
              <w:pStyle w:val="35"/>
              <w:bidi w:val="0"/>
              <w:rPr>
                <w:rFonts w:hint="eastAsia" w:eastAsia="宋体"/>
                <w:color w:val="auto"/>
                <w:u w:val="none"/>
                <w:lang w:val="en-US" w:eastAsia="zh-CN"/>
              </w:rPr>
            </w:pPr>
            <w:r>
              <w:rPr>
                <w:rFonts w:hint="eastAsia"/>
                <w:color w:val="auto"/>
                <w:u w:val="none"/>
                <w:lang w:val="en-US" w:eastAsia="zh-CN"/>
              </w:rPr>
              <w:t>废活性炭</w:t>
            </w:r>
          </w:p>
        </w:tc>
        <w:tc>
          <w:tcPr>
            <w:tcW w:w="530" w:type="pct"/>
            <w:tcBorders>
              <w:tl2br w:val="nil"/>
              <w:tr2bl w:val="nil"/>
            </w:tcBorders>
            <w:noWrap w:val="0"/>
            <w:vAlign w:val="center"/>
          </w:tcPr>
          <w:p>
            <w:pPr>
              <w:pStyle w:val="35"/>
              <w:bidi w:val="0"/>
              <w:rPr>
                <w:rFonts w:hint="eastAsia"/>
                <w:color w:val="auto"/>
                <w:u w:val="none"/>
                <w:lang w:val="en-US" w:eastAsia="zh-CN"/>
              </w:rPr>
            </w:pPr>
            <w:r>
              <w:rPr>
                <w:rFonts w:hint="default" w:ascii="Times New Roman" w:hAnsi="Times New Roman" w:eastAsia="宋体" w:cs="Times New Roman"/>
                <w:color w:val="auto"/>
                <w:lang w:val="en-US" w:eastAsia="zh-CN"/>
              </w:rPr>
              <w:t>HW49其他废物</w:t>
            </w:r>
          </w:p>
        </w:tc>
        <w:tc>
          <w:tcPr>
            <w:tcW w:w="664" w:type="pct"/>
            <w:tcBorders>
              <w:tl2br w:val="nil"/>
              <w:tr2bl w:val="nil"/>
            </w:tcBorders>
            <w:noWrap w:val="0"/>
            <w:vAlign w:val="center"/>
          </w:tcPr>
          <w:p>
            <w:pPr>
              <w:pStyle w:val="35"/>
              <w:bidi w:val="0"/>
              <w:rPr>
                <w:rFonts w:hint="eastAsia"/>
                <w:color w:val="auto"/>
              </w:rPr>
            </w:pPr>
            <w:r>
              <w:rPr>
                <w:rFonts w:hint="default" w:ascii="Times New Roman" w:hAnsi="Times New Roman" w:eastAsia="宋体" w:cs="Times New Roman"/>
                <w:color w:val="auto"/>
                <w:lang w:val="en-US" w:eastAsia="zh-CN"/>
              </w:rPr>
              <w:t>900-0</w:t>
            </w:r>
            <w:r>
              <w:rPr>
                <w:rFonts w:hint="eastAsia" w:ascii="Times New Roman" w:hAnsi="Times New Roman" w:eastAsia="宋体" w:cs="Times New Roman"/>
                <w:color w:val="auto"/>
                <w:lang w:val="en-US" w:eastAsia="zh-CN"/>
              </w:rPr>
              <w:t>39</w:t>
            </w:r>
            <w:r>
              <w:rPr>
                <w:rFonts w:hint="default" w:ascii="Times New Roman" w:hAnsi="Times New Roman" w:eastAsia="宋体" w:cs="Times New Roman"/>
                <w:color w:val="auto"/>
                <w:lang w:val="en-US" w:eastAsia="zh-CN"/>
              </w:rPr>
              <w:t>-49</w:t>
            </w:r>
          </w:p>
        </w:tc>
        <w:tc>
          <w:tcPr>
            <w:tcW w:w="483" w:type="pct"/>
            <w:tcBorders>
              <w:tl2br w:val="nil"/>
              <w:tr2bl w:val="nil"/>
            </w:tcBorders>
            <w:noWrap w:val="0"/>
            <w:vAlign w:val="center"/>
          </w:tcPr>
          <w:p>
            <w:pPr>
              <w:pStyle w:val="35"/>
              <w:bidi w:val="0"/>
              <w:rPr>
                <w:rFonts w:hint="default"/>
                <w:color w:val="auto"/>
                <w:u w:val="none"/>
                <w:lang w:val="en-US" w:eastAsia="zh-CN"/>
              </w:rPr>
            </w:pPr>
            <w:r>
              <w:rPr>
                <w:rFonts w:hint="eastAsia"/>
                <w:color w:val="auto"/>
                <w:u w:val="none"/>
                <w:lang w:val="en-US" w:eastAsia="zh-CN"/>
              </w:rPr>
              <w:t>89.4</w:t>
            </w:r>
          </w:p>
        </w:tc>
        <w:tc>
          <w:tcPr>
            <w:tcW w:w="598" w:type="pct"/>
            <w:tcBorders>
              <w:tl2br w:val="nil"/>
              <w:tr2bl w:val="nil"/>
            </w:tcBorders>
            <w:noWrap w:val="0"/>
            <w:vAlign w:val="center"/>
          </w:tcPr>
          <w:p>
            <w:pPr>
              <w:pStyle w:val="35"/>
              <w:bidi w:val="0"/>
              <w:rPr>
                <w:rFonts w:hint="default"/>
                <w:color w:val="auto"/>
                <w:u w:val="none"/>
                <w:lang w:val="en-US" w:eastAsia="zh-CN"/>
              </w:rPr>
            </w:pPr>
            <w:r>
              <w:rPr>
                <w:rFonts w:hint="eastAsia"/>
                <w:color w:val="auto"/>
                <w:u w:val="none"/>
                <w:lang w:val="en-US" w:eastAsia="zh-CN"/>
              </w:rPr>
              <w:t>废气处理</w:t>
            </w:r>
          </w:p>
        </w:tc>
        <w:tc>
          <w:tcPr>
            <w:tcW w:w="385" w:type="pct"/>
            <w:tcBorders>
              <w:tl2br w:val="nil"/>
              <w:tr2bl w:val="nil"/>
            </w:tcBorders>
            <w:noWrap w:val="0"/>
            <w:vAlign w:val="center"/>
          </w:tcPr>
          <w:p>
            <w:pPr>
              <w:pStyle w:val="35"/>
              <w:bidi w:val="0"/>
              <w:rPr>
                <w:color w:val="auto"/>
                <w:u w:val="none"/>
              </w:rPr>
            </w:pPr>
            <w:r>
              <w:rPr>
                <w:color w:val="auto"/>
                <w:u w:val="none"/>
              </w:rPr>
              <w:t>固态</w:t>
            </w:r>
          </w:p>
        </w:tc>
        <w:tc>
          <w:tcPr>
            <w:tcW w:w="509" w:type="pct"/>
            <w:tcBorders>
              <w:tl2br w:val="nil"/>
              <w:tr2bl w:val="nil"/>
            </w:tcBorders>
            <w:noWrap w:val="0"/>
            <w:vAlign w:val="center"/>
          </w:tcPr>
          <w:p>
            <w:pPr>
              <w:pStyle w:val="35"/>
              <w:bidi w:val="0"/>
              <w:rPr>
                <w:rFonts w:hint="eastAsia"/>
                <w:color w:val="auto"/>
                <w:u w:val="none"/>
              </w:rPr>
            </w:pPr>
            <w:r>
              <w:rPr>
                <w:rFonts w:hint="eastAsia"/>
                <w:color w:val="auto"/>
                <w:u w:val="none"/>
              </w:rPr>
              <w:t>有机化</w:t>
            </w:r>
            <w:r>
              <w:rPr>
                <w:rFonts w:hint="eastAsia"/>
                <w:color w:val="auto"/>
                <w:u w:val="none"/>
                <w:lang w:val="en-US" w:eastAsia="zh-CN"/>
              </w:rPr>
              <w:t>合</w:t>
            </w:r>
            <w:r>
              <w:rPr>
                <w:rFonts w:hint="eastAsia"/>
                <w:color w:val="auto"/>
                <w:u w:val="none"/>
              </w:rPr>
              <w:t>物</w:t>
            </w:r>
          </w:p>
        </w:tc>
        <w:tc>
          <w:tcPr>
            <w:tcW w:w="564" w:type="dxa"/>
            <w:tcBorders>
              <w:tl2br w:val="nil"/>
              <w:tr2bl w:val="nil"/>
            </w:tcBorders>
            <w:noWrap w:val="0"/>
            <w:vAlign w:val="center"/>
          </w:tcPr>
          <w:p>
            <w:pPr>
              <w:pStyle w:val="35"/>
              <w:bidi w:val="0"/>
              <w:ind w:firstLine="0" w:firstLineChars="0"/>
              <w:rPr>
                <w:color w:val="auto"/>
                <w:u w:val="none"/>
              </w:rPr>
            </w:pPr>
            <w:r>
              <w:rPr>
                <w:color w:val="auto"/>
                <w:u w:val="none"/>
              </w:rPr>
              <w:t>不定</w:t>
            </w:r>
          </w:p>
        </w:tc>
        <w:tc>
          <w:tcPr>
            <w:tcW w:w="724" w:type="dxa"/>
            <w:tcBorders>
              <w:tl2br w:val="nil"/>
              <w:tr2bl w:val="nil"/>
            </w:tcBorders>
            <w:noWrap w:val="0"/>
            <w:vAlign w:val="center"/>
          </w:tcPr>
          <w:p>
            <w:pPr>
              <w:pStyle w:val="35"/>
              <w:bidi w:val="0"/>
              <w:ind w:firstLine="0" w:firstLineChars="0"/>
              <w:rPr>
                <w:rFonts w:hint="eastAsia"/>
                <w:color w:val="auto"/>
                <w:u w:val="none"/>
              </w:rPr>
            </w:pPr>
            <w:r>
              <w:rPr>
                <w:rFonts w:hint="eastAsia"/>
                <w:color w:val="auto"/>
                <w:u w:val="none"/>
              </w:rPr>
              <w:t>T</w:t>
            </w:r>
          </w:p>
        </w:tc>
        <w:tc>
          <w:tcPr>
            <w:tcW w:w="606" w:type="pct"/>
            <w:tcBorders>
              <w:tl2br w:val="nil"/>
              <w:tr2bl w:val="nil"/>
            </w:tcBorders>
            <w:noWrap w:val="0"/>
            <w:vAlign w:val="center"/>
          </w:tcPr>
          <w:p>
            <w:pPr>
              <w:pStyle w:val="35"/>
              <w:bidi w:val="0"/>
              <w:rPr>
                <w:rFonts w:hint="eastAsia"/>
                <w:color w:val="auto"/>
                <w:u w:val="none"/>
              </w:rPr>
            </w:pPr>
            <w:r>
              <w:rPr>
                <w:rFonts w:hint="eastAsia"/>
                <w:color w:val="auto"/>
                <w:u w:val="none"/>
              </w:rPr>
              <w:t>暂存于危险废物暂存间，定期送资质单位处置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35" w:type="pct"/>
            <w:gridSpan w:val="2"/>
            <w:tcBorders>
              <w:tl2br w:val="nil"/>
              <w:tr2bl w:val="nil"/>
            </w:tcBorders>
            <w:noWrap w:val="0"/>
            <w:vAlign w:val="center"/>
          </w:tcPr>
          <w:p>
            <w:pPr>
              <w:pStyle w:val="35"/>
              <w:bidi w:val="0"/>
              <w:rPr>
                <w:color w:val="auto"/>
                <w:u w:val="none"/>
              </w:rPr>
            </w:pPr>
            <w:r>
              <w:rPr>
                <w:color w:val="auto"/>
                <w:u w:val="none"/>
              </w:rPr>
              <w:t>固体废物名称</w:t>
            </w:r>
          </w:p>
        </w:tc>
        <w:tc>
          <w:tcPr>
            <w:tcW w:w="664" w:type="pct"/>
            <w:tcBorders>
              <w:tl2br w:val="nil"/>
              <w:tr2bl w:val="nil"/>
            </w:tcBorders>
            <w:noWrap w:val="0"/>
            <w:vAlign w:val="center"/>
          </w:tcPr>
          <w:p>
            <w:pPr>
              <w:pStyle w:val="35"/>
              <w:bidi w:val="0"/>
              <w:rPr>
                <w:color w:val="auto"/>
                <w:u w:val="none"/>
              </w:rPr>
            </w:pPr>
            <w:r>
              <w:rPr>
                <w:color w:val="auto"/>
                <w:u w:val="none"/>
              </w:rPr>
              <w:t>产生量（t/a）</w:t>
            </w:r>
          </w:p>
        </w:tc>
        <w:tc>
          <w:tcPr>
            <w:tcW w:w="1977" w:type="pct"/>
            <w:gridSpan w:val="4"/>
            <w:tcBorders>
              <w:tl2br w:val="nil"/>
              <w:tr2bl w:val="nil"/>
            </w:tcBorders>
            <w:noWrap w:val="0"/>
            <w:vAlign w:val="center"/>
          </w:tcPr>
          <w:p>
            <w:pPr>
              <w:pStyle w:val="35"/>
              <w:bidi w:val="0"/>
              <w:rPr>
                <w:color w:val="auto"/>
                <w:u w:val="none"/>
              </w:rPr>
            </w:pPr>
            <w:r>
              <w:rPr>
                <w:color w:val="auto"/>
                <w:u w:val="none"/>
              </w:rPr>
              <w:t>暂存设施</w:t>
            </w:r>
          </w:p>
        </w:tc>
        <w:tc>
          <w:tcPr>
            <w:tcW w:w="1322" w:type="pct"/>
            <w:gridSpan w:val="3"/>
            <w:tcBorders>
              <w:tl2br w:val="nil"/>
              <w:tr2bl w:val="nil"/>
            </w:tcBorders>
            <w:noWrap w:val="0"/>
            <w:vAlign w:val="center"/>
          </w:tcPr>
          <w:p>
            <w:pPr>
              <w:pStyle w:val="35"/>
              <w:bidi w:val="0"/>
              <w:rPr>
                <w:color w:val="auto"/>
                <w:u w:val="none"/>
              </w:rPr>
            </w:pPr>
            <w:r>
              <w:rPr>
                <w:color w:val="auto"/>
                <w:u w:val="none"/>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35" w:type="pct"/>
            <w:gridSpan w:val="2"/>
            <w:tcBorders>
              <w:tl2br w:val="nil"/>
              <w:tr2bl w:val="nil"/>
            </w:tcBorders>
            <w:noWrap w:val="0"/>
            <w:vAlign w:val="center"/>
          </w:tcPr>
          <w:p>
            <w:pPr>
              <w:pStyle w:val="35"/>
              <w:bidi w:val="0"/>
              <w:rPr>
                <w:color w:val="auto"/>
                <w:u w:val="none"/>
              </w:rPr>
            </w:pPr>
            <w:r>
              <w:rPr>
                <w:color w:val="auto"/>
                <w:u w:val="none"/>
              </w:rPr>
              <w:t>生活垃圾</w:t>
            </w:r>
          </w:p>
        </w:tc>
        <w:tc>
          <w:tcPr>
            <w:tcW w:w="664" w:type="pct"/>
            <w:tcBorders>
              <w:tl2br w:val="nil"/>
              <w:tr2bl w:val="nil"/>
            </w:tcBorders>
            <w:noWrap w:val="0"/>
            <w:vAlign w:val="center"/>
          </w:tcPr>
          <w:p>
            <w:pPr>
              <w:pStyle w:val="35"/>
              <w:bidi w:val="0"/>
              <w:rPr>
                <w:rFonts w:hint="default" w:eastAsia="宋体"/>
                <w:color w:val="auto"/>
                <w:u w:val="none"/>
                <w:lang w:val="en-US" w:eastAsia="zh-CN"/>
              </w:rPr>
            </w:pPr>
            <w:r>
              <w:rPr>
                <w:rFonts w:hint="eastAsia"/>
                <w:color w:val="auto"/>
                <w:u w:val="none"/>
                <w:lang w:val="en-US" w:eastAsia="zh-CN"/>
              </w:rPr>
              <w:t>3.96</w:t>
            </w:r>
          </w:p>
        </w:tc>
        <w:tc>
          <w:tcPr>
            <w:tcW w:w="1977" w:type="pct"/>
            <w:gridSpan w:val="4"/>
            <w:tcBorders>
              <w:tl2br w:val="nil"/>
              <w:tr2bl w:val="nil"/>
            </w:tcBorders>
            <w:noWrap w:val="0"/>
            <w:vAlign w:val="center"/>
          </w:tcPr>
          <w:p>
            <w:pPr>
              <w:pStyle w:val="35"/>
              <w:bidi w:val="0"/>
              <w:rPr>
                <w:color w:val="auto"/>
                <w:u w:val="none"/>
              </w:rPr>
            </w:pPr>
            <w:r>
              <w:rPr>
                <w:color w:val="auto"/>
                <w:u w:val="none"/>
              </w:rPr>
              <w:t>分区垃圾桶暂存，并设置垃圾收集点</w:t>
            </w:r>
          </w:p>
        </w:tc>
        <w:tc>
          <w:tcPr>
            <w:tcW w:w="1322" w:type="pct"/>
            <w:gridSpan w:val="3"/>
            <w:tcBorders>
              <w:tl2br w:val="nil"/>
              <w:tr2bl w:val="nil"/>
            </w:tcBorders>
            <w:noWrap w:val="0"/>
            <w:vAlign w:val="center"/>
          </w:tcPr>
          <w:p>
            <w:pPr>
              <w:pStyle w:val="35"/>
              <w:bidi w:val="0"/>
              <w:rPr>
                <w:color w:val="auto"/>
                <w:u w:val="none"/>
              </w:rPr>
            </w:pPr>
            <w:r>
              <w:rPr>
                <w:color w:val="auto"/>
                <w:u w:val="none"/>
              </w:rPr>
              <w:t>环卫部门统一清运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35" w:type="pct"/>
            <w:gridSpan w:val="2"/>
            <w:tcBorders>
              <w:tl2br w:val="nil"/>
              <w:tr2bl w:val="nil"/>
            </w:tcBorders>
            <w:noWrap w:val="0"/>
            <w:vAlign w:val="center"/>
          </w:tcPr>
          <w:p>
            <w:pPr>
              <w:pStyle w:val="35"/>
              <w:bidi w:val="0"/>
              <w:rPr>
                <w:color w:val="auto"/>
                <w:u w:val="none"/>
              </w:rPr>
            </w:pPr>
            <w:r>
              <w:rPr>
                <w:rFonts w:hint="eastAsia"/>
                <w:color w:val="auto"/>
                <w:u w:val="none"/>
              </w:rPr>
              <w:t>废包装桶</w:t>
            </w:r>
          </w:p>
        </w:tc>
        <w:tc>
          <w:tcPr>
            <w:tcW w:w="664" w:type="pct"/>
            <w:tcBorders>
              <w:tl2br w:val="nil"/>
              <w:tr2bl w:val="nil"/>
            </w:tcBorders>
            <w:noWrap w:val="0"/>
            <w:vAlign w:val="center"/>
          </w:tcPr>
          <w:p>
            <w:pPr>
              <w:pStyle w:val="35"/>
              <w:bidi w:val="0"/>
              <w:rPr>
                <w:rFonts w:hint="default"/>
                <w:color w:val="auto"/>
                <w:u w:val="none"/>
                <w:lang w:val="en-US" w:eastAsia="zh-CN"/>
              </w:rPr>
            </w:pPr>
            <w:r>
              <w:rPr>
                <w:rFonts w:hint="eastAsia"/>
                <w:color w:val="auto"/>
                <w:u w:val="none"/>
                <w:lang w:val="en-US" w:eastAsia="zh-CN"/>
              </w:rPr>
              <w:t>10</w:t>
            </w:r>
          </w:p>
        </w:tc>
        <w:tc>
          <w:tcPr>
            <w:tcW w:w="1977" w:type="pct"/>
            <w:gridSpan w:val="4"/>
            <w:tcBorders>
              <w:tl2br w:val="nil"/>
              <w:tr2bl w:val="nil"/>
            </w:tcBorders>
            <w:noWrap w:val="0"/>
            <w:vAlign w:val="center"/>
          </w:tcPr>
          <w:p>
            <w:pPr>
              <w:pStyle w:val="35"/>
              <w:bidi w:val="0"/>
              <w:rPr>
                <w:color w:val="auto"/>
                <w:u w:val="none"/>
              </w:rPr>
            </w:pPr>
            <w:r>
              <w:rPr>
                <w:rFonts w:hint="eastAsia"/>
                <w:color w:val="auto"/>
                <w:lang w:eastAsia="zh-CN"/>
              </w:rPr>
              <w:t>空原料桶收集、堆存于原料仓库分出空桶区</w:t>
            </w:r>
          </w:p>
        </w:tc>
        <w:tc>
          <w:tcPr>
            <w:tcW w:w="1322" w:type="pct"/>
            <w:gridSpan w:val="3"/>
            <w:tcBorders>
              <w:tl2br w:val="nil"/>
              <w:tr2bl w:val="nil"/>
            </w:tcBorders>
            <w:noWrap w:val="0"/>
            <w:vAlign w:val="center"/>
          </w:tcPr>
          <w:p>
            <w:pPr>
              <w:pStyle w:val="35"/>
              <w:bidi w:val="0"/>
              <w:rPr>
                <w:color w:val="auto"/>
                <w:u w:val="none"/>
              </w:rPr>
            </w:pPr>
            <w:r>
              <w:rPr>
                <w:rFonts w:hint="eastAsia"/>
                <w:color w:val="auto"/>
                <w:lang w:eastAsia="zh-CN"/>
              </w:rPr>
              <w:t>定期由原料供应商回收重复利用，厂区内不设洗桶工序</w:t>
            </w:r>
          </w:p>
        </w:tc>
      </w:tr>
    </w:tbl>
    <w:p>
      <w:pPr>
        <w:pStyle w:val="32"/>
        <w:bidi w:val="0"/>
        <w:rPr>
          <w:rFonts w:hint="eastAsia"/>
          <w:color w:val="auto"/>
          <w:lang w:val="en-US" w:eastAsia="zh-CN"/>
        </w:rPr>
      </w:pPr>
      <w:bookmarkStart w:id="108" w:name="_Toc17383"/>
      <w:r>
        <w:rPr>
          <w:rFonts w:hint="eastAsia"/>
          <w:color w:val="auto"/>
          <w:lang w:val="en-US" w:eastAsia="zh-CN"/>
        </w:rPr>
        <w:t>5.4.5非正常工况分析</w:t>
      </w:r>
      <w:bookmarkEnd w:id="108"/>
    </w:p>
    <w:p>
      <w:pPr>
        <w:pStyle w:val="33"/>
        <w:bidi w:val="0"/>
        <w:rPr>
          <w:rFonts w:hint="default"/>
          <w:color w:val="auto"/>
          <w:lang w:val="en-US" w:eastAsia="zh-CN"/>
        </w:rPr>
      </w:pPr>
      <w:r>
        <w:rPr>
          <w:rFonts w:hint="default"/>
          <w:color w:val="auto"/>
          <w:lang w:val="en-US" w:eastAsia="zh-CN"/>
        </w:rPr>
        <w:t>根据《环境影响评价技术导则</w:t>
      </w:r>
      <w:r>
        <w:rPr>
          <w:rFonts w:hint="eastAsia"/>
          <w:color w:val="auto"/>
          <w:lang w:val="en-US" w:eastAsia="zh-CN"/>
        </w:rPr>
        <w:t xml:space="preserve"> 总纲</w:t>
      </w:r>
      <w:r>
        <w:rPr>
          <w:rFonts w:hint="default"/>
          <w:color w:val="auto"/>
          <w:lang w:val="en-US" w:eastAsia="zh-CN"/>
        </w:rPr>
        <w:t>》(HJ2.1-2016)对非正常排放的定义，非正常工况下的污染物排放，包括点火开炉、设备检修、污染物控制措施达不到应有效率、工艺设备运转异常等情况下的排放。</w:t>
      </w:r>
    </w:p>
    <w:p>
      <w:pPr>
        <w:pStyle w:val="33"/>
        <w:bidi w:val="0"/>
        <w:rPr>
          <w:rFonts w:hint="default"/>
          <w:color w:val="auto"/>
          <w:lang w:val="en-US" w:eastAsia="zh-CN"/>
        </w:rPr>
      </w:pPr>
      <w:r>
        <w:rPr>
          <w:rFonts w:hint="default"/>
          <w:color w:val="auto"/>
          <w:lang w:val="en-US" w:eastAsia="zh-CN"/>
        </w:rPr>
        <w:t>拟建项目可能出现的废气非正常情况情况主要有两类</w:t>
      </w:r>
      <w:r>
        <w:rPr>
          <w:rFonts w:hint="eastAsia"/>
          <w:color w:val="auto"/>
          <w:lang w:val="en-US" w:eastAsia="zh-CN"/>
        </w:rPr>
        <w:t>：</w:t>
      </w:r>
      <w:r>
        <w:rPr>
          <w:rFonts w:hint="default"/>
          <w:color w:val="auto"/>
          <w:lang w:val="en-US" w:eastAsia="zh-CN"/>
        </w:rPr>
        <w:t>一是开停车，二是废气、废水处理处理设备出现故障。</w:t>
      </w:r>
    </w:p>
    <w:p>
      <w:pPr>
        <w:pStyle w:val="33"/>
        <w:bidi w:val="0"/>
        <w:rPr>
          <w:rFonts w:hint="default"/>
          <w:color w:val="auto"/>
          <w:lang w:val="en-US" w:eastAsia="zh-CN"/>
        </w:rPr>
      </w:pPr>
      <w:r>
        <w:rPr>
          <w:rFonts w:hint="default"/>
          <w:color w:val="auto"/>
          <w:lang w:val="en-US" w:eastAsia="zh-CN"/>
        </w:rPr>
        <w:t>开、停车</w:t>
      </w:r>
      <w:r>
        <w:rPr>
          <w:rFonts w:hint="eastAsia"/>
          <w:color w:val="auto"/>
          <w:lang w:val="en-US" w:eastAsia="zh-CN"/>
        </w:rPr>
        <w:t>：</w:t>
      </w:r>
      <w:r>
        <w:rPr>
          <w:rFonts w:hint="default"/>
          <w:color w:val="auto"/>
          <w:lang w:val="en-US" w:eastAsia="zh-CN"/>
        </w:rPr>
        <w:t>生产设备启动前，先运行废气收集处理设施，使废气能得到有效收集和处理。停车后，废气收集和处理设施继续运转，待工艺中的废气排出之后才关闭。</w:t>
      </w:r>
    </w:p>
    <w:p>
      <w:pPr>
        <w:pStyle w:val="33"/>
        <w:bidi w:val="0"/>
        <w:rPr>
          <w:rFonts w:hint="default"/>
          <w:color w:val="auto"/>
          <w:lang w:val="en-US" w:eastAsia="zh-CN"/>
        </w:rPr>
      </w:pPr>
      <w:r>
        <w:rPr>
          <w:rFonts w:hint="default"/>
          <w:color w:val="auto"/>
          <w:lang w:val="en-US" w:eastAsia="zh-CN"/>
        </w:rPr>
        <w:t>因此，车间在开、停车时排出废气污染物均得到有效处理，经</w:t>
      </w:r>
      <w:r>
        <w:rPr>
          <w:rFonts w:hint="eastAsia"/>
          <w:color w:val="auto"/>
          <w:lang w:val="en-US" w:eastAsia="zh-CN"/>
        </w:rPr>
        <w:t>排气筒</w:t>
      </w:r>
      <w:r>
        <w:rPr>
          <w:rFonts w:hint="default"/>
          <w:color w:val="auto"/>
          <w:lang w:val="en-US" w:eastAsia="zh-CN"/>
        </w:rPr>
        <w:t>排出的污染物</w:t>
      </w:r>
      <w:r>
        <w:rPr>
          <w:rFonts w:hint="eastAsia"/>
          <w:color w:val="auto"/>
          <w:lang w:val="en-US" w:eastAsia="zh-CN"/>
        </w:rPr>
        <w:t>浓</w:t>
      </w:r>
      <w:r>
        <w:rPr>
          <w:rFonts w:hint="default"/>
          <w:color w:val="auto"/>
          <w:lang w:val="en-US" w:eastAsia="zh-CN"/>
        </w:rPr>
        <w:t>度和正常生产时基本一致。</w:t>
      </w:r>
    </w:p>
    <w:p>
      <w:pPr>
        <w:pStyle w:val="33"/>
        <w:bidi w:val="0"/>
        <w:rPr>
          <w:rFonts w:hint="default"/>
          <w:b/>
          <w:bCs/>
          <w:color w:val="auto"/>
          <w:lang w:val="en-US" w:eastAsia="zh-CN"/>
        </w:rPr>
      </w:pPr>
      <w:r>
        <w:rPr>
          <w:rFonts w:hint="eastAsia"/>
          <w:b/>
          <w:bCs/>
          <w:color w:val="auto"/>
          <w:lang w:val="en-US" w:eastAsia="zh-CN"/>
        </w:rPr>
        <w:t>（1）</w:t>
      </w:r>
      <w:r>
        <w:rPr>
          <w:rFonts w:hint="default"/>
          <w:b/>
          <w:bCs/>
          <w:color w:val="auto"/>
          <w:lang w:val="en-US" w:eastAsia="zh-CN"/>
        </w:rPr>
        <w:t>废气非</w:t>
      </w:r>
      <w:r>
        <w:rPr>
          <w:rFonts w:hint="eastAsia"/>
          <w:b/>
          <w:bCs/>
          <w:color w:val="auto"/>
          <w:lang w:val="en-US" w:eastAsia="zh-CN"/>
        </w:rPr>
        <w:t>正</w:t>
      </w:r>
      <w:r>
        <w:rPr>
          <w:rFonts w:hint="default"/>
          <w:b/>
          <w:bCs/>
          <w:color w:val="auto"/>
          <w:lang w:val="en-US" w:eastAsia="zh-CN"/>
        </w:rPr>
        <w:t>常工况源强核算</w:t>
      </w:r>
    </w:p>
    <w:p>
      <w:pPr>
        <w:pStyle w:val="33"/>
        <w:bidi w:val="0"/>
        <w:rPr>
          <w:rFonts w:hint="default"/>
          <w:color w:val="auto"/>
          <w:lang w:val="en-US" w:eastAsia="zh-CN"/>
        </w:rPr>
      </w:pPr>
      <w:r>
        <w:rPr>
          <w:rFonts w:hint="default"/>
          <w:color w:val="auto"/>
          <w:lang w:val="en-US" w:eastAsia="zh-CN"/>
        </w:rPr>
        <w:t>废气收集系统均设置变频风机串联互为备用，因此一般情况下不会出现严重的事故排放，废气净化设施若出现故障可立即停止生产。保守起见，考虑最不利的情况</w:t>
      </w:r>
      <w:r>
        <w:rPr>
          <w:rFonts w:hint="eastAsia"/>
          <w:color w:val="auto"/>
          <w:lang w:val="en-US" w:eastAsia="zh-CN"/>
        </w:rPr>
        <w:t>，</w:t>
      </w:r>
      <w:r>
        <w:rPr>
          <w:rFonts w:hint="default"/>
          <w:color w:val="auto"/>
          <w:lang w:val="en-US" w:eastAsia="zh-CN"/>
        </w:rPr>
        <w:t>即处理设施完全失效情况下，生产过程产生的污染物直接从排气简排放，污染物的非正常排放量就等于污染物产生量。拟建项目选取废气处理装置出现故障，导致废气处理效率降低排放事故进行分析。非正常排放源强见下表。</w:t>
      </w:r>
    </w:p>
    <w:p>
      <w:pPr>
        <w:pStyle w:val="36"/>
        <w:bidi w:val="0"/>
        <w:rPr>
          <w:rFonts w:hint="eastAsia"/>
          <w:color w:val="auto"/>
          <w:lang w:val="en-US" w:eastAsia="zh-CN"/>
        </w:rPr>
      </w:pPr>
      <w:r>
        <w:rPr>
          <w:rFonts w:hint="eastAsia"/>
          <w:color w:val="auto"/>
          <w:lang w:val="en-US" w:eastAsia="zh-CN"/>
        </w:rPr>
        <w:t>表5.4-8 拟建项目非正常废气排放情况</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743"/>
        <w:gridCol w:w="681"/>
        <w:gridCol w:w="798"/>
        <w:gridCol w:w="669"/>
        <w:gridCol w:w="627"/>
        <w:gridCol w:w="627"/>
        <w:gridCol w:w="634"/>
        <w:gridCol w:w="631"/>
        <w:gridCol w:w="660"/>
        <w:gridCol w:w="629"/>
        <w:gridCol w:w="798"/>
        <w:gridCol w:w="629"/>
      </w:tblGrid>
      <w:tr>
        <w:trPr>
          <w:trHeight w:val="403" w:hRule="atLeast"/>
        </w:trPr>
        <w:tc>
          <w:tcPr>
            <w:tcW w:w="487" w:type="pct"/>
            <w:vMerge w:val="restar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污染源</w:t>
            </w:r>
          </w:p>
        </w:tc>
        <w:tc>
          <w:tcPr>
            <w:tcW w:w="412" w:type="pct"/>
            <w:vMerge w:val="restar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污染源名称</w:t>
            </w:r>
          </w:p>
        </w:tc>
        <w:tc>
          <w:tcPr>
            <w:tcW w:w="378" w:type="pct"/>
            <w:vMerge w:val="restar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废气量</w:t>
            </w:r>
          </w:p>
          <w:p>
            <w:pPr>
              <w:pStyle w:val="35"/>
              <w:bidi w:val="0"/>
              <w:jc w:val="center"/>
              <w:rPr>
                <w:rFonts w:hint="default"/>
                <w:b/>
                <w:bCs/>
                <w:color w:val="auto"/>
                <w:lang w:val="en-US" w:eastAsia="zh-CN"/>
              </w:rPr>
            </w:pPr>
            <w:r>
              <w:rPr>
                <w:rFonts w:hint="eastAsia"/>
                <w:b/>
                <w:bCs/>
                <w:color w:val="auto"/>
                <w:lang w:val="en-US" w:eastAsia="zh-CN"/>
              </w:rPr>
              <w:t>m</w:t>
            </w:r>
            <w:r>
              <w:rPr>
                <w:rFonts w:hint="eastAsia"/>
                <w:b/>
                <w:bCs/>
                <w:color w:val="auto"/>
                <w:vertAlign w:val="superscript"/>
                <w:lang w:val="en-US" w:eastAsia="zh-CN"/>
              </w:rPr>
              <w:t>3</w:t>
            </w:r>
            <w:r>
              <w:rPr>
                <w:rFonts w:hint="eastAsia"/>
                <w:b/>
                <w:bCs/>
                <w:color w:val="auto"/>
                <w:lang w:val="en-US" w:eastAsia="zh-CN"/>
              </w:rPr>
              <w:t>/h</w:t>
            </w:r>
          </w:p>
        </w:tc>
        <w:tc>
          <w:tcPr>
            <w:tcW w:w="814" w:type="pct"/>
            <w:gridSpan w:val="2"/>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排放情况</w:t>
            </w:r>
          </w:p>
        </w:tc>
        <w:tc>
          <w:tcPr>
            <w:tcW w:w="348" w:type="pct"/>
            <w:vMerge w:val="restar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处理效率</w:t>
            </w:r>
          </w:p>
        </w:tc>
        <w:tc>
          <w:tcPr>
            <w:tcW w:w="1050" w:type="pct"/>
            <w:gridSpan w:val="3"/>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排放源参数</w:t>
            </w:r>
          </w:p>
        </w:tc>
        <w:tc>
          <w:tcPr>
            <w:tcW w:w="366" w:type="pct"/>
            <w:vMerge w:val="restar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处理措施</w:t>
            </w:r>
          </w:p>
        </w:tc>
        <w:tc>
          <w:tcPr>
            <w:tcW w:w="349" w:type="pct"/>
            <w:vMerge w:val="restar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排放方式</w:t>
            </w:r>
          </w:p>
        </w:tc>
        <w:tc>
          <w:tcPr>
            <w:tcW w:w="443" w:type="pct"/>
            <w:vMerge w:val="restar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标准限值</w:t>
            </w:r>
          </w:p>
          <w:p>
            <w:pPr>
              <w:pStyle w:val="35"/>
              <w:bidi w:val="0"/>
              <w:jc w:val="center"/>
              <w:rPr>
                <w:rFonts w:hint="default"/>
                <w:b/>
                <w:bCs/>
                <w:color w:val="auto"/>
                <w:lang w:val="en-US" w:eastAsia="zh-CN"/>
              </w:rPr>
            </w:pPr>
            <w:r>
              <w:rPr>
                <w:rFonts w:hint="eastAsia"/>
                <w:b/>
                <w:bCs/>
                <w:color w:val="auto"/>
                <w:lang w:val="en-US" w:eastAsia="zh-CN"/>
              </w:rPr>
              <w:t>mg/m</w:t>
            </w:r>
            <w:r>
              <w:rPr>
                <w:rFonts w:hint="eastAsia"/>
                <w:b/>
                <w:bCs/>
                <w:color w:val="auto"/>
                <w:vertAlign w:val="superscript"/>
                <w:lang w:val="en-US" w:eastAsia="zh-CN"/>
              </w:rPr>
              <w:t>3</w:t>
            </w:r>
          </w:p>
        </w:tc>
        <w:tc>
          <w:tcPr>
            <w:tcW w:w="349" w:type="pct"/>
            <w:vMerge w:val="restar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是否达标</w:t>
            </w:r>
          </w:p>
        </w:tc>
      </w:tr>
      <w:tr>
        <w:trPr>
          <w:trHeight w:val="403" w:hRule="atLeast"/>
        </w:trPr>
        <w:tc>
          <w:tcPr>
            <w:tcW w:w="487" w:type="pct"/>
            <w:vMerge w:val="continue"/>
            <w:tcBorders>
              <w:tl2br w:val="nil"/>
              <w:tr2bl w:val="nil"/>
            </w:tcBorders>
            <w:noWrap w:val="0"/>
            <w:vAlign w:val="center"/>
          </w:tcPr>
          <w:p>
            <w:pPr>
              <w:pStyle w:val="35"/>
              <w:bidi w:val="0"/>
              <w:jc w:val="center"/>
              <w:rPr>
                <w:color w:val="auto"/>
              </w:rPr>
            </w:pPr>
          </w:p>
        </w:tc>
        <w:tc>
          <w:tcPr>
            <w:tcW w:w="412" w:type="pct"/>
            <w:vMerge w:val="continue"/>
            <w:tcBorders>
              <w:tl2br w:val="nil"/>
              <w:tr2bl w:val="nil"/>
            </w:tcBorders>
            <w:noWrap w:val="0"/>
            <w:vAlign w:val="center"/>
          </w:tcPr>
          <w:p>
            <w:pPr>
              <w:pStyle w:val="35"/>
              <w:bidi w:val="0"/>
              <w:jc w:val="center"/>
              <w:rPr>
                <w:color w:val="auto"/>
              </w:rPr>
            </w:pPr>
          </w:p>
        </w:tc>
        <w:tc>
          <w:tcPr>
            <w:tcW w:w="378" w:type="pct"/>
            <w:vMerge w:val="continue"/>
            <w:tcBorders>
              <w:tl2br w:val="nil"/>
              <w:tr2bl w:val="nil"/>
            </w:tcBorders>
            <w:noWrap w:val="0"/>
            <w:vAlign w:val="center"/>
          </w:tcPr>
          <w:p>
            <w:pPr>
              <w:pStyle w:val="35"/>
              <w:bidi w:val="0"/>
              <w:jc w:val="center"/>
              <w:rPr>
                <w:color w:val="auto"/>
              </w:rPr>
            </w:pPr>
          </w:p>
        </w:tc>
        <w:tc>
          <w:tcPr>
            <w:tcW w:w="443"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mg/m</w:t>
            </w:r>
            <w:r>
              <w:rPr>
                <w:rFonts w:hint="eastAsia"/>
                <w:b/>
                <w:bCs/>
                <w:color w:val="auto"/>
                <w:vertAlign w:val="superscript"/>
                <w:lang w:val="en-US" w:eastAsia="zh-CN"/>
              </w:rPr>
              <w:t>3</w:t>
            </w:r>
          </w:p>
        </w:tc>
        <w:tc>
          <w:tcPr>
            <w:tcW w:w="371" w:type="pct"/>
            <w:tcBorders>
              <w:tl2br w:val="nil"/>
              <w:tr2bl w:val="nil"/>
            </w:tcBorders>
            <w:noWrap w:val="0"/>
            <w:vAlign w:val="center"/>
          </w:tcPr>
          <w:p>
            <w:pPr>
              <w:pStyle w:val="35"/>
              <w:bidi w:val="0"/>
              <w:jc w:val="center"/>
              <w:rPr>
                <w:rFonts w:hint="default"/>
                <w:b/>
                <w:bCs/>
                <w:color w:val="auto"/>
                <w:lang w:val="en-US" w:eastAsia="zh-CN"/>
              </w:rPr>
            </w:pPr>
            <w:r>
              <w:rPr>
                <w:rFonts w:hint="eastAsia"/>
                <w:b/>
                <w:bCs/>
                <w:color w:val="auto"/>
                <w:lang w:val="en-US" w:eastAsia="zh-CN"/>
              </w:rPr>
              <w:t>kg/h</w:t>
            </w:r>
          </w:p>
        </w:tc>
        <w:tc>
          <w:tcPr>
            <w:tcW w:w="348" w:type="pct"/>
            <w:vMerge w:val="continue"/>
            <w:tcBorders>
              <w:tl2br w:val="nil"/>
              <w:tr2bl w:val="nil"/>
            </w:tcBorders>
            <w:noWrap w:val="0"/>
            <w:vAlign w:val="center"/>
          </w:tcPr>
          <w:p>
            <w:pPr>
              <w:pStyle w:val="35"/>
              <w:bidi w:val="0"/>
              <w:jc w:val="center"/>
              <w:rPr>
                <w:rFonts w:hint="default"/>
                <w:b/>
                <w:bCs/>
                <w:color w:val="auto"/>
                <w:lang w:val="en-US" w:eastAsia="zh-CN"/>
              </w:rPr>
            </w:pPr>
          </w:p>
        </w:tc>
        <w:tc>
          <w:tcPr>
            <w:tcW w:w="348" w:type="pc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高度</w:t>
            </w:r>
          </w:p>
          <w:p>
            <w:pPr>
              <w:pStyle w:val="35"/>
              <w:bidi w:val="0"/>
              <w:jc w:val="center"/>
              <w:rPr>
                <w:rFonts w:hint="default"/>
                <w:b/>
                <w:bCs/>
                <w:color w:val="auto"/>
                <w:lang w:val="en-US" w:eastAsia="zh-CN"/>
              </w:rPr>
            </w:pPr>
            <w:r>
              <w:rPr>
                <w:rFonts w:hint="eastAsia"/>
                <w:b/>
                <w:bCs/>
                <w:color w:val="auto"/>
                <w:lang w:val="en-US" w:eastAsia="zh-CN"/>
              </w:rPr>
              <w:t>m</w:t>
            </w:r>
          </w:p>
        </w:tc>
        <w:tc>
          <w:tcPr>
            <w:tcW w:w="352" w:type="pc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内径</w:t>
            </w:r>
          </w:p>
          <w:p>
            <w:pPr>
              <w:pStyle w:val="35"/>
              <w:bidi w:val="0"/>
              <w:jc w:val="center"/>
              <w:rPr>
                <w:rFonts w:hint="default"/>
                <w:b/>
                <w:bCs/>
                <w:color w:val="auto"/>
                <w:lang w:val="en-US" w:eastAsia="zh-CN"/>
              </w:rPr>
            </w:pPr>
            <w:r>
              <w:rPr>
                <w:rFonts w:hint="eastAsia"/>
                <w:b/>
                <w:bCs/>
                <w:color w:val="auto"/>
                <w:lang w:val="en-US" w:eastAsia="zh-CN"/>
              </w:rPr>
              <w:t>m</w:t>
            </w:r>
          </w:p>
        </w:tc>
        <w:tc>
          <w:tcPr>
            <w:tcW w:w="350" w:type="pct"/>
            <w:tcBorders>
              <w:tl2br w:val="nil"/>
              <w:tr2bl w:val="nil"/>
            </w:tcBorders>
            <w:noWrap w:val="0"/>
            <w:vAlign w:val="center"/>
          </w:tcPr>
          <w:p>
            <w:pPr>
              <w:pStyle w:val="35"/>
              <w:bidi w:val="0"/>
              <w:jc w:val="center"/>
              <w:rPr>
                <w:rFonts w:hint="eastAsia"/>
                <w:b/>
                <w:bCs/>
                <w:color w:val="auto"/>
                <w:lang w:val="en-US" w:eastAsia="zh-CN"/>
              </w:rPr>
            </w:pPr>
            <w:r>
              <w:rPr>
                <w:rFonts w:hint="eastAsia"/>
                <w:b/>
                <w:bCs/>
                <w:color w:val="auto"/>
                <w:lang w:val="en-US" w:eastAsia="zh-CN"/>
              </w:rPr>
              <w:t>温度</w:t>
            </w:r>
          </w:p>
          <w:p>
            <w:pPr>
              <w:pStyle w:val="35"/>
              <w:bidi w:val="0"/>
              <w:jc w:val="center"/>
              <w:rPr>
                <w:rFonts w:hint="default"/>
                <w:b/>
                <w:bCs/>
                <w:color w:val="auto"/>
                <w:lang w:val="en-US" w:eastAsia="zh-CN"/>
              </w:rPr>
            </w:pPr>
            <w:r>
              <w:rPr>
                <w:rFonts w:hint="eastAsia"/>
                <w:b/>
                <w:bCs/>
                <w:color w:val="auto"/>
                <w:lang w:val="en-US" w:eastAsia="zh-CN"/>
              </w:rPr>
              <w:t>℃</w:t>
            </w:r>
          </w:p>
        </w:tc>
        <w:tc>
          <w:tcPr>
            <w:tcW w:w="366" w:type="pct"/>
            <w:vMerge w:val="continue"/>
            <w:tcBorders>
              <w:tl2br w:val="nil"/>
              <w:tr2bl w:val="nil"/>
            </w:tcBorders>
            <w:noWrap w:val="0"/>
            <w:vAlign w:val="center"/>
          </w:tcPr>
          <w:p>
            <w:pPr>
              <w:pStyle w:val="35"/>
              <w:bidi w:val="0"/>
              <w:jc w:val="center"/>
              <w:rPr>
                <w:rFonts w:hint="default"/>
                <w:color w:val="auto"/>
                <w:lang w:val="en-US" w:eastAsia="zh-CN"/>
              </w:rPr>
            </w:pPr>
          </w:p>
        </w:tc>
        <w:tc>
          <w:tcPr>
            <w:tcW w:w="349" w:type="pct"/>
            <w:vMerge w:val="continue"/>
            <w:tcBorders>
              <w:tl2br w:val="nil"/>
              <w:tr2bl w:val="nil"/>
            </w:tcBorders>
            <w:noWrap w:val="0"/>
            <w:vAlign w:val="center"/>
          </w:tcPr>
          <w:p>
            <w:pPr>
              <w:pStyle w:val="35"/>
              <w:bidi w:val="0"/>
              <w:jc w:val="center"/>
              <w:rPr>
                <w:rFonts w:hint="default"/>
                <w:color w:val="auto"/>
                <w:lang w:val="en-US" w:eastAsia="zh-CN"/>
              </w:rPr>
            </w:pPr>
          </w:p>
        </w:tc>
        <w:tc>
          <w:tcPr>
            <w:tcW w:w="443" w:type="pct"/>
            <w:vMerge w:val="continue"/>
            <w:tcBorders>
              <w:tl2br w:val="nil"/>
              <w:tr2bl w:val="nil"/>
            </w:tcBorders>
            <w:noWrap w:val="0"/>
            <w:vAlign w:val="center"/>
          </w:tcPr>
          <w:p>
            <w:pPr>
              <w:pStyle w:val="35"/>
              <w:bidi w:val="0"/>
              <w:jc w:val="center"/>
              <w:rPr>
                <w:rFonts w:hint="default"/>
                <w:color w:val="auto"/>
                <w:lang w:val="en-US" w:eastAsia="zh-CN"/>
              </w:rPr>
            </w:pPr>
          </w:p>
        </w:tc>
        <w:tc>
          <w:tcPr>
            <w:tcW w:w="349" w:type="pct"/>
            <w:vMerge w:val="continue"/>
            <w:tcBorders>
              <w:tl2br w:val="nil"/>
              <w:tr2bl w:val="nil"/>
            </w:tcBorders>
            <w:noWrap w:val="0"/>
            <w:vAlign w:val="center"/>
          </w:tcPr>
          <w:p>
            <w:pPr>
              <w:pStyle w:val="35"/>
              <w:bidi w:val="0"/>
              <w:jc w:val="center"/>
              <w:rPr>
                <w:rFonts w:hint="default"/>
                <w:color w:val="auto"/>
                <w:lang w:val="en-US" w:eastAsia="zh-CN"/>
              </w:rPr>
            </w:pPr>
          </w:p>
        </w:tc>
      </w:tr>
      <w:tr>
        <w:trPr>
          <w:trHeight w:val="979" w:hRule="atLeast"/>
        </w:trPr>
        <w:tc>
          <w:tcPr>
            <w:tcW w:w="487" w:type="pct"/>
            <w:vMerge w:val="restar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G1、G2、G3、G4合计</w:t>
            </w:r>
          </w:p>
        </w:tc>
        <w:tc>
          <w:tcPr>
            <w:tcW w:w="41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VOCs</w:t>
            </w:r>
          </w:p>
        </w:tc>
        <w:tc>
          <w:tcPr>
            <w:tcW w:w="378" w:type="pct"/>
            <w:vMerge w:val="restar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3500</w:t>
            </w:r>
          </w:p>
        </w:tc>
        <w:tc>
          <w:tcPr>
            <w:tcW w:w="443"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sz w:val="21"/>
                <w:szCs w:val="21"/>
                <w:lang w:val="en-US" w:eastAsia="zh-CN"/>
              </w:rPr>
              <w:t>559</w:t>
            </w:r>
          </w:p>
        </w:tc>
        <w:tc>
          <w:tcPr>
            <w:tcW w:w="371"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sz w:val="21"/>
                <w:szCs w:val="21"/>
                <w:lang w:val="en-US" w:eastAsia="zh-CN"/>
              </w:rPr>
              <w:t>1.96</w:t>
            </w:r>
          </w:p>
        </w:tc>
        <w:tc>
          <w:tcPr>
            <w:tcW w:w="34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0</w:t>
            </w:r>
          </w:p>
        </w:tc>
        <w:tc>
          <w:tcPr>
            <w:tcW w:w="34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20</w:t>
            </w:r>
          </w:p>
        </w:tc>
        <w:tc>
          <w:tcPr>
            <w:tcW w:w="35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0.3</w:t>
            </w:r>
          </w:p>
        </w:tc>
        <w:tc>
          <w:tcPr>
            <w:tcW w:w="350"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20</w:t>
            </w:r>
          </w:p>
        </w:tc>
        <w:tc>
          <w:tcPr>
            <w:tcW w:w="366" w:type="pct"/>
            <w:vMerge w:val="restar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失效</w:t>
            </w:r>
          </w:p>
        </w:tc>
        <w:tc>
          <w:tcPr>
            <w:tcW w:w="349" w:type="pct"/>
            <w:vMerge w:val="restar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20米排气筒</w:t>
            </w:r>
          </w:p>
        </w:tc>
        <w:tc>
          <w:tcPr>
            <w:tcW w:w="44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120</w:t>
            </w:r>
          </w:p>
        </w:tc>
        <w:tc>
          <w:tcPr>
            <w:tcW w:w="349"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否</w:t>
            </w:r>
          </w:p>
        </w:tc>
      </w:tr>
      <w:tr>
        <w:trPr>
          <w:trHeight w:val="705" w:hRule="atLeast"/>
        </w:trPr>
        <w:tc>
          <w:tcPr>
            <w:tcW w:w="487" w:type="pct"/>
            <w:vMerge w:val="continue"/>
            <w:tcBorders>
              <w:tl2br w:val="nil"/>
              <w:tr2bl w:val="nil"/>
            </w:tcBorders>
            <w:noWrap w:val="0"/>
            <w:vAlign w:val="center"/>
          </w:tcPr>
          <w:p>
            <w:pPr>
              <w:pStyle w:val="35"/>
              <w:bidi w:val="0"/>
              <w:jc w:val="center"/>
              <w:rPr>
                <w:rFonts w:hint="default"/>
                <w:color w:val="auto"/>
                <w:lang w:val="en-US" w:eastAsia="zh-CN"/>
              </w:rPr>
            </w:pPr>
          </w:p>
        </w:tc>
        <w:tc>
          <w:tcPr>
            <w:tcW w:w="41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甲醇</w:t>
            </w:r>
          </w:p>
        </w:tc>
        <w:tc>
          <w:tcPr>
            <w:tcW w:w="378" w:type="pct"/>
            <w:vMerge w:val="continue"/>
            <w:tcBorders>
              <w:tl2br w:val="nil"/>
              <w:tr2bl w:val="nil"/>
            </w:tcBorders>
            <w:noWrap w:val="0"/>
            <w:vAlign w:val="center"/>
          </w:tcPr>
          <w:p>
            <w:pPr>
              <w:pStyle w:val="35"/>
              <w:bidi w:val="0"/>
              <w:jc w:val="center"/>
              <w:rPr>
                <w:rFonts w:hint="default"/>
                <w:color w:val="auto"/>
                <w:lang w:val="en-US" w:eastAsia="zh-CN"/>
              </w:rPr>
            </w:pPr>
          </w:p>
        </w:tc>
        <w:tc>
          <w:tcPr>
            <w:tcW w:w="443"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sz w:val="21"/>
                <w:szCs w:val="21"/>
                <w:lang w:val="en-US" w:eastAsia="zh-CN"/>
              </w:rPr>
              <w:t>111.8</w:t>
            </w:r>
          </w:p>
        </w:tc>
        <w:tc>
          <w:tcPr>
            <w:tcW w:w="371"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sz w:val="21"/>
                <w:szCs w:val="21"/>
                <w:lang w:val="en-US" w:eastAsia="zh-CN"/>
              </w:rPr>
              <w:t>0.39</w:t>
            </w:r>
          </w:p>
        </w:tc>
        <w:tc>
          <w:tcPr>
            <w:tcW w:w="34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0</w:t>
            </w:r>
          </w:p>
        </w:tc>
        <w:tc>
          <w:tcPr>
            <w:tcW w:w="348"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20</w:t>
            </w:r>
          </w:p>
        </w:tc>
        <w:tc>
          <w:tcPr>
            <w:tcW w:w="352"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0.3</w:t>
            </w:r>
          </w:p>
        </w:tc>
        <w:tc>
          <w:tcPr>
            <w:tcW w:w="350"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20</w:t>
            </w:r>
          </w:p>
        </w:tc>
        <w:tc>
          <w:tcPr>
            <w:tcW w:w="366" w:type="pct"/>
            <w:vMerge w:val="continue"/>
            <w:tcBorders>
              <w:tl2br w:val="nil"/>
              <w:tr2bl w:val="nil"/>
            </w:tcBorders>
            <w:noWrap w:val="0"/>
            <w:vAlign w:val="center"/>
          </w:tcPr>
          <w:p>
            <w:pPr>
              <w:pStyle w:val="35"/>
              <w:bidi w:val="0"/>
              <w:jc w:val="center"/>
              <w:rPr>
                <w:rFonts w:hint="default"/>
                <w:color w:val="auto"/>
                <w:lang w:val="en-US" w:eastAsia="zh-CN"/>
              </w:rPr>
            </w:pPr>
          </w:p>
        </w:tc>
        <w:tc>
          <w:tcPr>
            <w:tcW w:w="349" w:type="pct"/>
            <w:vMerge w:val="continue"/>
            <w:tcBorders>
              <w:tl2br w:val="nil"/>
              <w:tr2bl w:val="nil"/>
            </w:tcBorders>
            <w:noWrap w:val="0"/>
            <w:vAlign w:val="center"/>
          </w:tcPr>
          <w:p>
            <w:pPr>
              <w:pStyle w:val="35"/>
              <w:bidi w:val="0"/>
              <w:jc w:val="center"/>
              <w:rPr>
                <w:rFonts w:hint="default"/>
                <w:color w:val="auto"/>
                <w:lang w:val="en-US" w:eastAsia="zh-CN"/>
              </w:rPr>
            </w:pPr>
          </w:p>
        </w:tc>
        <w:tc>
          <w:tcPr>
            <w:tcW w:w="443"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50</w:t>
            </w:r>
          </w:p>
        </w:tc>
        <w:tc>
          <w:tcPr>
            <w:tcW w:w="349"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否</w:t>
            </w:r>
          </w:p>
        </w:tc>
      </w:tr>
      <w:tr>
        <w:trPr>
          <w:trHeight w:val="527" w:hRule="atLeast"/>
        </w:trPr>
        <w:tc>
          <w:tcPr>
            <w:tcW w:w="487" w:type="pct"/>
            <w:vMerge w:val="restar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储罐区废气</w:t>
            </w:r>
          </w:p>
        </w:tc>
        <w:tc>
          <w:tcPr>
            <w:tcW w:w="412"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eastAsia"/>
                <w:color w:val="auto"/>
                <w:lang w:val="en-US" w:eastAsia="zh-CN"/>
              </w:rPr>
              <w:t>VOCs</w:t>
            </w:r>
          </w:p>
        </w:tc>
        <w:tc>
          <w:tcPr>
            <w:tcW w:w="378" w:type="pct"/>
            <w:vMerge w:val="restar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2000</w:t>
            </w:r>
          </w:p>
        </w:tc>
        <w:tc>
          <w:tcPr>
            <w:tcW w:w="443"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eastAsia"/>
                <w:color w:val="auto"/>
                <w:sz w:val="21"/>
                <w:szCs w:val="21"/>
                <w:lang w:val="en-US" w:eastAsia="zh-CN"/>
              </w:rPr>
              <w:t>192</w:t>
            </w:r>
          </w:p>
        </w:tc>
        <w:tc>
          <w:tcPr>
            <w:tcW w:w="371"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eastAsia"/>
                <w:color w:val="auto"/>
                <w:sz w:val="21"/>
                <w:szCs w:val="21"/>
                <w:lang w:val="en-US" w:eastAsia="zh-CN"/>
              </w:rPr>
              <w:t>0.38</w:t>
            </w:r>
          </w:p>
        </w:tc>
        <w:tc>
          <w:tcPr>
            <w:tcW w:w="34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0</w:t>
            </w:r>
          </w:p>
        </w:tc>
        <w:tc>
          <w:tcPr>
            <w:tcW w:w="348"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eastAsia"/>
                <w:color w:val="auto"/>
                <w:lang w:val="en-US" w:eastAsia="zh-CN"/>
              </w:rPr>
              <w:t>15</w:t>
            </w:r>
          </w:p>
        </w:tc>
        <w:tc>
          <w:tcPr>
            <w:tcW w:w="352"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eastAsia"/>
                <w:color w:val="auto"/>
                <w:lang w:val="en-US" w:eastAsia="zh-CN"/>
              </w:rPr>
              <w:t>0.2</w:t>
            </w:r>
          </w:p>
        </w:tc>
        <w:tc>
          <w:tcPr>
            <w:tcW w:w="350"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20</w:t>
            </w:r>
          </w:p>
        </w:tc>
        <w:tc>
          <w:tcPr>
            <w:tcW w:w="366" w:type="pct"/>
            <w:vMerge w:val="restar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失效</w:t>
            </w:r>
          </w:p>
        </w:tc>
        <w:tc>
          <w:tcPr>
            <w:tcW w:w="349" w:type="pct"/>
            <w:vMerge w:val="restar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15米排气筒</w:t>
            </w:r>
          </w:p>
        </w:tc>
        <w:tc>
          <w:tcPr>
            <w:tcW w:w="443"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eastAsia"/>
                <w:color w:val="auto"/>
                <w:lang w:val="en-US" w:eastAsia="zh-CN"/>
              </w:rPr>
              <w:t>120</w:t>
            </w:r>
          </w:p>
        </w:tc>
        <w:tc>
          <w:tcPr>
            <w:tcW w:w="349"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eastAsia"/>
                <w:color w:val="auto"/>
                <w:lang w:val="en-US" w:eastAsia="zh-CN"/>
              </w:rPr>
              <w:t>否</w:t>
            </w:r>
          </w:p>
        </w:tc>
      </w:tr>
      <w:tr>
        <w:tc>
          <w:tcPr>
            <w:tcW w:w="487" w:type="pct"/>
            <w:vMerge w:val="continue"/>
            <w:tcBorders>
              <w:tl2br w:val="nil"/>
              <w:tr2bl w:val="nil"/>
            </w:tcBorders>
            <w:noWrap w:val="0"/>
            <w:vAlign w:val="center"/>
          </w:tcPr>
          <w:p>
            <w:pPr>
              <w:pStyle w:val="35"/>
              <w:bidi w:val="0"/>
              <w:jc w:val="center"/>
              <w:rPr>
                <w:rFonts w:hint="default"/>
                <w:color w:val="auto"/>
                <w:lang w:val="en-US" w:eastAsia="zh-CN"/>
              </w:rPr>
            </w:pPr>
          </w:p>
        </w:tc>
        <w:tc>
          <w:tcPr>
            <w:tcW w:w="412"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eastAsia"/>
                <w:color w:val="auto"/>
                <w:lang w:val="en-US" w:eastAsia="zh-CN"/>
              </w:rPr>
              <w:t>甲醇</w:t>
            </w:r>
          </w:p>
        </w:tc>
        <w:tc>
          <w:tcPr>
            <w:tcW w:w="378" w:type="pct"/>
            <w:vMerge w:val="continue"/>
            <w:tcBorders>
              <w:tl2br w:val="nil"/>
              <w:tr2bl w:val="nil"/>
            </w:tcBorders>
            <w:noWrap w:val="0"/>
            <w:vAlign w:val="center"/>
          </w:tcPr>
          <w:p>
            <w:pPr>
              <w:pStyle w:val="35"/>
              <w:bidi w:val="0"/>
              <w:jc w:val="center"/>
              <w:rPr>
                <w:rFonts w:hint="default"/>
                <w:color w:val="auto"/>
                <w:lang w:val="en-US" w:eastAsia="zh-CN"/>
              </w:rPr>
            </w:pPr>
          </w:p>
        </w:tc>
        <w:tc>
          <w:tcPr>
            <w:tcW w:w="443"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eastAsia"/>
                <w:color w:val="auto"/>
                <w:sz w:val="21"/>
                <w:szCs w:val="21"/>
                <w:lang w:val="en-US" w:eastAsia="zh-CN"/>
              </w:rPr>
              <w:t>1.19</w:t>
            </w:r>
          </w:p>
        </w:tc>
        <w:tc>
          <w:tcPr>
            <w:tcW w:w="371"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eastAsia"/>
                <w:color w:val="auto"/>
                <w:sz w:val="21"/>
                <w:szCs w:val="21"/>
                <w:lang w:val="en-US" w:eastAsia="zh-CN"/>
              </w:rPr>
              <w:t>0.01</w:t>
            </w:r>
          </w:p>
        </w:tc>
        <w:tc>
          <w:tcPr>
            <w:tcW w:w="34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0</w:t>
            </w:r>
          </w:p>
        </w:tc>
        <w:tc>
          <w:tcPr>
            <w:tcW w:w="348"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15</w:t>
            </w:r>
          </w:p>
        </w:tc>
        <w:tc>
          <w:tcPr>
            <w:tcW w:w="352"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0.2</w:t>
            </w:r>
          </w:p>
        </w:tc>
        <w:tc>
          <w:tcPr>
            <w:tcW w:w="350"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eastAsia"/>
                <w:color w:val="auto"/>
                <w:lang w:val="en-US" w:eastAsia="zh-CN"/>
              </w:rPr>
              <w:t>20</w:t>
            </w:r>
          </w:p>
        </w:tc>
        <w:tc>
          <w:tcPr>
            <w:tcW w:w="366" w:type="pct"/>
            <w:vMerge w:val="continue"/>
            <w:tcBorders>
              <w:tl2br w:val="nil"/>
              <w:tr2bl w:val="nil"/>
            </w:tcBorders>
            <w:noWrap w:val="0"/>
            <w:vAlign w:val="center"/>
          </w:tcPr>
          <w:p>
            <w:pPr>
              <w:pStyle w:val="35"/>
              <w:bidi w:val="0"/>
              <w:jc w:val="center"/>
              <w:rPr>
                <w:rFonts w:hint="default"/>
                <w:color w:val="auto"/>
                <w:lang w:val="en-US" w:eastAsia="zh-CN"/>
              </w:rPr>
            </w:pPr>
          </w:p>
        </w:tc>
        <w:tc>
          <w:tcPr>
            <w:tcW w:w="349" w:type="pct"/>
            <w:vMerge w:val="continue"/>
            <w:tcBorders>
              <w:tl2br w:val="nil"/>
              <w:tr2bl w:val="nil"/>
            </w:tcBorders>
            <w:noWrap w:val="0"/>
            <w:vAlign w:val="center"/>
          </w:tcPr>
          <w:p>
            <w:pPr>
              <w:pStyle w:val="35"/>
              <w:bidi w:val="0"/>
              <w:jc w:val="center"/>
              <w:rPr>
                <w:rFonts w:hint="default"/>
                <w:color w:val="auto"/>
                <w:lang w:val="en-US" w:eastAsia="zh-CN"/>
              </w:rPr>
            </w:pPr>
          </w:p>
        </w:tc>
        <w:tc>
          <w:tcPr>
            <w:tcW w:w="443"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eastAsia"/>
                <w:color w:val="auto"/>
                <w:lang w:val="en-US" w:eastAsia="zh-CN"/>
              </w:rPr>
              <w:t>50</w:t>
            </w:r>
          </w:p>
        </w:tc>
        <w:tc>
          <w:tcPr>
            <w:tcW w:w="349"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eastAsia"/>
                <w:color w:val="auto"/>
                <w:lang w:val="en-US" w:eastAsia="zh-CN"/>
              </w:rPr>
              <w:t>是</w:t>
            </w:r>
          </w:p>
        </w:tc>
      </w:tr>
    </w:tbl>
    <w:p>
      <w:pPr>
        <w:pStyle w:val="33"/>
        <w:bidi w:val="0"/>
        <w:rPr>
          <w:rFonts w:hint="default"/>
          <w:b/>
          <w:bCs/>
          <w:color w:val="auto"/>
          <w:lang w:val="en-US" w:eastAsia="zh-CN"/>
        </w:rPr>
      </w:pPr>
      <w:r>
        <w:rPr>
          <w:rFonts w:hint="eastAsia"/>
          <w:b/>
          <w:bCs/>
          <w:color w:val="auto"/>
          <w:lang w:val="en-US" w:eastAsia="zh-CN"/>
        </w:rPr>
        <w:t>（2）</w:t>
      </w:r>
      <w:r>
        <w:rPr>
          <w:rFonts w:hint="default"/>
          <w:b/>
          <w:bCs/>
          <w:color w:val="auto"/>
          <w:lang w:val="en-US" w:eastAsia="zh-CN"/>
        </w:rPr>
        <w:t>废水非正常工况分析</w:t>
      </w:r>
    </w:p>
    <w:p>
      <w:pPr>
        <w:pStyle w:val="33"/>
        <w:bidi w:val="0"/>
        <w:rPr>
          <w:rFonts w:hint="default"/>
          <w:color w:val="auto"/>
          <w:lang w:val="en-US" w:eastAsia="zh-CN"/>
        </w:rPr>
      </w:pPr>
      <w:r>
        <w:rPr>
          <w:rFonts w:hint="default"/>
          <w:color w:val="auto"/>
          <w:lang w:val="en-US" w:eastAsia="zh-CN"/>
        </w:rPr>
        <w:t>本评价设定建设项目废水处理设施出现故障作为废水非正常工况，</w:t>
      </w:r>
      <w:r>
        <w:rPr>
          <w:rFonts w:hint="eastAsia"/>
          <w:color w:val="auto"/>
          <w:lang w:val="en-US" w:eastAsia="zh-CN"/>
        </w:rPr>
        <w:t>一</w:t>
      </w:r>
      <w:r>
        <w:rPr>
          <w:rFonts w:hint="default"/>
          <w:color w:val="auto"/>
          <w:lang w:val="en-US" w:eastAsia="zh-CN"/>
        </w:rPr>
        <w:t>旦废水处理设施出现故障，将会造成</w:t>
      </w:r>
      <w:r>
        <w:rPr>
          <w:rFonts w:hint="eastAsia"/>
          <w:color w:val="auto"/>
          <w:lang w:val="en-US" w:eastAsia="zh-CN"/>
        </w:rPr>
        <w:t>COD</w:t>
      </w:r>
      <w:r>
        <w:rPr>
          <w:rFonts w:hint="default"/>
          <w:color w:val="auto"/>
          <w:lang w:val="en-US" w:eastAsia="zh-CN"/>
        </w:rPr>
        <w:t>高</w:t>
      </w:r>
      <w:r>
        <w:rPr>
          <w:rFonts w:hint="eastAsia"/>
          <w:color w:val="auto"/>
          <w:lang w:val="en-US" w:eastAsia="zh-CN"/>
        </w:rPr>
        <w:t>浓度</w:t>
      </w:r>
      <w:r>
        <w:rPr>
          <w:rFonts w:hint="default"/>
          <w:color w:val="auto"/>
          <w:lang w:val="en-US" w:eastAsia="zh-CN"/>
        </w:rPr>
        <w:t>废水未经处理直接排向云溪区污水处理厂，废水中</w:t>
      </w:r>
      <w:r>
        <w:rPr>
          <w:rFonts w:hint="eastAsia"/>
          <w:color w:val="auto"/>
          <w:lang w:val="en-US" w:eastAsia="zh-CN"/>
        </w:rPr>
        <w:t>COD浓度较高</w:t>
      </w:r>
      <w:r>
        <w:rPr>
          <w:rFonts w:hint="default"/>
          <w:color w:val="auto"/>
          <w:lang w:val="en-US" w:eastAsia="zh-CN"/>
        </w:rPr>
        <w:t>，外排将对云溪区污水处理厂产生不良影响。为确保事故情况下，生产系统排放的废水不会对云溪区污水处理厂、地表水造成影响，根据建设方提供资料，一旦废水处理设施发生故障将立即停止生产，并确保在48小时内完成废水处理设施的修理。现有项目已</w:t>
      </w:r>
      <w:r>
        <w:rPr>
          <w:rFonts w:hint="eastAsia"/>
          <w:color w:val="auto"/>
          <w:lang w:val="en-US" w:eastAsia="zh-CN"/>
        </w:rPr>
        <w:t>厂区</w:t>
      </w:r>
      <w:r>
        <w:rPr>
          <w:rFonts w:hint="default"/>
          <w:color w:val="auto"/>
          <w:lang w:val="en-US" w:eastAsia="zh-CN"/>
        </w:rPr>
        <w:t>设置一个</w:t>
      </w:r>
      <w:r>
        <w:rPr>
          <w:rFonts w:hint="eastAsia"/>
          <w:color w:val="auto"/>
          <w:lang w:val="en-US" w:eastAsia="zh-CN"/>
        </w:rPr>
        <w:t>450</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的事故池，用于收集废水处理设施未处理的废水，杜绝对云溪区污水处理厂、地表水造成污染事故。</w:t>
      </w:r>
    </w:p>
    <w:p>
      <w:pPr>
        <w:pStyle w:val="36"/>
        <w:bidi w:val="0"/>
        <w:rPr>
          <w:rFonts w:hint="eastAsia"/>
          <w:color w:val="auto"/>
          <w:lang w:val="en-US" w:eastAsia="zh-CN"/>
        </w:rPr>
      </w:pPr>
      <w:r>
        <w:rPr>
          <w:rFonts w:hint="eastAsia"/>
          <w:color w:val="auto"/>
          <w:lang w:val="en-US" w:eastAsia="zh-CN"/>
        </w:rPr>
        <w:t>表5.4-9 拟建项目非正常废水排放情况</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3001"/>
        <w:gridCol w:w="30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665" w:type="pct"/>
            <w:tcBorders>
              <w:tl2br w:val="nil"/>
              <w:tr2bl w:val="nil"/>
            </w:tcBorders>
            <w:noWrap w:val="0"/>
            <w:vAlign w:val="center"/>
          </w:tcPr>
          <w:p>
            <w:pPr>
              <w:pStyle w:val="35"/>
              <w:jc w:val="center"/>
              <w:rPr>
                <w:rFonts w:hint="default"/>
                <w:color w:val="auto"/>
                <w:vertAlign w:val="baseline"/>
                <w:lang w:val="en-US" w:eastAsia="zh-CN"/>
              </w:rPr>
            </w:pPr>
            <w:r>
              <w:rPr>
                <w:rFonts w:hint="eastAsia"/>
                <w:color w:val="auto"/>
                <w:vertAlign w:val="baseline"/>
                <w:lang w:val="en-US" w:eastAsia="zh-CN"/>
              </w:rPr>
              <w:t>污染物</w:t>
            </w:r>
          </w:p>
        </w:tc>
        <w:tc>
          <w:tcPr>
            <w:tcW w:w="1666" w:type="pct"/>
            <w:tcBorders>
              <w:tl2br w:val="nil"/>
              <w:tr2bl w:val="nil"/>
            </w:tcBorders>
            <w:noWrap w:val="0"/>
            <w:vAlign w:val="center"/>
          </w:tcPr>
          <w:p>
            <w:pPr>
              <w:pStyle w:val="35"/>
              <w:jc w:val="center"/>
              <w:rPr>
                <w:rFonts w:hint="default"/>
                <w:color w:val="auto"/>
                <w:vertAlign w:val="baseline"/>
                <w:lang w:val="en-US" w:eastAsia="zh-CN"/>
              </w:rPr>
            </w:pPr>
            <w:r>
              <w:rPr>
                <w:rFonts w:hint="eastAsia"/>
                <w:color w:val="auto"/>
                <w:vertAlign w:val="baseline"/>
                <w:lang w:val="en-US" w:eastAsia="zh-CN"/>
              </w:rPr>
              <w:t>浓度</w:t>
            </w:r>
          </w:p>
        </w:tc>
        <w:tc>
          <w:tcPr>
            <w:tcW w:w="1667" w:type="pct"/>
            <w:tcBorders>
              <w:tl2br w:val="nil"/>
              <w:tr2bl w:val="nil"/>
            </w:tcBorders>
            <w:noWrap w:val="0"/>
            <w:vAlign w:val="center"/>
          </w:tcPr>
          <w:p>
            <w:pPr>
              <w:pStyle w:val="35"/>
              <w:jc w:val="center"/>
              <w:rPr>
                <w:rFonts w:hint="default"/>
                <w:color w:val="auto"/>
                <w:vertAlign w:val="baseline"/>
                <w:lang w:val="en-US" w:eastAsia="zh-CN"/>
              </w:rPr>
            </w:pPr>
            <w:r>
              <w:rPr>
                <w:rFonts w:hint="eastAsia"/>
                <w:color w:val="auto"/>
                <w:vertAlign w:val="baseline"/>
                <w:lang w:val="en-US" w:eastAsia="zh-CN"/>
              </w:rPr>
              <w:t>废水量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665" w:type="pct"/>
            <w:tcBorders>
              <w:tl2br w:val="nil"/>
              <w:tr2bl w:val="nil"/>
            </w:tcBorders>
            <w:noWrap w:val="0"/>
            <w:vAlign w:val="center"/>
          </w:tcPr>
          <w:p>
            <w:pPr>
              <w:pStyle w:val="35"/>
              <w:jc w:val="center"/>
              <w:rPr>
                <w:rFonts w:hint="default"/>
                <w:color w:val="auto"/>
                <w:vertAlign w:val="baseline"/>
                <w:lang w:val="en-US" w:eastAsia="zh-CN"/>
              </w:rPr>
            </w:pPr>
            <w:r>
              <w:rPr>
                <w:rFonts w:hint="eastAsia"/>
                <w:color w:val="auto"/>
                <w:vertAlign w:val="baseline"/>
                <w:lang w:val="en-US" w:eastAsia="zh-CN"/>
              </w:rPr>
              <w:t>COD</w:t>
            </w:r>
          </w:p>
        </w:tc>
        <w:tc>
          <w:tcPr>
            <w:tcW w:w="1666" w:type="pct"/>
            <w:tcBorders>
              <w:tl2br w:val="nil"/>
              <w:tr2bl w:val="nil"/>
            </w:tcBorders>
            <w:noWrap w:val="0"/>
            <w:vAlign w:val="center"/>
          </w:tcPr>
          <w:p>
            <w:pPr>
              <w:pStyle w:val="35"/>
              <w:jc w:val="center"/>
              <w:rPr>
                <w:rFonts w:hint="default"/>
                <w:color w:val="auto"/>
                <w:vertAlign w:val="baseline"/>
                <w:lang w:val="en-US" w:eastAsia="zh-CN"/>
              </w:rPr>
            </w:pPr>
            <w:r>
              <w:rPr>
                <w:rFonts w:hint="eastAsia"/>
                <w:color w:val="auto"/>
                <w:vertAlign w:val="baseline"/>
                <w:lang w:val="en-US" w:eastAsia="zh-CN"/>
              </w:rPr>
              <w:t>26309.3mg/L</w:t>
            </w:r>
          </w:p>
        </w:tc>
        <w:tc>
          <w:tcPr>
            <w:tcW w:w="1667" w:type="pct"/>
            <w:tcBorders>
              <w:tl2br w:val="nil"/>
              <w:tr2bl w:val="nil"/>
            </w:tcBorders>
            <w:noWrap w:val="0"/>
            <w:vAlign w:val="center"/>
          </w:tcPr>
          <w:p>
            <w:pPr>
              <w:pStyle w:val="35"/>
              <w:jc w:val="center"/>
              <w:rPr>
                <w:rFonts w:hint="default"/>
                <w:color w:val="auto"/>
                <w:vertAlign w:val="baseline"/>
                <w:lang w:val="en-US" w:eastAsia="zh-CN"/>
              </w:rPr>
            </w:pPr>
            <w:r>
              <w:rPr>
                <w:rFonts w:hint="eastAsia"/>
                <w:color w:val="auto"/>
                <w:vertAlign w:val="baseline"/>
                <w:lang w:val="en-US" w:eastAsia="zh-CN"/>
              </w:rPr>
              <w:t>3232.7m</w:t>
            </w:r>
            <w:r>
              <w:rPr>
                <w:rFonts w:hint="eastAsia"/>
                <w:color w:val="auto"/>
                <w:vertAlign w:val="superscript"/>
                <w:lang w:val="en-US" w:eastAsia="zh-CN"/>
              </w:rPr>
              <w:t>3</w:t>
            </w:r>
            <w:r>
              <w:rPr>
                <w:rFonts w:hint="eastAsia"/>
                <w:color w:val="auto"/>
                <w:vertAlign w:val="baseline"/>
                <w:lang w:val="en-US" w:eastAsia="zh-CN"/>
              </w:rPr>
              <w:t>/a</w:t>
            </w:r>
          </w:p>
        </w:tc>
      </w:tr>
    </w:tbl>
    <w:p>
      <w:pPr>
        <w:pStyle w:val="32"/>
        <w:bidi w:val="0"/>
        <w:rPr>
          <w:rFonts w:hint="eastAsia"/>
          <w:color w:val="auto"/>
          <w:lang w:val="en-US" w:eastAsia="zh-CN"/>
        </w:rPr>
      </w:pPr>
      <w:bookmarkStart w:id="109" w:name="_Toc27574"/>
      <w:bookmarkStart w:id="110" w:name="_Toc504468684"/>
      <w:r>
        <w:rPr>
          <w:rFonts w:hint="eastAsia"/>
          <w:color w:val="auto"/>
          <w:lang w:val="en-US" w:eastAsia="zh-CN"/>
        </w:rPr>
        <w:t>5.4.6扩建工程污染物排放统计与汇总</w:t>
      </w:r>
      <w:bookmarkEnd w:id="109"/>
    </w:p>
    <w:p>
      <w:pPr>
        <w:pStyle w:val="33"/>
        <w:bidi w:val="0"/>
        <w:rPr>
          <w:color w:val="auto"/>
        </w:rPr>
      </w:pPr>
      <w:r>
        <w:rPr>
          <w:rFonts w:hint="eastAsia"/>
          <w:color w:val="auto"/>
        </w:rPr>
        <w:t>本扩建项目运营期污染源排放汇总详见表</w:t>
      </w:r>
      <w:r>
        <w:rPr>
          <w:rFonts w:hint="eastAsia"/>
          <w:color w:val="auto"/>
          <w:lang w:val="en-US" w:eastAsia="zh-CN"/>
        </w:rPr>
        <w:t>5.4-10</w:t>
      </w:r>
      <w:r>
        <w:rPr>
          <w:rFonts w:hint="eastAsia"/>
          <w:color w:val="auto"/>
        </w:rPr>
        <w:t>。</w:t>
      </w:r>
    </w:p>
    <w:p>
      <w:pPr>
        <w:pStyle w:val="36"/>
        <w:bidi w:val="0"/>
        <w:rPr>
          <w:rFonts w:hint="eastAsia"/>
          <w:color w:val="auto"/>
        </w:rPr>
      </w:pPr>
      <w:r>
        <w:rPr>
          <w:rFonts w:hint="eastAsia"/>
          <w:color w:val="auto"/>
        </w:rPr>
        <w:t>表</w:t>
      </w:r>
      <w:r>
        <w:rPr>
          <w:rFonts w:hint="eastAsia"/>
          <w:color w:val="auto"/>
          <w:lang w:val="en-US" w:eastAsia="zh-CN"/>
        </w:rPr>
        <w:t>5.4-10</w:t>
      </w:r>
      <w:r>
        <w:rPr>
          <w:color w:val="auto"/>
        </w:rPr>
        <w:t xml:space="preserve">  </w:t>
      </w:r>
      <w:r>
        <w:rPr>
          <w:rFonts w:hint="eastAsia"/>
          <w:color w:val="auto"/>
          <w:lang w:val="en-US" w:eastAsia="zh-CN"/>
        </w:rPr>
        <w:t>本次改扩建</w:t>
      </w:r>
      <w:r>
        <w:rPr>
          <w:rFonts w:hint="eastAsia"/>
          <w:color w:val="auto"/>
        </w:rPr>
        <w:t>项目污染物排放情况汇总表</w:t>
      </w:r>
      <w:bookmarkEnd w:id="110"/>
    </w:p>
    <w:tbl>
      <w:tblPr>
        <w:tblStyle w:val="27"/>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906"/>
        <w:gridCol w:w="734"/>
        <w:gridCol w:w="1989"/>
        <w:gridCol w:w="1405"/>
        <w:gridCol w:w="1407"/>
        <w:gridCol w:w="23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9" w:hRule="atLeast"/>
          <w:tblHeader/>
          <w:jc w:val="center"/>
        </w:trPr>
        <w:tc>
          <w:tcPr>
            <w:tcW w:w="930" w:type="pct"/>
            <w:gridSpan w:val="2"/>
            <w:tcBorders>
              <w:tl2br w:val="nil"/>
              <w:tr2bl w:val="nil"/>
            </w:tcBorders>
            <w:noWrap w:val="0"/>
            <w:vAlign w:val="center"/>
          </w:tcPr>
          <w:p>
            <w:pPr>
              <w:pStyle w:val="35"/>
              <w:bidi w:val="0"/>
              <w:rPr>
                <w:rFonts w:hint="default"/>
                <w:b/>
                <w:bCs/>
                <w:color w:val="auto"/>
              </w:rPr>
            </w:pPr>
            <w:r>
              <w:rPr>
                <w:rFonts w:hint="default"/>
                <w:b/>
                <w:bCs/>
                <w:color w:val="auto"/>
                <w:lang w:val="en-US" w:eastAsia="zh-CN"/>
              </w:rPr>
              <w:t>种类</w:t>
            </w:r>
          </w:p>
        </w:tc>
        <w:tc>
          <w:tcPr>
            <w:tcW w:w="1128" w:type="pct"/>
            <w:tcBorders>
              <w:tl2br w:val="nil"/>
              <w:tr2bl w:val="nil"/>
            </w:tcBorders>
            <w:noWrap w:val="0"/>
            <w:vAlign w:val="center"/>
          </w:tcPr>
          <w:p>
            <w:pPr>
              <w:pStyle w:val="35"/>
              <w:bidi w:val="0"/>
              <w:rPr>
                <w:rFonts w:hint="default"/>
                <w:b/>
                <w:bCs/>
                <w:color w:val="auto"/>
              </w:rPr>
            </w:pPr>
            <w:r>
              <w:rPr>
                <w:rFonts w:hint="default"/>
                <w:b/>
                <w:bCs/>
                <w:color w:val="auto"/>
                <w:lang w:val="en-US" w:eastAsia="zh-CN"/>
              </w:rPr>
              <w:t>污染物名称</w:t>
            </w:r>
          </w:p>
        </w:tc>
        <w:tc>
          <w:tcPr>
            <w:tcW w:w="797" w:type="pct"/>
            <w:tcBorders>
              <w:tl2br w:val="nil"/>
              <w:tr2bl w:val="nil"/>
            </w:tcBorders>
            <w:noWrap w:val="0"/>
            <w:vAlign w:val="center"/>
          </w:tcPr>
          <w:p>
            <w:pPr>
              <w:pStyle w:val="35"/>
              <w:bidi w:val="0"/>
              <w:rPr>
                <w:rFonts w:hint="eastAsia"/>
                <w:b/>
                <w:bCs/>
                <w:color w:val="auto"/>
              </w:rPr>
            </w:pPr>
            <w:r>
              <w:rPr>
                <w:rFonts w:hint="eastAsia"/>
                <w:b/>
                <w:bCs/>
                <w:color w:val="auto"/>
                <w:lang w:val="en-US" w:eastAsia="zh-CN"/>
              </w:rPr>
              <w:t>产生量（t/a）</w:t>
            </w:r>
          </w:p>
        </w:tc>
        <w:tc>
          <w:tcPr>
            <w:tcW w:w="798" w:type="pct"/>
            <w:tcBorders>
              <w:tl2br w:val="nil"/>
              <w:tr2bl w:val="nil"/>
            </w:tcBorders>
            <w:noWrap w:val="0"/>
            <w:vAlign w:val="center"/>
          </w:tcPr>
          <w:p>
            <w:pPr>
              <w:pStyle w:val="35"/>
              <w:bidi w:val="0"/>
              <w:rPr>
                <w:rFonts w:hint="eastAsia"/>
                <w:b/>
                <w:bCs/>
                <w:color w:val="auto"/>
              </w:rPr>
            </w:pPr>
            <w:r>
              <w:rPr>
                <w:rFonts w:hint="eastAsia"/>
                <w:b/>
                <w:bCs/>
                <w:color w:val="auto"/>
                <w:lang w:val="en-US" w:eastAsia="zh-CN"/>
              </w:rPr>
              <w:t>排放量（t/a）</w:t>
            </w:r>
          </w:p>
        </w:tc>
        <w:tc>
          <w:tcPr>
            <w:tcW w:w="1345" w:type="pct"/>
            <w:tcBorders>
              <w:tl2br w:val="nil"/>
              <w:tr2bl w:val="nil"/>
            </w:tcBorders>
            <w:noWrap w:val="0"/>
            <w:vAlign w:val="center"/>
          </w:tcPr>
          <w:p>
            <w:pPr>
              <w:pStyle w:val="35"/>
              <w:bidi w:val="0"/>
              <w:rPr>
                <w:rFonts w:hint="eastAsia"/>
                <w:b/>
                <w:bCs/>
                <w:color w:val="auto"/>
              </w:rPr>
            </w:pPr>
            <w:r>
              <w:rPr>
                <w:rFonts w:hint="eastAsia"/>
                <w:b/>
                <w:bCs/>
                <w:color w:val="auto"/>
                <w:lang w:val="en-US" w:eastAsia="zh-CN"/>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2" w:hRule="atLeast"/>
          <w:jc w:val="center"/>
        </w:trPr>
        <w:tc>
          <w:tcPr>
            <w:tcW w:w="514" w:type="pct"/>
            <w:vMerge w:val="restart"/>
            <w:tcBorders>
              <w:tl2br w:val="nil"/>
              <w:tr2bl w:val="nil"/>
            </w:tcBorders>
            <w:noWrap w:val="0"/>
            <w:vAlign w:val="center"/>
          </w:tcPr>
          <w:p>
            <w:pPr>
              <w:pStyle w:val="35"/>
              <w:bidi w:val="0"/>
              <w:rPr>
                <w:rFonts w:hint="eastAsia"/>
                <w:color w:val="auto"/>
              </w:rPr>
            </w:pPr>
            <w:r>
              <w:rPr>
                <w:rFonts w:hint="eastAsia"/>
                <w:color w:val="auto"/>
                <w:lang w:val="en-US" w:eastAsia="zh-CN"/>
              </w:rPr>
              <w:t>废气</w:t>
            </w:r>
          </w:p>
        </w:tc>
        <w:tc>
          <w:tcPr>
            <w:tcW w:w="416" w:type="pct"/>
            <w:vMerge w:val="restar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有组织</w:t>
            </w:r>
          </w:p>
        </w:tc>
        <w:tc>
          <w:tcPr>
            <w:tcW w:w="1128" w:type="pct"/>
            <w:tcBorders>
              <w:tl2br w:val="nil"/>
              <w:tr2bl w:val="nil"/>
            </w:tcBorders>
            <w:noWrap w:val="0"/>
            <w:vAlign w:val="center"/>
          </w:tcPr>
          <w:p>
            <w:pPr>
              <w:pStyle w:val="35"/>
              <w:bidi w:val="0"/>
              <w:rPr>
                <w:rFonts w:hint="eastAsia"/>
                <w:color w:val="auto"/>
              </w:rPr>
            </w:pPr>
            <w:r>
              <w:rPr>
                <w:rFonts w:hint="eastAsia"/>
                <w:color w:val="auto"/>
                <w:lang w:val="en-US" w:eastAsia="zh-CN"/>
              </w:rPr>
              <w:t>甲醇</w:t>
            </w:r>
          </w:p>
        </w:tc>
        <w:tc>
          <w:tcPr>
            <w:tcW w:w="797" w:type="pct"/>
            <w:tcBorders>
              <w:tl2br w:val="nil"/>
              <w:tr2bl w:val="nil"/>
            </w:tcBorders>
            <w:noWrap w:val="0"/>
            <w:vAlign w:val="center"/>
          </w:tcPr>
          <w:p>
            <w:pPr>
              <w:pStyle w:val="35"/>
              <w:bidi w:val="0"/>
              <w:rPr>
                <w:rFonts w:hint="default"/>
                <w:color w:val="auto"/>
                <w:lang w:val="en-US"/>
              </w:rPr>
            </w:pPr>
            <w:r>
              <w:rPr>
                <w:rFonts w:hint="eastAsia"/>
                <w:color w:val="auto"/>
                <w:lang w:val="en-US" w:eastAsia="zh-CN"/>
              </w:rPr>
              <w:t>3.1</w:t>
            </w:r>
          </w:p>
        </w:tc>
        <w:tc>
          <w:tcPr>
            <w:tcW w:w="798" w:type="pct"/>
            <w:tcBorders>
              <w:tl2br w:val="nil"/>
              <w:tr2bl w:val="nil"/>
            </w:tcBorders>
            <w:noWrap w:val="0"/>
            <w:vAlign w:val="center"/>
          </w:tcPr>
          <w:p>
            <w:pPr>
              <w:pStyle w:val="35"/>
              <w:bidi w:val="0"/>
              <w:rPr>
                <w:rFonts w:hint="default"/>
                <w:color w:val="auto"/>
                <w:lang w:val="en-US"/>
              </w:rPr>
            </w:pPr>
            <w:r>
              <w:rPr>
                <w:rFonts w:hint="eastAsia"/>
                <w:color w:val="auto"/>
                <w:lang w:val="en-US" w:eastAsia="zh-CN"/>
              </w:rPr>
              <w:t>0.06</w:t>
            </w:r>
          </w:p>
        </w:tc>
        <w:tc>
          <w:tcPr>
            <w:tcW w:w="1345" w:type="pct"/>
            <w:vMerge w:val="restart"/>
            <w:tcBorders>
              <w:tl2br w:val="nil"/>
              <w:tr2bl w:val="nil"/>
            </w:tcBorders>
            <w:noWrap w:val="0"/>
            <w:vAlign w:val="center"/>
          </w:tcPr>
          <w:p>
            <w:pPr>
              <w:pStyle w:val="35"/>
              <w:bidi w:val="0"/>
              <w:rPr>
                <w:rFonts w:hint="eastAsia"/>
                <w:color w:val="auto"/>
              </w:rPr>
            </w:pPr>
            <w:r>
              <w:rPr>
                <w:rFonts w:hint="eastAsia"/>
                <w:color w:val="auto"/>
                <w:lang w:val="en-US" w:eastAsia="zh-CN"/>
              </w:rPr>
              <w:t>大气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47" w:hRule="atLeast"/>
          <w:jc w:val="center"/>
        </w:trPr>
        <w:tc>
          <w:tcPr>
            <w:tcW w:w="514" w:type="pct"/>
            <w:vMerge w:val="continue"/>
            <w:tcBorders>
              <w:tl2br w:val="nil"/>
              <w:tr2bl w:val="nil"/>
            </w:tcBorders>
            <w:noWrap w:val="0"/>
            <w:vAlign w:val="center"/>
          </w:tcPr>
          <w:p>
            <w:pPr>
              <w:pStyle w:val="35"/>
              <w:bidi w:val="0"/>
              <w:rPr>
                <w:rFonts w:hint="eastAsia"/>
                <w:color w:val="auto"/>
              </w:rPr>
            </w:pPr>
          </w:p>
        </w:tc>
        <w:tc>
          <w:tcPr>
            <w:tcW w:w="416" w:type="pct"/>
            <w:vMerge w:val="continue"/>
            <w:tcBorders>
              <w:tl2br w:val="nil"/>
              <w:tr2bl w:val="nil"/>
            </w:tcBorders>
            <w:noWrap w:val="0"/>
            <w:vAlign w:val="center"/>
          </w:tcPr>
          <w:p>
            <w:pPr>
              <w:pStyle w:val="35"/>
              <w:bidi w:val="0"/>
              <w:rPr>
                <w:rFonts w:hint="eastAsia"/>
                <w:color w:val="auto"/>
              </w:rPr>
            </w:pPr>
          </w:p>
        </w:tc>
        <w:tc>
          <w:tcPr>
            <w:tcW w:w="1128" w:type="pct"/>
            <w:tcBorders>
              <w:tl2br w:val="nil"/>
              <w:tr2bl w:val="nil"/>
            </w:tcBorders>
            <w:noWrap w:val="0"/>
            <w:vAlign w:val="center"/>
          </w:tcPr>
          <w:p>
            <w:pPr>
              <w:pStyle w:val="35"/>
              <w:bidi w:val="0"/>
              <w:rPr>
                <w:rFonts w:hint="eastAsia"/>
                <w:color w:val="auto"/>
              </w:rPr>
            </w:pPr>
            <w:r>
              <w:rPr>
                <w:rFonts w:hint="eastAsia"/>
                <w:color w:val="auto"/>
                <w:lang w:val="en-US" w:eastAsia="zh-CN"/>
              </w:rPr>
              <w:t>VOCs</w:t>
            </w:r>
          </w:p>
        </w:tc>
        <w:tc>
          <w:tcPr>
            <w:tcW w:w="797" w:type="pct"/>
            <w:tcBorders>
              <w:tl2br w:val="nil"/>
              <w:tr2bl w:val="nil"/>
            </w:tcBorders>
            <w:noWrap w:val="0"/>
            <w:vAlign w:val="center"/>
          </w:tcPr>
          <w:p>
            <w:pPr>
              <w:pStyle w:val="35"/>
              <w:bidi w:val="0"/>
              <w:ind w:firstLine="0" w:firstLineChars="0"/>
              <w:rPr>
                <w:rFonts w:hint="default"/>
                <w:color w:val="auto"/>
                <w:lang w:val="en-US"/>
              </w:rPr>
            </w:pPr>
            <w:r>
              <w:rPr>
                <w:rFonts w:hint="eastAsia"/>
                <w:color w:val="auto"/>
                <w:lang w:val="en-US" w:eastAsia="zh-CN"/>
              </w:rPr>
              <w:t>18.54</w:t>
            </w:r>
          </w:p>
        </w:tc>
        <w:tc>
          <w:tcPr>
            <w:tcW w:w="798" w:type="pct"/>
            <w:tcBorders>
              <w:tl2br w:val="nil"/>
              <w:tr2bl w:val="nil"/>
            </w:tcBorders>
            <w:noWrap w:val="0"/>
            <w:vAlign w:val="center"/>
          </w:tcPr>
          <w:p>
            <w:pPr>
              <w:pStyle w:val="35"/>
              <w:bidi w:val="0"/>
              <w:ind w:firstLine="0" w:firstLineChars="0"/>
              <w:rPr>
                <w:rFonts w:hint="default"/>
                <w:color w:val="auto"/>
                <w:lang w:val="en-US"/>
              </w:rPr>
            </w:pPr>
            <w:r>
              <w:rPr>
                <w:rFonts w:hint="eastAsia"/>
                <w:color w:val="auto"/>
                <w:lang w:val="en-US" w:eastAsia="zh-CN"/>
              </w:rPr>
              <w:t>0.38</w:t>
            </w:r>
          </w:p>
        </w:tc>
        <w:tc>
          <w:tcPr>
            <w:tcW w:w="1345" w:type="pct"/>
            <w:vMerge w:val="continue"/>
            <w:tcBorders>
              <w:tl2br w:val="nil"/>
              <w:tr2bl w:val="nil"/>
            </w:tcBorders>
            <w:noWrap w:val="0"/>
            <w:vAlign w:val="center"/>
          </w:tcPr>
          <w:p>
            <w:pPr>
              <w:pStyle w:val="35"/>
              <w:bidi w:val="0"/>
              <w:rPr>
                <w:rFonts w:hint="eastAsia"/>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74" w:hRule="atLeast"/>
          <w:jc w:val="center"/>
        </w:trPr>
        <w:tc>
          <w:tcPr>
            <w:tcW w:w="514" w:type="pct"/>
            <w:vMerge w:val="continue"/>
            <w:tcBorders>
              <w:tl2br w:val="nil"/>
              <w:tr2bl w:val="nil"/>
            </w:tcBorders>
            <w:noWrap w:val="0"/>
            <w:vAlign w:val="center"/>
          </w:tcPr>
          <w:p>
            <w:pPr>
              <w:pStyle w:val="35"/>
              <w:bidi w:val="0"/>
              <w:rPr>
                <w:rFonts w:hint="eastAsia"/>
                <w:color w:val="auto"/>
              </w:rPr>
            </w:pPr>
          </w:p>
        </w:tc>
        <w:tc>
          <w:tcPr>
            <w:tcW w:w="416" w:type="pct"/>
            <w:vMerge w:val="restar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无组织</w:t>
            </w:r>
          </w:p>
        </w:tc>
        <w:tc>
          <w:tcPr>
            <w:tcW w:w="1128" w:type="pct"/>
            <w:tcBorders>
              <w:tl2br w:val="nil"/>
              <w:tr2bl w:val="nil"/>
            </w:tcBorders>
            <w:noWrap w:val="0"/>
            <w:vAlign w:val="center"/>
          </w:tcPr>
          <w:p>
            <w:pPr>
              <w:pStyle w:val="35"/>
              <w:bidi w:val="0"/>
              <w:rPr>
                <w:rFonts w:hint="eastAsia"/>
                <w:color w:val="auto"/>
              </w:rPr>
            </w:pPr>
            <w:r>
              <w:rPr>
                <w:rFonts w:hint="eastAsia"/>
                <w:color w:val="auto"/>
                <w:lang w:val="en-US" w:eastAsia="zh-CN"/>
              </w:rPr>
              <w:t>甲醇</w:t>
            </w:r>
          </w:p>
        </w:tc>
        <w:tc>
          <w:tcPr>
            <w:tcW w:w="797" w:type="pct"/>
            <w:tcBorders>
              <w:tl2br w:val="nil"/>
              <w:tr2bl w:val="nil"/>
            </w:tcBorders>
            <w:noWrap w:val="0"/>
            <w:vAlign w:val="center"/>
          </w:tcPr>
          <w:p>
            <w:pPr>
              <w:pStyle w:val="35"/>
              <w:bidi w:val="0"/>
              <w:rPr>
                <w:rFonts w:hint="default"/>
                <w:color w:val="auto"/>
                <w:lang w:val="en-US"/>
              </w:rPr>
            </w:pPr>
            <w:r>
              <w:rPr>
                <w:rFonts w:hint="eastAsia"/>
                <w:color w:val="auto"/>
                <w:lang w:val="en-US" w:eastAsia="zh-CN"/>
              </w:rPr>
              <w:t>0.6</w:t>
            </w:r>
          </w:p>
        </w:tc>
        <w:tc>
          <w:tcPr>
            <w:tcW w:w="798" w:type="pct"/>
            <w:tcBorders>
              <w:tl2br w:val="nil"/>
              <w:tr2bl w:val="nil"/>
            </w:tcBorders>
            <w:noWrap w:val="0"/>
            <w:vAlign w:val="center"/>
          </w:tcPr>
          <w:p>
            <w:pPr>
              <w:pStyle w:val="35"/>
              <w:bidi w:val="0"/>
              <w:ind w:firstLine="0" w:firstLineChars="0"/>
              <w:rPr>
                <w:rFonts w:hint="default"/>
                <w:color w:val="auto"/>
                <w:lang w:val="en-US"/>
              </w:rPr>
            </w:pPr>
            <w:r>
              <w:rPr>
                <w:rFonts w:hint="eastAsia"/>
                <w:color w:val="auto"/>
                <w:lang w:val="en-US" w:eastAsia="zh-CN"/>
              </w:rPr>
              <w:t>0.6</w:t>
            </w:r>
          </w:p>
        </w:tc>
        <w:tc>
          <w:tcPr>
            <w:tcW w:w="1345" w:type="pct"/>
            <w:vMerge w:val="continue"/>
            <w:tcBorders>
              <w:tl2br w:val="nil"/>
              <w:tr2bl w:val="nil"/>
            </w:tcBorders>
            <w:noWrap w:val="0"/>
            <w:vAlign w:val="center"/>
          </w:tcPr>
          <w:p>
            <w:pPr>
              <w:pStyle w:val="35"/>
              <w:bidi w:val="0"/>
              <w:rPr>
                <w:rFonts w:hint="eastAsia"/>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74" w:hRule="atLeast"/>
          <w:jc w:val="center"/>
        </w:trPr>
        <w:tc>
          <w:tcPr>
            <w:tcW w:w="514" w:type="pct"/>
            <w:vMerge w:val="continue"/>
            <w:tcBorders>
              <w:tl2br w:val="nil"/>
              <w:tr2bl w:val="nil"/>
            </w:tcBorders>
            <w:noWrap w:val="0"/>
            <w:vAlign w:val="center"/>
          </w:tcPr>
          <w:p>
            <w:pPr>
              <w:pStyle w:val="35"/>
              <w:bidi w:val="0"/>
              <w:rPr>
                <w:color w:val="auto"/>
              </w:rPr>
            </w:pPr>
          </w:p>
        </w:tc>
        <w:tc>
          <w:tcPr>
            <w:tcW w:w="416" w:type="pct"/>
            <w:vMerge w:val="continue"/>
            <w:tcBorders>
              <w:tl2br w:val="nil"/>
              <w:tr2bl w:val="nil"/>
            </w:tcBorders>
            <w:noWrap w:val="0"/>
            <w:vAlign w:val="center"/>
          </w:tcPr>
          <w:p>
            <w:pPr>
              <w:pStyle w:val="35"/>
              <w:bidi w:val="0"/>
              <w:rPr>
                <w:color w:val="auto"/>
              </w:rPr>
            </w:pPr>
          </w:p>
        </w:tc>
        <w:tc>
          <w:tcPr>
            <w:tcW w:w="1128" w:type="pct"/>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VOCs</w:t>
            </w:r>
          </w:p>
        </w:tc>
        <w:tc>
          <w:tcPr>
            <w:tcW w:w="797" w:type="pct"/>
            <w:tcBorders>
              <w:tl2br w:val="nil"/>
              <w:tr2bl w:val="nil"/>
            </w:tcBorders>
            <w:noWrap w:val="0"/>
            <w:vAlign w:val="center"/>
          </w:tcPr>
          <w:p>
            <w:pPr>
              <w:pStyle w:val="35"/>
              <w:bidi w:val="0"/>
              <w:ind w:firstLine="0" w:firstLineChars="0"/>
              <w:rPr>
                <w:rFonts w:hint="default"/>
                <w:color w:val="auto"/>
                <w:lang w:val="en-US" w:eastAsia="zh-CN"/>
              </w:rPr>
            </w:pPr>
            <w:r>
              <w:rPr>
                <w:rFonts w:hint="eastAsia"/>
                <w:color w:val="auto"/>
                <w:lang w:val="en-US" w:eastAsia="zh-CN"/>
              </w:rPr>
              <w:t>1.5</w:t>
            </w:r>
          </w:p>
        </w:tc>
        <w:tc>
          <w:tcPr>
            <w:tcW w:w="798" w:type="pct"/>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1.5</w:t>
            </w:r>
          </w:p>
        </w:tc>
        <w:tc>
          <w:tcPr>
            <w:tcW w:w="1345" w:type="pct"/>
            <w:vMerge w:val="continue"/>
            <w:tcBorders>
              <w:tl2br w:val="nil"/>
              <w:tr2bl w:val="nil"/>
            </w:tcBorders>
            <w:noWrap w:val="0"/>
            <w:vAlign w:val="center"/>
          </w:tcPr>
          <w:p>
            <w:pPr>
              <w:pStyle w:val="35"/>
              <w:bidi w:val="0"/>
              <w:rPr>
                <w:rFonts w:hint="eastAsia"/>
                <w:color w:val="auto"/>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77" w:hRule="atLeast"/>
          <w:jc w:val="center"/>
        </w:trPr>
        <w:tc>
          <w:tcPr>
            <w:tcW w:w="930" w:type="pct"/>
            <w:gridSpan w:val="2"/>
            <w:vMerge w:val="restar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生产</w:t>
            </w:r>
            <w:r>
              <w:rPr>
                <w:rFonts w:hint="default"/>
                <w:color w:val="auto"/>
                <w:lang w:val="en-US" w:eastAsia="zh-CN"/>
              </w:rPr>
              <w:t>废水</w:t>
            </w:r>
          </w:p>
          <w:p>
            <w:pPr>
              <w:pStyle w:val="35"/>
              <w:bidi w:val="0"/>
              <w:rPr>
                <w:rFonts w:hint="default" w:eastAsia="宋体"/>
                <w:color w:val="auto"/>
                <w:lang w:val="en-US" w:eastAsia="zh-CN"/>
              </w:rPr>
            </w:pPr>
          </w:p>
        </w:tc>
        <w:tc>
          <w:tcPr>
            <w:tcW w:w="1128" w:type="pct"/>
            <w:tcBorders>
              <w:tl2br w:val="nil"/>
              <w:tr2bl w:val="nil"/>
            </w:tcBorders>
            <w:noWrap w:val="0"/>
            <w:vAlign w:val="center"/>
          </w:tcPr>
          <w:p>
            <w:pPr>
              <w:pStyle w:val="35"/>
              <w:bidi w:val="0"/>
              <w:rPr>
                <w:rFonts w:hint="eastAsia"/>
                <w:color w:val="auto"/>
              </w:rPr>
            </w:pPr>
            <w:r>
              <w:rPr>
                <w:rFonts w:hint="eastAsia"/>
                <w:color w:val="auto"/>
                <w:lang w:val="en-US" w:eastAsia="zh-CN"/>
              </w:rPr>
              <w:t>废水量</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3232.7</w:t>
            </w:r>
          </w:p>
        </w:tc>
        <w:tc>
          <w:tcPr>
            <w:tcW w:w="7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3232.7</w:t>
            </w:r>
          </w:p>
        </w:tc>
        <w:tc>
          <w:tcPr>
            <w:tcW w:w="1345" w:type="pct"/>
            <w:vMerge w:val="restar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经厂区内污水处理站预处理后送云溪工业园污水处理厂处理，最终进入长江</w:t>
            </w:r>
          </w:p>
          <w:p>
            <w:pPr>
              <w:pStyle w:val="35"/>
              <w:bidi w:val="0"/>
              <w:rPr>
                <w:rFonts w:hint="eastAsia" w:eastAsia="宋体"/>
                <w:color w:val="auto"/>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77" w:hRule="atLeast"/>
          <w:jc w:val="center"/>
        </w:trPr>
        <w:tc>
          <w:tcPr>
            <w:tcW w:w="930" w:type="pct"/>
            <w:gridSpan w:val="2"/>
            <w:vMerge w:val="continue"/>
            <w:tcBorders>
              <w:tl2br w:val="nil"/>
              <w:tr2bl w:val="nil"/>
            </w:tcBorders>
            <w:noWrap w:val="0"/>
            <w:vAlign w:val="center"/>
          </w:tcPr>
          <w:p>
            <w:pPr>
              <w:pStyle w:val="35"/>
              <w:bidi w:val="0"/>
              <w:rPr>
                <w:rFonts w:hint="eastAsia"/>
                <w:color w:val="auto"/>
                <w:lang w:val="en-US" w:eastAsia="zh-CN"/>
              </w:rPr>
            </w:pPr>
          </w:p>
        </w:tc>
        <w:tc>
          <w:tcPr>
            <w:tcW w:w="1128"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ascii="Times New Roman" w:hAnsi="Times New Roman" w:cs="Times New Roman"/>
                <w:color w:val="auto"/>
              </w:rPr>
              <w:t>COD</w:t>
            </w:r>
          </w:p>
        </w:tc>
        <w:tc>
          <w:tcPr>
            <w:tcW w:w="797" w:type="pct"/>
            <w:tcBorders>
              <w:tl2br w:val="nil"/>
              <w:tr2bl w:val="nil"/>
            </w:tcBorders>
            <w:noWrap w:val="0"/>
            <w:vAlign w:val="center"/>
          </w:tcPr>
          <w:p>
            <w:pPr>
              <w:keepNext w:val="0"/>
              <w:keepLines w:val="0"/>
              <w:widowControl/>
              <w:suppressLineNumbers w:val="0"/>
              <w:jc w:val="center"/>
              <w:textAlignment w:val="center"/>
              <w:rPr>
                <w:rFonts w:hint="eastAsia"/>
                <w:color w:val="auto"/>
                <w:lang w:val="en-US" w:eastAsia="zh-CN"/>
              </w:rPr>
            </w:pPr>
            <w:r>
              <w:rPr>
                <w:rFonts w:hint="eastAsia" w:ascii="Times New Roman" w:hAnsi="Times New Roman" w:cs="Times New Roman"/>
                <w:i w:val="0"/>
                <w:iCs w:val="0"/>
                <w:color w:val="auto"/>
                <w:kern w:val="0"/>
                <w:sz w:val="21"/>
                <w:szCs w:val="21"/>
                <w:u w:val="none"/>
                <w:lang w:val="en-US" w:eastAsia="zh-CN" w:bidi="ar"/>
              </w:rPr>
              <w:t>85.05</w:t>
            </w:r>
          </w:p>
        </w:tc>
        <w:tc>
          <w:tcPr>
            <w:tcW w:w="798" w:type="pct"/>
            <w:tcBorders>
              <w:tl2br w:val="nil"/>
              <w:tr2bl w:val="nil"/>
            </w:tcBorders>
            <w:noWrap w:val="0"/>
            <w:vAlign w:val="center"/>
          </w:tcPr>
          <w:p>
            <w:pPr>
              <w:keepNext w:val="0"/>
              <w:keepLines w:val="0"/>
              <w:widowControl/>
              <w:suppressLineNumbers w:val="0"/>
              <w:jc w:val="center"/>
              <w:textAlignment w:val="center"/>
              <w:rPr>
                <w:rFonts w:hint="default"/>
                <w:color w:val="auto"/>
                <w:lang w:val="en-US" w:eastAsia="zh-CN"/>
              </w:rPr>
            </w:pPr>
            <w:r>
              <w:rPr>
                <w:rFonts w:hint="eastAsia" w:ascii="Times New Roman" w:hAnsi="Times New Roman" w:cs="Times New Roman"/>
                <w:i w:val="0"/>
                <w:iCs w:val="0"/>
                <w:color w:val="auto"/>
                <w:kern w:val="0"/>
                <w:sz w:val="21"/>
                <w:szCs w:val="21"/>
                <w:u w:val="none"/>
                <w:lang w:val="en-US" w:eastAsia="zh-CN" w:bidi="ar"/>
              </w:rPr>
              <w:t>0.162</w:t>
            </w:r>
          </w:p>
        </w:tc>
        <w:tc>
          <w:tcPr>
            <w:tcW w:w="1345" w:type="pct"/>
            <w:vMerge w:val="continue"/>
            <w:tcBorders>
              <w:tl2br w:val="nil"/>
              <w:tr2bl w:val="nil"/>
            </w:tcBorders>
            <w:noWrap w:val="0"/>
            <w:vAlign w:val="center"/>
          </w:tcPr>
          <w:p>
            <w:pPr>
              <w:pStyle w:val="35"/>
              <w:bidi w:val="0"/>
              <w:rPr>
                <w:rFonts w:hint="eastAsia" w:eastAsia="宋体"/>
                <w:color w:val="auto"/>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39" w:hRule="atLeast"/>
          <w:jc w:val="center"/>
        </w:trPr>
        <w:tc>
          <w:tcPr>
            <w:tcW w:w="930" w:type="pct"/>
            <w:gridSpan w:val="2"/>
            <w:vMerge w:val="continue"/>
            <w:tcBorders>
              <w:tl2br w:val="nil"/>
              <w:tr2bl w:val="nil"/>
            </w:tcBorders>
            <w:noWrap w:val="0"/>
            <w:vAlign w:val="center"/>
          </w:tcPr>
          <w:p>
            <w:pPr>
              <w:pStyle w:val="35"/>
              <w:bidi w:val="0"/>
              <w:rPr>
                <w:rFonts w:hint="default"/>
                <w:color w:val="auto"/>
              </w:rPr>
            </w:pPr>
          </w:p>
        </w:tc>
        <w:tc>
          <w:tcPr>
            <w:tcW w:w="1128" w:type="pct"/>
            <w:tcBorders>
              <w:tl2br w:val="nil"/>
              <w:tr2bl w:val="nil"/>
            </w:tcBorders>
            <w:noWrap w:val="0"/>
            <w:vAlign w:val="center"/>
          </w:tcPr>
          <w:p>
            <w:pPr>
              <w:pStyle w:val="35"/>
              <w:bidi w:val="0"/>
              <w:ind w:firstLine="0" w:firstLineChars="0"/>
              <w:jc w:val="center"/>
              <w:rPr>
                <w:rFonts w:hint="default"/>
                <w:color w:val="auto"/>
              </w:rPr>
            </w:pPr>
            <w:r>
              <w:rPr>
                <w:rFonts w:ascii="Times New Roman" w:hAnsi="Times New Roman" w:cs="Times New Roman"/>
                <w:color w:val="auto"/>
              </w:rPr>
              <w:t>SS</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24</w:t>
            </w:r>
          </w:p>
        </w:tc>
        <w:tc>
          <w:tcPr>
            <w:tcW w:w="798" w:type="pct"/>
            <w:tcBorders>
              <w:tl2br w:val="nil"/>
              <w:tr2bl w:val="nil"/>
            </w:tcBorders>
            <w:noWrap w:val="0"/>
            <w:vAlign w:val="center"/>
          </w:tcPr>
          <w:p>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24</w:t>
            </w:r>
          </w:p>
        </w:tc>
        <w:tc>
          <w:tcPr>
            <w:tcW w:w="1345" w:type="pct"/>
            <w:vMerge w:val="continue"/>
            <w:tcBorders>
              <w:tl2br w:val="nil"/>
              <w:tr2bl w:val="nil"/>
            </w:tcBorders>
            <w:noWrap w:val="0"/>
            <w:vAlign w:val="center"/>
          </w:tcPr>
          <w:p>
            <w:pPr>
              <w:pStyle w:val="35"/>
              <w:bidi w:val="0"/>
              <w:rPr>
                <w:rFonts w:hint="eastAsia"/>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09" w:hRule="atLeast"/>
          <w:jc w:val="center"/>
        </w:trPr>
        <w:tc>
          <w:tcPr>
            <w:tcW w:w="930" w:type="pct"/>
            <w:gridSpan w:val="2"/>
            <w:vMerge w:val="restart"/>
            <w:tcBorders>
              <w:tl2br w:val="nil"/>
              <w:tr2bl w:val="nil"/>
            </w:tcBorders>
            <w:noWrap w:val="0"/>
            <w:vAlign w:val="center"/>
          </w:tcPr>
          <w:p>
            <w:pPr>
              <w:pStyle w:val="35"/>
              <w:bidi w:val="0"/>
              <w:rPr>
                <w:rFonts w:hint="default" w:eastAsia="宋体"/>
                <w:color w:val="auto"/>
                <w:lang w:val="en-US" w:eastAsia="zh-CN"/>
              </w:rPr>
            </w:pPr>
            <w:r>
              <w:rPr>
                <w:rFonts w:hint="eastAsia"/>
                <w:color w:val="auto"/>
                <w:lang w:val="en-US" w:eastAsia="zh-CN"/>
              </w:rPr>
              <w:t>生活污水</w:t>
            </w:r>
          </w:p>
        </w:tc>
        <w:tc>
          <w:tcPr>
            <w:tcW w:w="112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废水量</w:t>
            </w:r>
          </w:p>
        </w:tc>
        <w:tc>
          <w:tcPr>
            <w:tcW w:w="797"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475.2</w:t>
            </w:r>
          </w:p>
        </w:tc>
        <w:tc>
          <w:tcPr>
            <w:tcW w:w="79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475.2</w:t>
            </w:r>
          </w:p>
        </w:tc>
        <w:tc>
          <w:tcPr>
            <w:tcW w:w="1345" w:type="pct"/>
            <w:vMerge w:val="restart"/>
            <w:tcBorders>
              <w:tl2br w:val="nil"/>
              <w:tr2bl w:val="nil"/>
            </w:tcBorders>
            <w:noWrap w:val="0"/>
            <w:vAlign w:val="center"/>
          </w:tcPr>
          <w:p>
            <w:pPr>
              <w:pStyle w:val="35"/>
              <w:bidi w:val="0"/>
              <w:rPr>
                <w:rFonts w:hint="eastAsia"/>
                <w:color w:val="auto"/>
              </w:rPr>
            </w:pPr>
            <w:r>
              <w:rPr>
                <w:color w:val="auto"/>
              </w:rPr>
              <w:t>化粪池+云溪污水处理厂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8" w:hRule="atLeast"/>
          <w:jc w:val="center"/>
        </w:trPr>
        <w:tc>
          <w:tcPr>
            <w:tcW w:w="930" w:type="pct"/>
            <w:gridSpan w:val="2"/>
            <w:vMerge w:val="continue"/>
            <w:tcBorders>
              <w:tl2br w:val="nil"/>
              <w:tr2bl w:val="nil"/>
            </w:tcBorders>
            <w:noWrap w:val="0"/>
            <w:vAlign w:val="center"/>
          </w:tcPr>
          <w:p>
            <w:pPr>
              <w:pStyle w:val="35"/>
              <w:bidi w:val="0"/>
              <w:rPr>
                <w:color w:val="auto"/>
              </w:rPr>
            </w:pPr>
          </w:p>
        </w:tc>
        <w:tc>
          <w:tcPr>
            <w:tcW w:w="1128" w:type="pct"/>
            <w:tcBorders>
              <w:tl2br w:val="nil"/>
              <w:tr2bl w:val="nil"/>
            </w:tcBorders>
            <w:noWrap w:val="0"/>
            <w:vAlign w:val="center"/>
          </w:tcPr>
          <w:p>
            <w:pPr>
              <w:pStyle w:val="35"/>
              <w:bidi w:val="0"/>
              <w:ind w:firstLine="0" w:firstLineChars="0"/>
              <w:jc w:val="center"/>
              <w:rPr>
                <w:color w:val="auto"/>
              </w:rPr>
            </w:pPr>
            <w:r>
              <w:rPr>
                <w:color w:val="auto"/>
              </w:rPr>
              <w:t>COD</w:t>
            </w:r>
          </w:p>
        </w:tc>
        <w:tc>
          <w:tcPr>
            <w:tcW w:w="797"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default" w:ascii="Times New Roman" w:hAnsi="Times New Roman" w:cs="Times New Roman"/>
                <w:color w:val="auto"/>
                <w:lang w:val="en-US" w:eastAsia="zh-CN"/>
              </w:rPr>
              <w:t>0.142</w:t>
            </w:r>
          </w:p>
        </w:tc>
        <w:tc>
          <w:tcPr>
            <w:tcW w:w="798" w:type="pct"/>
            <w:tcBorders>
              <w:tl2br w:val="nil"/>
              <w:tr2bl w:val="nil"/>
            </w:tcBorders>
            <w:noWrap w:val="0"/>
            <w:vAlign w:val="center"/>
          </w:tcPr>
          <w:p>
            <w:pPr>
              <w:pStyle w:val="35"/>
              <w:bidi w:val="0"/>
              <w:ind w:firstLine="0" w:firstLineChars="0"/>
              <w:jc w:val="center"/>
              <w:rPr>
                <w:rFonts w:hint="default"/>
                <w:color w:val="auto"/>
                <w:lang w:val="en-US" w:eastAsia="zh-CN"/>
              </w:rPr>
            </w:pPr>
            <w:r>
              <w:rPr>
                <w:rFonts w:hint="default" w:ascii="Times New Roman" w:hAnsi="Times New Roman" w:cs="Times New Roman"/>
                <w:color w:val="auto"/>
                <w:lang w:val="en-US" w:eastAsia="zh-CN"/>
              </w:rPr>
              <w:t>0.</w:t>
            </w:r>
            <w:r>
              <w:rPr>
                <w:rFonts w:hint="eastAsia" w:cs="Times New Roman"/>
                <w:color w:val="auto"/>
                <w:lang w:val="en-US" w:eastAsia="zh-CN"/>
              </w:rPr>
              <w:t>024</w:t>
            </w:r>
          </w:p>
        </w:tc>
        <w:tc>
          <w:tcPr>
            <w:tcW w:w="1345" w:type="pct"/>
            <w:vMerge w:val="continue"/>
            <w:tcBorders>
              <w:tl2br w:val="nil"/>
              <w:tr2bl w:val="nil"/>
            </w:tcBorders>
            <w:noWrap w:val="0"/>
            <w:vAlign w:val="center"/>
          </w:tcPr>
          <w:p>
            <w:pPr>
              <w:pStyle w:val="35"/>
              <w:bidi w:val="0"/>
              <w:rPr>
                <w:rFonts w:hint="eastAsia"/>
                <w:color w:val="auto"/>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8" w:hRule="atLeast"/>
          <w:jc w:val="center"/>
        </w:trPr>
        <w:tc>
          <w:tcPr>
            <w:tcW w:w="930" w:type="pct"/>
            <w:gridSpan w:val="2"/>
            <w:vMerge w:val="continue"/>
            <w:tcBorders>
              <w:tl2br w:val="nil"/>
              <w:tr2bl w:val="nil"/>
            </w:tcBorders>
            <w:noWrap w:val="0"/>
            <w:vAlign w:val="center"/>
          </w:tcPr>
          <w:p>
            <w:pPr>
              <w:pStyle w:val="35"/>
              <w:bidi w:val="0"/>
              <w:rPr>
                <w:rFonts w:hint="eastAsia"/>
                <w:color w:val="auto"/>
                <w:lang w:val="en-US" w:eastAsia="zh-CN"/>
              </w:rPr>
            </w:pPr>
          </w:p>
        </w:tc>
        <w:tc>
          <w:tcPr>
            <w:tcW w:w="1128" w:type="pct"/>
            <w:tcBorders>
              <w:tl2br w:val="nil"/>
              <w:tr2bl w:val="nil"/>
            </w:tcBorders>
            <w:noWrap w:val="0"/>
            <w:vAlign w:val="center"/>
          </w:tcPr>
          <w:p>
            <w:pPr>
              <w:pStyle w:val="35"/>
              <w:bidi w:val="0"/>
              <w:ind w:firstLine="0" w:firstLineChars="0"/>
              <w:jc w:val="center"/>
              <w:rPr>
                <w:rFonts w:hint="eastAsia"/>
                <w:color w:val="auto"/>
                <w:lang w:val="en-US" w:eastAsia="zh-CN"/>
              </w:rPr>
            </w:pPr>
            <w:r>
              <w:rPr>
                <w:color w:val="auto"/>
              </w:rPr>
              <w:t>SS</w:t>
            </w:r>
          </w:p>
        </w:tc>
        <w:tc>
          <w:tcPr>
            <w:tcW w:w="797"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default" w:ascii="Times New Roman" w:hAnsi="Times New Roman" w:cs="Times New Roman"/>
                <w:color w:val="auto"/>
                <w:lang w:val="en-US" w:eastAsia="zh-CN"/>
              </w:rPr>
              <w:t>0.095</w:t>
            </w:r>
          </w:p>
        </w:tc>
        <w:tc>
          <w:tcPr>
            <w:tcW w:w="798"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default" w:ascii="Times New Roman" w:hAnsi="Times New Roman" w:cs="Times New Roman"/>
                <w:color w:val="auto"/>
                <w:lang w:val="en-US" w:eastAsia="zh-CN"/>
              </w:rPr>
              <w:t>0.095</w:t>
            </w:r>
          </w:p>
        </w:tc>
        <w:tc>
          <w:tcPr>
            <w:tcW w:w="1345" w:type="pct"/>
            <w:vMerge w:val="continue"/>
            <w:tcBorders>
              <w:tl2br w:val="nil"/>
              <w:tr2bl w:val="nil"/>
            </w:tcBorders>
            <w:noWrap w:val="0"/>
            <w:vAlign w:val="center"/>
          </w:tcPr>
          <w:p>
            <w:pPr>
              <w:pStyle w:val="35"/>
              <w:bidi w:val="0"/>
              <w:rPr>
                <w:rFonts w:hint="eastAsia"/>
                <w:color w:val="auto"/>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8" w:hRule="atLeast"/>
          <w:jc w:val="center"/>
        </w:trPr>
        <w:tc>
          <w:tcPr>
            <w:tcW w:w="930" w:type="pct"/>
            <w:gridSpan w:val="2"/>
            <w:vMerge w:val="continue"/>
            <w:tcBorders>
              <w:tl2br w:val="nil"/>
              <w:tr2bl w:val="nil"/>
            </w:tcBorders>
            <w:noWrap w:val="0"/>
            <w:vAlign w:val="center"/>
          </w:tcPr>
          <w:p>
            <w:pPr>
              <w:pStyle w:val="35"/>
              <w:bidi w:val="0"/>
              <w:rPr>
                <w:rFonts w:hint="eastAsia"/>
                <w:color w:val="auto"/>
                <w:lang w:val="en-US" w:eastAsia="zh-CN"/>
              </w:rPr>
            </w:pPr>
          </w:p>
        </w:tc>
        <w:tc>
          <w:tcPr>
            <w:tcW w:w="1128" w:type="pct"/>
            <w:tcBorders>
              <w:tl2br w:val="nil"/>
              <w:tr2bl w:val="nil"/>
            </w:tcBorders>
            <w:noWrap w:val="0"/>
            <w:vAlign w:val="center"/>
          </w:tcPr>
          <w:p>
            <w:pPr>
              <w:pStyle w:val="35"/>
              <w:bidi w:val="0"/>
              <w:ind w:firstLine="0" w:firstLineChars="0"/>
              <w:jc w:val="center"/>
              <w:rPr>
                <w:rFonts w:hint="eastAsia"/>
                <w:color w:val="auto"/>
                <w:lang w:val="en-US" w:eastAsia="zh-CN"/>
              </w:rPr>
            </w:pPr>
            <w:r>
              <w:rPr>
                <w:color w:val="auto"/>
              </w:rPr>
              <w:t>NH</w:t>
            </w:r>
            <w:r>
              <w:rPr>
                <w:color w:val="auto"/>
                <w:vertAlign w:val="subscript"/>
              </w:rPr>
              <w:t>3</w:t>
            </w:r>
            <w:r>
              <w:rPr>
                <w:color w:val="auto"/>
              </w:rPr>
              <w:t>-N</w:t>
            </w:r>
          </w:p>
        </w:tc>
        <w:tc>
          <w:tcPr>
            <w:tcW w:w="797"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default" w:ascii="Times New Roman" w:hAnsi="Times New Roman" w:cs="Times New Roman"/>
                <w:color w:val="auto"/>
                <w:lang w:val="en-US" w:eastAsia="zh-CN"/>
              </w:rPr>
              <w:t>0.014</w:t>
            </w:r>
          </w:p>
        </w:tc>
        <w:tc>
          <w:tcPr>
            <w:tcW w:w="798"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default" w:ascii="Times New Roman" w:hAnsi="Times New Roman" w:cs="Times New Roman"/>
                <w:color w:val="auto"/>
                <w:lang w:val="en-US" w:eastAsia="zh-CN"/>
              </w:rPr>
              <w:t>0.014</w:t>
            </w:r>
          </w:p>
        </w:tc>
        <w:tc>
          <w:tcPr>
            <w:tcW w:w="1345" w:type="pct"/>
            <w:vMerge w:val="continue"/>
            <w:tcBorders>
              <w:tl2br w:val="nil"/>
              <w:tr2bl w:val="nil"/>
            </w:tcBorders>
            <w:noWrap w:val="0"/>
            <w:vAlign w:val="center"/>
          </w:tcPr>
          <w:p>
            <w:pPr>
              <w:pStyle w:val="35"/>
              <w:bidi w:val="0"/>
              <w:rPr>
                <w:rFonts w:hint="eastAsia"/>
                <w:color w:val="auto"/>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09" w:hRule="atLeast"/>
          <w:jc w:val="center"/>
        </w:trPr>
        <w:tc>
          <w:tcPr>
            <w:tcW w:w="930" w:type="pct"/>
            <w:gridSpan w:val="2"/>
            <w:vMerge w:val="continue"/>
            <w:tcBorders>
              <w:tl2br w:val="nil"/>
              <w:tr2bl w:val="nil"/>
            </w:tcBorders>
            <w:noWrap w:val="0"/>
            <w:vAlign w:val="center"/>
          </w:tcPr>
          <w:p>
            <w:pPr>
              <w:pStyle w:val="35"/>
              <w:bidi w:val="0"/>
              <w:rPr>
                <w:rFonts w:hint="eastAsia"/>
                <w:color w:val="auto"/>
                <w:lang w:val="en-US" w:eastAsia="zh-CN"/>
              </w:rPr>
            </w:pPr>
          </w:p>
        </w:tc>
        <w:tc>
          <w:tcPr>
            <w:tcW w:w="1128" w:type="pct"/>
            <w:tcBorders>
              <w:tl2br w:val="nil"/>
              <w:tr2bl w:val="nil"/>
            </w:tcBorders>
            <w:noWrap w:val="0"/>
            <w:vAlign w:val="center"/>
          </w:tcPr>
          <w:p>
            <w:pPr>
              <w:pStyle w:val="35"/>
              <w:bidi w:val="0"/>
              <w:ind w:firstLine="0" w:firstLineChars="0"/>
              <w:jc w:val="center"/>
              <w:rPr>
                <w:rFonts w:hint="eastAsia"/>
                <w:color w:val="auto"/>
                <w:lang w:val="en-US" w:eastAsia="zh-CN"/>
              </w:rPr>
            </w:pPr>
            <w:r>
              <w:rPr>
                <w:color w:val="auto"/>
              </w:rPr>
              <w:t>动植物油</w:t>
            </w:r>
          </w:p>
        </w:tc>
        <w:tc>
          <w:tcPr>
            <w:tcW w:w="797"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default" w:ascii="Times New Roman" w:hAnsi="Times New Roman" w:cs="Times New Roman"/>
                <w:color w:val="auto"/>
                <w:lang w:val="en-US" w:eastAsia="zh-CN"/>
              </w:rPr>
              <w:t>0.007</w:t>
            </w:r>
          </w:p>
        </w:tc>
        <w:tc>
          <w:tcPr>
            <w:tcW w:w="798" w:type="pct"/>
            <w:tcBorders>
              <w:tl2br w:val="nil"/>
              <w:tr2bl w:val="nil"/>
            </w:tcBorders>
            <w:noWrap w:val="0"/>
            <w:vAlign w:val="center"/>
          </w:tcPr>
          <w:p>
            <w:pPr>
              <w:pStyle w:val="35"/>
              <w:bidi w:val="0"/>
              <w:ind w:firstLine="0" w:firstLineChars="0"/>
              <w:jc w:val="center"/>
              <w:rPr>
                <w:rFonts w:hint="eastAsia"/>
                <w:color w:val="auto"/>
                <w:lang w:val="en-US" w:eastAsia="zh-CN"/>
              </w:rPr>
            </w:pPr>
            <w:r>
              <w:rPr>
                <w:rFonts w:hint="default" w:ascii="Times New Roman" w:hAnsi="Times New Roman" w:cs="Times New Roman"/>
                <w:color w:val="auto"/>
                <w:lang w:val="en-US" w:eastAsia="zh-CN"/>
              </w:rPr>
              <w:t>0.007</w:t>
            </w:r>
          </w:p>
        </w:tc>
        <w:tc>
          <w:tcPr>
            <w:tcW w:w="1345" w:type="pct"/>
            <w:vMerge w:val="continue"/>
            <w:tcBorders>
              <w:tl2br w:val="nil"/>
              <w:tr2bl w:val="nil"/>
            </w:tcBorders>
            <w:noWrap w:val="0"/>
            <w:vAlign w:val="center"/>
          </w:tcPr>
          <w:p>
            <w:pPr>
              <w:pStyle w:val="35"/>
              <w:bidi w:val="0"/>
              <w:rPr>
                <w:rFonts w:hint="eastAsia"/>
                <w:color w:val="auto"/>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64" w:hRule="atLeast"/>
          <w:jc w:val="center"/>
        </w:trPr>
        <w:tc>
          <w:tcPr>
            <w:tcW w:w="930" w:type="pct"/>
            <w:gridSpan w:val="2"/>
            <w:vMerge w:val="restart"/>
            <w:tcBorders>
              <w:tl2br w:val="nil"/>
              <w:tr2bl w:val="nil"/>
            </w:tcBorders>
            <w:noWrap w:val="0"/>
            <w:vAlign w:val="center"/>
          </w:tcPr>
          <w:p>
            <w:pPr>
              <w:pStyle w:val="35"/>
              <w:bidi w:val="0"/>
              <w:rPr>
                <w:rFonts w:hint="eastAsia"/>
                <w:color w:val="auto"/>
              </w:rPr>
            </w:pPr>
            <w:r>
              <w:rPr>
                <w:rFonts w:hint="eastAsia"/>
                <w:color w:val="auto"/>
                <w:lang w:val="en-US" w:eastAsia="zh-CN"/>
              </w:rPr>
              <w:t>危险废物</w:t>
            </w:r>
          </w:p>
        </w:tc>
        <w:tc>
          <w:tcPr>
            <w:tcW w:w="1128" w:type="pct"/>
            <w:tcBorders>
              <w:tl2br w:val="nil"/>
              <w:tr2bl w:val="nil"/>
            </w:tcBorders>
            <w:noWrap w:val="0"/>
            <w:vAlign w:val="center"/>
          </w:tcPr>
          <w:p>
            <w:pPr>
              <w:pStyle w:val="35"/>
              <w:bidi w:val="0"/>
              <w:rPr>
                <w:rFonts w:hint="eastAsia" w:eastAsia="宋体"/>
                <w:color w:val="auto"/>
                <w:lang w:val="en-US" w:eastAsia="zh-CN"/>
              </w:rPr>
            </w:pPr>
            <w:r>
              <w:rPr>
                <w:rFonts w:hint="eastAsia"/>
                <w:color w:val="auto"/>
              </w:rPr>
              <w:t>精馏釜残</w:t>
            </w:r>
          </w:p>
        </w:tc>
        <w:tc>
          <w:tcPr>
            <w:tcW w:w="797" w:type="pct"/>
            <w:tcBorders>
              <w:tl2br w:val="nil"/>
              <w:tr2bl w:val="nil"/>
            </w:tcBorders>
            <w:noWrap w:val="0"/>
            <w:vAlign w:val="center"/>
          </w:tcPr>
          <w:p>
            <w:pPr>
              <w:pStyle w:val="35"/>
              <w:bidi w:val="0"/>
              <w:rPr>
                <w:rFonts w:hint="default"/>
                <w:color w:val="auto"/>
                <w:lang w:val="en-US"/>
              </w:rPr>
            </w:pPr>
            <w:r>
              <w:rPr>
                <w:rFonts w:hint="eastAsia"/>
                <w:color w:val="auto"/>
                <w:lang w:val="en-US" w:eastAsia="zh-CN"/>
              </w:rPr>
              <w:t>1.2</w:t>
            </w:r>
          </w:p>
        </w:tc>
        <w:tc>
          <w:tcPr>
            <w:tcW w:w="798" w:type="pct"/>
            <w:tcBorders>
              <w:tl2br w:val="nil"/>
              <w:tr2bl w:val="nil"/>
            </w:tcBorders>
            <w:noWrap w:val="0"/>
            <w:vAlign w:val="center"/>
          </w:tcPr>
          <w:p>
            <w:pPr>
              <w:pStyle w:val="35"/>
              <w:bidi w:val="0"/>
              <w:rPr>
                <w:rFonts w:hint="eastAsia"/>
                <w:color w:val="auto"/>
              </w:rPr>
            </w:pPr>
            <w:r>
              <w:rPr>
                <w:rFonts w:hint="eastAsia"/>
                <w:color w:val="auto"/>
                <w:lang w:val="en-US" w:eastAsia="zh-CN"/>
              </w:rPr>
              <w:t>0</w:t>
            </w:r>
          </w:p>
        </w:tc>
        <w:tc>
          <w:tcPr>
            <w:tcW w:w="1345"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委托有资质单位处置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64" w:hRule="atLeast"/>
          <w:jc w:val="center"/>
        </w:trPr>
        <w:tc>
          <w:tcPr>
            <w:tcW w:w="930" w:type="pct"/>
            <w:gridSpan w:val="2"/>
            <w:vMerge w:val="continue"/>
            <w:tcBorders>
              <w:tl2br w:val="nil"/>
              <w:tr2bl w:val="nil"/>
            </w:tcBorders>
            <w:noWrap w:val="0"/>
            <w:vAlign w:val="center"/>
          </w:tcPr>
          <w:p>
            <w:pPr>
              <w:pStyle w:val="35"/>
              <w:bidi w:val="0"/>
              <w:rPr>
                <w:color w:val="auto"/>
              </w:rPr>
            </w:pPr>
          </w:p>
        </w:tc>
        <w:tc>
          <w:tcPr>
            <w:tcW w:w="1128" w:type="pct"/>
            <w:tcBorders>
              <w:tl2br w:val="nil"/>
              <w:tr2bl w:val="nil"/>
            </w:tcBorders>
            <w:noWrap w:val="0"/>
            <w:vAlign w:val="center"/>
          </w:tcPr>
          <w:p>
            <w:pPr>
              <w:pStyle w:val="35"/>
              <w:bidi w:val="0"/>
              <w:rPr>
                <w:rFonts w:hint="eastAsia"/>
                <w:color w:val="auto"/>
              </w:rPr>
            </w:pPr>
            <w:r>
              <w:rPr>
                <w:rFonts w:hint="eastAsia"/>
                <w:color w:val="auto"/>
                <w:u w:val="none"/>
              </w:rPr>
              <w:t>废离子交换树脂</w:t>
            </w:r>
          </w:p>
        </w:tc>
        <w:tc>
          <w:tcPr>
            <w:tcW w:w="797" w:type="pct"/>
            <w:tcBorders>
              <w:tl2br w:val="nil"/>
              <w:tr2bl w:val="nil"/>
            </w:tcBorders>
            <w:noWrap w:val="0"/>
            <w:vAlign w:val="center"/>
          </w:tcPr>
          <w:p>
            <w:pPr>
              <w:pStyle w:val="35"/>
              <w:bidi w:val="0"/>
              <w:rPr>
                <w:rFonts w:hint="default" w:eastAsia="宋体"/>
                <w:color w:val="auto"/>
                <w:lang w:val="en-US" w:eastAsia="zh-CN"/>
              </w:rPr>
            </w:pPr>
            <w:r>
              <w:rPr>
                <w:rFonts w:hint="eastAsia"/>
                <w:color w:val="auto"/>
                <w:lang w:val="en-US" w:eastAsia="zh-CN"/>
              </w:rPr>
              <w:t>0.5</w:t>
            </w:r>
          </w:p>
        </w:tc>
        <w:tc>
          <w:tcPr>
            <w:tcW w:w="798" w:type="pct"/>
            <w:tcBorders>
              <w:tl2br w:val="nil"/>
              <w:tr2bl w:val="nil"/>
            </w:tcBorders>
            <w:noWrap w:val="0"/>
            <w:vAlign w:val="center"/>
          </w:tcPr>
          <w:p>
            <w:pPr>
              <w:pStyle w:val="35"/>
              <w:bidi w:val="0"/>
              <w:rPr>
                <w:rFonts w:hint="eastAsia" w:eastAsia="宋体"/>
                <w:color w:val="auto"/>
                <w:lang w:val="en-US" w:eastAsia="zh-CN"/>
              </w:rPr>
            </w:pPr>
            <w:r>
              <w:rPr>
                <w:rFonts w:hint="eastAsia"/>
                <w:color w:val="auto"/>
                <w:lang w:val="en-US" w:eastAsia="zh-CN"/>
              </w:rPr>
              <w:t>0</w:t>
            </w:r>
          </w:p>
        </w:tc>
        <w:tc>
          <w:tcPr>
            <w:tcW w:w="1345" w:type="pct"/>
            <w:tcBorders>
              <w:tl2br w:val="nil"/>
              <w:tr2bl w:val="nil"/>
            </w:tcBorders>
            <w:noWrap w:val="0"/>
            <w:vAlign w:val="center"/>
          </w:tcPr>
          <w:p>
            <w:pPr>
              <w:pStyle w:val="35"/>
              <w:bidi w:val="0"/>
              <w:rPr>
                <w:rFonts w:hint="eastAsia"/>
                <w:color w:val="auto"/>
              </w:rPr>
            </w:pPr>
            <w:r>
              <w:rPr>
                <w:rFonts w:hint="eastAsia"/>
                <w:color w:val="auto"/>
                <w:lang w:eastAsia="zh-CN"/>
              </w:rPr>
              <w:t>委托有资质单位处置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64" w:hRule="atLeast"/>
          <w:jc w:val="center"/>
        </w:trPr>
        <w:tc>
          <w:tcPr>
            <w:tcW w:w="930" w:type="pct"/>
            <w:gridSpan w:val="2"/>
            <w:tcBorders>
              <w:tl2br w:val="nil"/>
              <w:tr2bl w:val="nil"/>
            </w:tcBorders>
            <w:noWrap w:val="0"/>
            <w:vAlign w:val="center"/>
          </w:tcPr>
          <w:p>
            <w:pPr>
              <w:pStyle w:val="35"/>
              <w:bidi w:val="0"/>
              <w:rPr>
                <w:color w:val="auto"/>
              </w:rPr>
            </w:pPr>
            <w:r>
              <w:rPr>
                <w:rFonts w:hint="eastAsia"/>
                <w:color w:val="auto"/>
                <w:u w:val="none"/>
              </w:rPr>
              <w:t>废包装桶</w:t>
            </w:r>
          </w:p>
        </w:tc>
        <w:tc>
          <w:tcPr>
            <w:tcW w:w="1128" w:type="pct"/>
            <w:tcBorders>
              <w:tl2br w:val="nil"/>
              <w:tr2bl w:val="nil"/>
            </w:tcBorders>
            <w:noWrap w:val="0"/>
            <w:vAlign w:val="center"/>
          </w:tcPr>
          <w:p>
            <w:pPr>
              <w:pStyle w:val="35"/>
              <w:bidi w:val="0"/>
              <w:rPr>
                <w:rFonts w:hint="eastAsia"/>
                <w:color w:val="auto"/>
                <w:u w:val="none"/>
              </w:rPr>
            </w:pPr>
            <w:r>
              <w:rPr>
                <w:rFonts w:hint="eastAsia"/>
                <w:color w:val="auto"/>
                <w:u w:val="none"/>
              </w:rPr>
              <w:t>废包装桶</w:t>
            </w:r>
          </w:p>
        </w:tc>
        <w:tc>
          <w:tcPr>
            <w:tcW w:w="797"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10</w:t>
            </w:r>
          </w:p>
        </w:tc>
        <w:tc>
          <w:tcPr>
            <w:tcW w:w="79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w:t>
            </w:r>
          </w:p>
        </w:tc>
        <w:tc>
          <w:tcPr>
            <w:tcW w:w="1345"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定期由原料供应商回收重复利用，厂区内不设洗桶工序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1" w:hRule="atLeast"/>
          <w:jc w:val="center"/>
        </w:trPr>
        <w:tc>
          <w:tcPr>
            <w:tcW w:w="930" w:type="pct"/>
            <w:gridSpan w:val="2"/>
            <w:tcBorders>
              <w:tl2br w:val="nil"/>
              <w:tr2bl w:val="nil"/>
            </w:tcBorders>
            <w:noWrap w:val="0"/>
            <w:vAlign w:val="center"/>
          </w:tcPr>
          <w:p>
            <w:pPr>
              <w:pStyle w:val="35"/>
              <w:bidi w:val="0"/>
              <w:rPr>
                <w:rFonts w:hint="eastAsia"/>
                <w:color w:val="auto"/>
              </w:rPr>
            </w:pPr>
            <w:r>
              <w:rPr>
                <w:rFonts w:hint="eastAsia"/>
                <w:color w:val="auto"/>
                <w:lang w:val="en-US" w:eastAsia="zh-CN"/>
              </w:rPr>
              <w:t>生活垃圾</w:t>
            </w:r>
          </w:p>
        </w:tc>
        <w:tc>
          <w:tcPr>
            <w:tcW w:w="1128" w:type="pct"/>
            <w:tcBorders>
              <w:tl2br w:val="nil"/>
              <w:tr2bl w:val="nil"/>
            </w:tcBorders>
            <w:noWrap w:val="0"/>
            <w:vAlign w:val="center"/>
          </w:tcPr>
          <w:p>
            <w:pPr>
              <w:pStyle w:val="35"/>
              <w:bidi w:val="0"/>
              <w:rPr>
                <w:rFonts w:hint="default" w:eastAsia="宋体"/>
                <w:color w:val="auto"/>
                <w:lang w:val="en-US" w:eastAsia="zh-CN"/>
              </w:rPr>
            </w:pPr>
            <w:r>
              <w:rPr>
                <w:rFonts w:hint="eastAsia"/>
                <w:color w:val="auto"/>
                <w:lang w:val="en-US" w:eastAsia="zh-CN"/>
              </w:rPr>
              <w:t>生活垃圾</w:t>
            </w:r>
          </w:p>
        </w:tc>
        <w:tc>
          <w:tcPr>
            <w:tcW w:w="797" w:type="pct"/>
            <w:tcBorders>
              <w:tl2br w:val="nil"/>
              <w:tr2bl w:val="nil"/>
            </w:tcBorders>
            <w:noWrap w:val="0"/>
            <w:vAlign w:val="center"/>
          </w:tcPr>
          <w:p>
            <w:pPr>
              <w:pStyle w:val="35"/>
              <w:bidi w:val="0"/>
              <w:rPr>
                <w:rFonts w:hint="default"/>
                <w:color w:val="auto"/>
                <w:lang w:val="en-US"/>
              </w:rPr>
            </w:pPr>
            <w:r>
              <w:rPr>
                <w:rFonts w:hint="eastAsia"/>
                <w:color w:val="auto"/>
                <w:lang w:val="en-US" w:eastAsia="zh-CN"/>
              </w:rPr>
              <w:t>3.96</w:t>
            </w:r>
          </w:p>
        </w:tc>
        <w:tc>
          <w:tcPr>
            <w:tcW w:w="798" w:type="pct"/>
            <w:tcBorders>
              <w:tl2br w:val="nil"/>
              <w:tr2bl w:val="nil"/>
            </w:tcBorders>
            <w:noWrap w:val="0"/>
            <w:vAlign w:val="center"/>
          </w:tcPr>
          <w:p>
            <w:pPr>
              <w:pStyle w:val="35"/>
              <w:bidi w:val="0"/>
              <w:rPr>
                <w:rFonts w:hint="eastAsia"/>
                <w:color w:val="auto"/>
              </w:rPr>
            </w:pPr>
            <w:r>
              <w:rPr>
                <w:rFonts w:hint="eastAsia"/>
                <w:color w:val="auto"/>
                <w:lang w:val="en-US" w:eastAsia="zh-CN"/>
              </w:rPr>
              <w:t>0</w:t>
            </w:r>
          </w:p>
        </w:tc>
        <w:tc>
          <w:tcPr>
            <w:tcW w:w="1345" w:type="pct"/>
            <w:tcBorders>
              <w:tl2br w:val="nil"/>
              <w:tr2bl w:val="nil"/>
            </w:tcBorders>
            <w:noWrap w:val="0"/>
            <w:vAlign w:val="center"/>
          </w:tcPr>
          <w:p>
            <w:pPr>
              <w:pStyle w:val="35"/>
              <w:bidi w:val="0"/>
              <w:rPr>
                <w:rFonts w:hint="eastAsia"/>
                <w:color w:val="auto"/>
                <w:lang w:eastAsia="zh-CN"/>
              </w:rPr>
            </w:pPr>
            <w:r>
              <w:rPr>
                <w:rFonts w:hint="eastAsia"/>
                <w:color w:val="auto"/>
                <w:lang w:eastAsia="zh-CN"/>
              </w:rPr>
              <w:t>交由环卫部门处置</w:t>
            </w:r>
          </w:p>
        </w:tc>
      </w:tr>
    </w:tbl>
    <w:p>
      <w:pPr>
        <w:pStyle w:val="31"/>
        <w:bidi w:val="0"/>
        <w:rPr>
          <w:rFonts w:hint="eastAsia"/>
          <w:color w:val="auto"/>
          <w:lang w:val="en-US" w:eastAsia="zh-CN"/>
        </w:rPr>
      </w:pPr>
      <w:bookmarkStart w:id="111" w:name="_Toc21206"/>
      <w:bookmarkStart w:id="112" w:name="_Toc3257"/>
      <w:r>
        <w:rPr>
          <w:rFonts w:hint="eastAsia"/>
          <w:color w:val="auto"/>
          <w:lang w:val="en-US" w:eastAsia="zh-CN"/>
        </w:rPr>
        <w:t>5.5项目建设前后“三本账”分析</w:t>
      </w:r>
      <w:bookmarkEnd w:id="111"/>
      <w:bookmarkEnd w:id="112"/>
    </w:p>
    <w:p>
      <w:pPr>
        <w:pStyle w:val="33"/>
        <w:bidi w:val="0"/>
        <w:rPr>
          <w:rFonts w:hint="eastAsia"/>
          <w:b/>
          <w:bCs/>
          <w:color w:val="auto"/>
          <w:u w:val="single"/>
          <w:lang w:val="en-US" w:eastAsia="zh-CN"/>
        </w:rPr>
      </w:pPr>
      <w:r>
        <w:rPr>
          <w:rFonts w:hint="eastAsia"/>
          <w:b/>
          <w:bCs/>
          <w:color w:val="auto"/>
          <w:u w:val="single"/>
          <w:lang w:val="en-US" w:eastAsia="zh-CN"/>
        </w:rPr>
        <w:t>（1）本项目依托生产设施（精馏塔装置）现有生产情况</w:t>
      </w:r>
    </w:p>
    <w:p>
      <w:pPr>
        <w:pStyle w:val="33"/>
        <w:bidi w:val="0"/>
        <w:rPr>
          <w:rFonts w:hint="eastAsia"/>
          <w:color w:val="auto"/>
          <w:u w:val="single"/>
          <w:lang w:val="en-US" w:eastAsia="zh-CN"/>
        </w:rPr>
      </w:pPr>
      <w:r>
        <w:rPr>
          <w:rFonts w:hint="eastAsia"/>
          <w:color w:val="auto"/>
          <w:u w:val="single"/>
          <w:lang w:val="en-US" w:eastAsia="zh-CN"/>
        </w:rPr>
        <w:t>本项目碳酸二甲酯精馏利用现有现有原料油蒸馏环己烷、环己酮、苯乙烯精馏塔设施，拟根据市场行情交替生产。</w:t>
      </w:r>
    </w:p>
    <w:p>
      <w:pPr>
        <w:pStyle w:val="33"/>
        <w:bidi w:val="0"/>
        <w:rPr>
          <w:rFonts w:hint="default" w:eastAsia="宋体"/>
          <w:color w:val="auto"/>
          <w:u w:val="single"/>
          <w:lang w:val="en-US" w:eastAsia="zh-CN"/>
        </w:rPr>
      </w:pPr>
      <w:r>
        <w:rPr>
          <w:rFonts w:hint="eastAsia"/>
          <w:color w:val="auto"/>
          <w:u w:val="single"/>
          <w:lang w:val="en-US" w:eastAsia="zh-CN"/>
        </w:rPr>
        <w:t>现有一期精馏塔位于一期生产车间内，现有生产方案为原料油精馏生产环己烷（1000t/a）、环己酮（2000t/a）、苯乙烯（1000t/a）</w:t>
      </w:r>
      <w:r>
        <w:rPr>
          <w:rFonts w:hint="eastAsia"/>
          <w:color w:val="auto"/>
          <w:u w:val="single"/>
          <w:lang w:eastAsia="zh-CN"/>
        </w:rPr>
        <w:t>。</w:t>
      </w:r>
      <w:r>
        <w:rPr>
          <w:rFonts w:hint="eastAsia"/>
          <w:color w:val="auto"/>
          <w:u w:val="single"/>
          <w:lang w:val="en-US" w:eastAsia="zh-CN"/>
        </w:rPr>
        <w:t>现有项目生产流程及产污节点见本报告第3.3-1小节。</w:t>
      </w:r>
    </w:p>
    <w:p>
      <w:pPr>
        <w:pStyle w:val="33"/>
        <w:bidi w:val="0"/>
        <w:rPr>
          <w:rFonts w:hint="default"/>
          <w:b/>
          <w:bCs/>
          <w:color w:val="auto"/>
          <w:u w:val="single"/>
          <w:lang w:val="en-US" w:eastAsia="zh-CN"/>
        </w:rPr>
      </w:pPr>
      <w:r>
        <w:rPr>
          <w:rFonts w:hint="eastAsia"/>
          <w:b/>
          <w:bCs/>
          <w:color w:val="auto"/>
          <w:u w:val="single"/>
          <w:lang w:val="en-US" w:eastAsia="zh-CN"/>
        </w:rPr>
        <w:t>（2）本项目依托生产设施（精馏塔装置）生产不同产品时候的三本账分析</w:t>
      </w:r>
    </w:p>
    <w:p>
      <w:pPr>
        <w:pStyle w:val="33"/>
        <w:bidi w:val="0"/>
        <w:rPr>
          <w:rFonts w:hint="eastAsia"/>
          <w:color w:val="auto"/>
          <w:u w:val="single"/>
          <w:lang w:val="en-US" w:eastAsia="zh-CN"/>
        </w:rPr>
      </w:pPr>
      <w:r>
        <w:rPr>
          <w:rFonts w:hint="eastAsia"/>
          <w:color w:val="auto"/>
          <w:u w:val="single"/>
          <w:lang w:val="en-US" w:eastAsia="zh-CN"/>
        </w:rPr>
        <w:t>本项目碳酸二甲酯精馏利用现有现有原料油精馏环己烷、环己酮、苯乙烯生产设施，根据市场行情交替生产，本次评价分析该装置分别生产两套产品时产排污及全厂三本账核算。</w:t>
      </w:r>
    </w:p>
    <w:p>
      <w:pPr>
        <w:pStyle w:val="33"/>
        <w:bidi w:val="0"/>
        <w:rPr>
          <w:rFonts w:hint="default"/>
          <w:color w:val="auto"/>
          <w:u w:val="single"/>
          <w:lang w:val="en-US" w:eastAsia="zh-CN"/>
        </w:rPr>
      </w:pPr>
      <w:r>
        <w:rPr>
          <w:rFonts w:hint="eastAsia"/>
          <w:color w:val="auto"/>
          <w:u w:val="single"/>
          <w:lang w:val="en-US" w:eastAsia="zh-CN"/>
        </w:rPr>
        <w:t>（1）生产环己烷、环己酮、苯乙烯</w:t>
      </w:r>
    </w:p>
    <w:p>
      <w:pPr>
        <w:pStyle w:val="33"/>
        <w:bidi w:val="0"/>
        <w:rPr>
          <w:rFonts w:hint="eastAsia"/>
          <w:color w:val="auto"/>
          <w:u w:val="single"/>
          <w:lang w:val="en-US" w:eastAsia="zh-CN"/>
        </w:rPr>
      </w:pPr>
      <w:r>
        <w:rPr>
          <w:rFonts w:hint="eastAsia"/>
          <w:color w:val="auto"/>
          <w:u w:val="single"/>
          <w:lang w:val="en-US" w:eastAsia="zh-CN"/>
        </w:rPr>
        <w:t>当该装置继续生产环己烷（1000t/a）、环己酮（2000t/a）、苯乙烯（1000t/a）时，本项目产排污情况没有变化。“三本账”分析情况见下表。</w:t>
      </w:r>
    </w:p>
    <w:p>
      <w:pPr>
        <w:pStyle w:val="36"/>
        <w:bidi w:val="0"/>
        <w:rPr>
          <w:rFonts w:hint="eastAsia" w:eastAsia="宋体"/>
          <w:b/>
          <w:bCs w:val="0"/>
          <w:color w:val="auto"/>
          <w:lang w:eastAsia="zh-CN"/>
        </w:rPr>
      </w:pPr>
      <w:r>
        <w:rPr>
          <w:color w:val="auto"/>
        </w:rPr>
        <w:t>表</w:t>
      </w:r>
      <w:r>
        <w:rPr>
          <w:rFonts w:hint="eastAsia"/>
          <w:color w:val="auto"/>
          <w:lang w:val="en-US" w:eastAsia="zh-CN"/>
        </w:rPr>
        <w:t>5.5-1</w:t>
      </w:r>
      <w:r>
        <w:rPr>
          <w:color w:val="auto"/>
        </w:rPr>
        <w:t xml:space="preserve">   </w:t>
      </w:r>
      <w:r>
        <w:rPr>
          <w:rFonts w:hint="eastAsia"/>
          <w:color w:val="auto"/>
        </w:rPr>
        <w:t>扩建后</w:t>
      </w:r>
      <w:r>
        <w:rPr>
          <w:rFonts w:hint="eastAsia"/>
          <w:color w:val="auto"/>
          <w:lang w:eastAsia="zh-CN"/>
        </w:rPr>
        <w:t>“三本帐”核算</w:t>
      </w:r>
      <w:r>
        <w:rPr>
          <w:color w:val="auto"/>
        </w:rPr>
        <w:t>一览表</w:t>
      </w:r>
      <w:r>
        <w:rPr>
          <w:rFonts w:hint="eastAsia"/>
          <w:color w:val="auto"/>
          <w:lang w:eastAsia="zh-CN"/>
        </w:rPr>
        <w:t>（</w:t>
      </w:r>
      <w:r>
        <w:rPr>
          <w:rFonts w:hint="eastAsia"/>
          <w:color w:val="auto"/>
          <w:u w:val="single"/>
          <w:lang w:val="en-US" w:eastAsia="zh-CN"/>
        </w:rPr>
        <w:t>生产</w:t>
      </w:r>
      <w:r>
        <w:rPr>
          <w:rFonts w:hint="eastAsia" w:ascii="Times New Roman" w:eastAsia="宋体"/>
          <w:color w:val="auto"/>
          <w:u w:val="single"/>
          <w:lang w:val="en-US" w:eastAsia="zh-CN"/>
        </w:rPr>
        <w:t>环己烷、环己酮、苯乙烯</w:t>
      </w:r>
      <w:r>
        <w:rPr>
          <w:rFonts w:hint="eastAsia" w:ascii="Times New Roman"/>
          <w:color w:val="auto"/>
          <w:u w:val="single"/>
          <w:lang w:val="en-US" w:eastAsia="zh-CN"/>
        </w:rPr>
        <w:t>时</w:t>
      </w:r>
      <w:r>
        <w:rPr>
          <w:rFonts w:hint="eastAsia"/>
          <w:color w:val="auto"/>
          <w:lang w:eastAsia="zh-CN"/>
        </w:rPr>
        <w:t>）</w:t>
      </w:r>
    </w:p>
    <w:tbl>
      <w:tblPr>
        <w:tblStyle w:val="27"/>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257"/>
        <w:gridCol w:w="1259"/>
        <w:gridCol w:w="1259"/>
        <w:gridCol w:w="1261"/>
        <w:gridCol w:w="1259"/>
        <w:gridCol w:w="1259"/>
        <w:gridCol w:w="1259"/>
      </w:tblGrid>
      <w:tr>
        <w:trPr>
          <w:trHeight w:val="0" w:hRule="atLeast"/>
          <w:tblHeader/>
          <w:jc w:val="center"/>
        </w:trPr>
        <w:tc>
          <w:tcPr>
            <w:tcW w:w="713" w:type="pct"/>
            <w:tcBorders>
              <w:tl2br w:val="nil"/>
              <w:tr2bl w:val="nil"/>
            </w:tcBorders>
            <w:noWrap w:val="0"/>
            <w:vAlign w:val="center"/>
          </w:tcPr>
          <w:p>
            <w:pPr>
              <w:pStyle w:val="35"/>
              <w:bidi w:val="0"/>
              <w:rPr>
                <w:rFonts w:hint="default"/>
                <w:b/>
                <w:bCs w:val="0"/>
                <w:color w:val="auto"/>
              </w:rPr>
            </w:pPr>
            <w:r>
              <w:rPr>
                <w:rFonts w:hint="default"/>
                <w:b/>
                <w:bCs w:val="0"/>
                <w:color w:val="auto"/>
                <w:lang w:val="en-US" w:eastAsia="zh-CN"/>
              </w:rPr>
              <w:t>类型</w:t>
            </w:r>
          </w:p>
        </w:tc>
        <w:tc>
          <w:tcPr>
            <w:tcW w:w="714" w:type="pct"/>
            <w:tcBorders>
              <w:tl2br w:val="nil"/>
              <w:tr2bl w:val="nil"/>
            </w:tcBorders>
            <w:noWrap w:val="0"/>
            <w:vAlign w:val="center"/>
          </w:tcPr>
          <w:p>
            <w:pPr>
              <w:pStyle w:val="35"/>
              <w:bidi w:val="0"/>
              <w:rPr>
                <w:rFonts w:hint="default"/>
                <w:b/>
                <w:bCs w:val="0"/>
                <w:color w:val="auto"/>
              </w:rPr>
            </w:pPr>
            <w:r>
              <w:rPr>
                <w:rFonts w:hint="default"/>
                <w:b/>
                <w:bCs w:val="0"/>
                <w:color w:val="auto"/>
                <w:lang w:val="en-US" w:eastAsia="zh-CN"/>
              </w:rPr>
              <w:t>污染物名称</w:t>
            </w:r>
          </w:p>
        </w:tc>
        <w:tc>
          <w:tcPr>
            <w:tcW w:w="714" w:type="pct"/>
            <w:tcBorders>
              <w:tl2br w:val="nil"/>
              <w:tr2bl w:val="nil"/>
            </w:tcBorders>
            <w:noWrap w:val="0"/>
            <w:vAlign w:val="center"/>
          </w:tcPr>
          <w:p>
            <w:pPr>
              <w:pStyle w:val="35"/>
              <w:bidi w:val="0"/>
              <w:rPr>
                <w:rFonts w:hint="default"/>
                <w:b/>
                <w:bCs w:val="0"/>
                <w:color w:val="auto"/>
              </w:rPr>
            </w:pPr>
            <w:r>
              <w:rPr>
                <w:rFonts w:hint="default"/>
                <w:b/>
                <w:bCs w:val="0"/>
                <w:color w:val="auto"/>
                <w:lang w:val="en-US" w:eastAsia="zh-CN"/>
              </w:rPr>
              <w:t>现有工程排放量（t/a</w:t>
            </w:r>
            <w:r>
              <w:rPr>
                <w:rFonts w:hint="eastAsia"/>
                <w:b/>
                <w:bCs w:val="0"/>
                <w:color w:val="auto"/>
                <w:lang w:val="en-US" w:eastAsia="zh-CN"/>
              </w:rPr>
              <w:t>）</w:t>
            </w:r>
          </w:p>
        </w:tc>
        <w:tc>
          <w:tcPr>
            <w:tcW w:w="715" w:type="pct"/>
            <w:tcBorders>
              <w:tl2br w:val="nil"/>
              <w:tr2bl w:val="nil"/>
            </w:tcBorders>
            <w:noWrap w:val="0"/>
            <w:vAlign w:val="center"/>
          </w:tcPr>
          <w:p>
            <w:pPr>
              <w:pStyle w:val="35"/>
              <w:bidi w:val="0"/>
              <w:rPr>
                <w:rFonts w:hint="default"/>
                <w:b/>
                <w:bCs w:val="0"/>
                <w:color w:val="auto"/>
              </w:rPr>
            </w:pPr>
            <w:r>
              <w:rPr>
                <w:rFonts w:hint="default"/>
                <w:b/>
                <w:bCs w:val="0"/>
                <w:color w:val="auto"/>
                <w:lang w:val="en-US" w:eastAsia="zh-CN"/>
              </w:rPr>
              <w:t>技改项目排放量（t/a</w:t>
            </w:r>
            <w:r>
              <w:rPr>
                <w:rFonts w:hint="eastAsia"/>
                <w:b/>
                <w:bCs w:val="0"/>
                <w:color w:val="auto"/>
                <w:lang w:val="en-US" w:eastAsia="zh-CN"/>
              </w:rPr>
              <w:t>）</w:t>
            </w:r>
          </w:p>
        </w:tc>
        <w:tc>
          <w:tcPr>
            <w:tcW w:w="714" w:type="pct"/>
            <w:tcBorders>
              <w:tl2br w:val="nil"/>
              <w:tr2bl w:val="nil"/>
            </w:tcBorders>
            <w:noWrap w:val="0"/>
            <w:vAlign w:val="center"/>
          </w:tcPr>
          <w:p>
            <w:pPr>
              <w:pStyle w:val="35"/>
              <w:bidi w:val="0"/>
              <w:rPr>
                <w:rFonts w:hint="eastAsia"/>
                <w:b/>
                <w:bCs w:val="0"/>
                <w:color w:val="auto"/>
              </w:rPr>
            </w:pPr>
            <w:r>
              <w:rPr>
                <w:rFonts w:hint="eastAsia"/>
                <w:b/>
                <w:bCs w:val="0"/>
                <w:color w:val="auto"/>
                <w:lang w:val="en-US" w:eastAsia="zh-CN"/>
              </w:rPr>
              <w:t>以新带老</w:t>
            </w:r>
            <w:r>
              <w:rPr>
                <w:rFonts w:hint="default"/>
                <w:b/>
                <w:bCs w:val="0"/>
                <w:color w:val="auto"/>
                <w:lang w:val="en-US" w:eastAsia="zh-CN"/>
              </w:rPr>
              <w:t>消减量（t/a</w:t>
            </w:r>
            <w:r>
              <w:rPr>
                <w:rFonts w:hint="eastAsia"/>
                <w:b/>
                <w:bCs w:val="0"/>
                <w:color w:val="auto"/>
                <w:lang w:val="en-US" w:eastAsia="zh-CN"/>
              </w:rPr>
              <w:t>）</w:t>
            </w:r>
          </w:p>
        </w:tc>
        <w:tc>
          <w:tcPr>
            <w:tcW w:w="714" w:type="pct"/>
            <w:tcBorders>
              <w:tl2br w:val="nil"/>
              <w:tr2bl w:val="nil"/>
            </w:tcBorders>
            <w:noWrap w:val="0"/>
            <w:vAlign w:val="center"/>
          </w:tcPr>
          <w:p>
            <w:pPr>
              <w:pStyle w:val="35"/>
              <w:bidi w:val="0"/>
              <w:rPr>
                <w:rFonts w:hint="default"/>
                <w:b/>
                <w:bCs w:val="0"/>
                <w:color w:val="auto"/>
              </w:rPr>
            </w:pPr>
            <w:r>
              <w:rPr>
                <w:rFonts w:hint="default"/>
                <w:b/>
                <w:bCs w:val="0"/>
                <w:color w:val="auto"/>
                <w:lang w:val="en-US" w:eastAsia="zh-CN"/>
              </w:rPr>
              <w:t>技改后</w:t>
            </w:r>
            <w:r>
              <w:rPr>
                <w:rFonts w:hint="eastAsia"/>
                <w:b/>
                <w:bCs w:val="0"/>
                <w:color w:val="auto"/>
                <w:lang w:val="en-US" w:eastAsia="zh-CN"/>
              </w:rPr>
              <w:t>总体</w:t>
            </w:r>
            <w:r>
              <w:rPr>
                <w:rFonts w:hint="default"/>
                <w:b/>
                <w:bCs w:val="0"/>
                <w:color w:val="auto"/>
                <w:lang w:val="en-US" w:eastAsia="zh-CN"/>
              </w:rPr>
              <w:t>排放量（t/a</w:t>
            </w:r>
            <w:r>
              <w:rPr>
                <w:rFonts w:hint="eastAsia"/>
                <w:b/>
                <w:bCs w:val="0"/>
                <w:color w:val="auto"/>
                <w:lang w:val="en-US" w:eastAsia="zh-CN"/>
              </w:rPr>
              <w:t>）</w:t>
            </w:r>
          </w:p>
        </w:tc>
        <w:tc>
          <w:tcPr>
            <w:tcW w:w="714" w:type="pct"/>
            <w:tcBorders>
              <w:tl2br w:val="nil"/>
              <w:tr2bl w:val="nil"/>
            </w:tcBorders>
            <w:noWrap w:val="0"/>
            <w:vAlign w:val="center"/>
          </w:tcPr>
          <w:p>
            <w:pPr>
              <w:pStyle w:val="35"/>
              <w:bidi w:val="0"/>
              <w:rPr>
                <w:rFonts w:hint="default"/>
                <w:b/>
                <w:bCs w:val="0"/>
                <w:color w:val="auto"/>
              </w:rPr>
            </w:pPr>
            <w:r>
              <w:rPr>
                <w:rFonts w:hint="default"/>
                <w:b/>
                <w:bCs w:val="0"/>
                <w:color w:val="auto"/>
                <w:lang w:val="en-US" w:eastAsia="zh-CN"/>
              </w:rPr>
              <w:t>排放增减量（t/a</w:t>
            </w:r>
            <w:r>
              <w:rPr>
                <w:rFonts w:hint="eastAsia"/>
                <w:b/>
                <w:bCs w:val="0"/>
                <w:color w:val="auto"/>
                <w:lang w:val="en-US" w:eastAsia="zh-CN"/>
              </w:rPr>
              <w:t>）</w:t>
            </w:r>
          </w:p>
        </w:tc>
      </w:tr>
      <w:tr>
        <w:trPr>
          <w:trHeight w:val="0" w:hRule="atLeast"/>
          <w:jc w:val="center"/>
        </w:trPr>
        <w:tc>
          <w:tcPr>
            <w:tcW w:w="713" w:type="pct"/>
            <w:vMerge w:val="restart"/>
            <w:tcBorders>
              <w:tl2br w:val="nil"/>
              <w:tr2bl w:val="nil"/>
            </w:tcBorders>
            <w:noWrap w:val="0"/>
            <w:vAlign w:val="center"/>
          </w:tcPr>
          <w:p>
            <w:pPr>
              <w:pStyle w:val="35"/>
              <w:bidi w:val="0"/>
              <w:rPr>
                <w:rFonts w:hint="default"/>
                <w:color w:val="auto"/>
              </w:rPr>
            </w:pPr>
            <w:r>
              <w:rPr>
                <w:rFonts w:hint="default"/>
                <w:color w:val="auto"/>
                <w:lang w:val="en-US" w:eastAsia="zh-CN"/>
              </w:rPr>
              <w:t>废气</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氯化氢</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0.315</w:t>
            </w:r>
          </w:p>
        </w:tc>
        <w:tc>
          <w:tcPr>
            <w:tcW w:w="1261"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0.315</w:t>
            </w:r>
          </w:p>
        </w:tc>
        <w:tc>
          <w:tcPr>
            <w:tcW w:w="1259"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w:t>
            </w:r>
          </w:p>
        </w:tc>
      </w:tr>
      <w:tr>
        <w:trPr>
          <w:trHeight w:val="0"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非甲烷总烃</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1.047</w:t>
            </w:r>
          </w:p>
        </w:tc>
        <w:tc>
          <w:tcPr>
            <w:tcW w:w="1261"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1.047</w:t>
            </w:r>
          </w:p>
        </w:tc>
        <w:tc>
          <w:tcPr>
            <w:tcW w:w="1259"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w:t>
            </w:r>
          </w:p>
        </w:tc>
      </w:tr>
      <w:tr>
        <w:trPr>
          <w:trHeight w:val="0"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环己烷</w:t>
            </w:r>
          </w:p>
        </w:tc>
        <w:tc>
          <w:tcPr>
            <w:tcW w:w="7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0.059</w:t>
            </w:r>
          </w:p>
        </w:tc>
        <w:tc>
          <w:tcPr>
            <w:tcW w:w="1261"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0.059</w:t>
            </w:r>
          </w:p>
        </w:tc>
        <w:tc>
          <w:tcPr>
            <w:tcW w:w="1259"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苯乙烯</w:t>
            </w:r>
          </w:p>
        </w:tc>
        <w:tc>
          <w:tcPr>
            <w:tcW w:w="7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0.068</w:t>
            </w:r>
          </w:p>
        </w:tc>
        <w:tc>
          <w:tcPr>
            <w:tcW w:w="1261"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0.068</w:t>
            </w:r>
          </w:p>
        </w:tc>
        <w:tc>
          <w:tcPr>
            <w:tcW w:w="1259"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w:t>
            </w:r>
          </w:p>
        </w:tc>
      </w:tr>
      <w:tr>
        <w:trPr>
          <w:trHeight w:val="0"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环己酮</w:t>
            </w:r>
          </w:p>
        </w:tc>
        <w:tc>
          <w:tcPr>
            <w:tcW w:w="7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0.059</w:t>
            </w:r>
          </w:p>
        </w:tc>
        <w:tc>
          <w:tcPr>
            <w:tcW w:w="1261"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0.059</w:t>
            </w:r>
          </w:p>
        </w:tc>
        <w:tc>
          <w:tcPr>
            <w:tcW w:w="1259"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w:t>
            </w:r>
          </w:p>
        </w:tc>
      </w:tr>
      <w:tr>
        <w:trPr>
          <w:trHeight w:val="0"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酚类</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0.068</w:t>
            </w:r>
          </w:p>
        </w:tc>
        <w:tc>
          <w:tcPr>
            <w:tcW w:w="1261" w:type="dxa"/>
            <w:tcBorders>
              <w:tl2br w:val="nil"/>
              <w:tr2bl w:val="nil"/>
            </w:tcBorders>
            <w:noWrap w:val="0"/>
            <w:vAlign w:val="center"/>
          </w:tcPr>
          <w:p>
            <w:pPr>
              <w:pStyle w:val="35"/>
              <w:bidi w:val="0"/>
              <w:ind w:firstLine="0" w:firstLineChars="0"/>
              <w:rPr>
                <w:rFonts w:hint="default"/>
                <w:color w:val="auto"/>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0.068</w:t>
            </w:r>
          </w:p>
        </w:tc>
        <w:tc>
          <w:tcPr>
            <w:tcW w:w="1259" w:type="dxa"/>
            <w:tcBorders>
              <w:tl2br w:val="nil"/>
              <w:tr2bl w:val="nil"/>
            </w:tcBorders>
            <w:noWrap w:val="0"/>
            <w:vAlign w:val="center"/>
          </w:tcPr>
          <w:p>
            <w:pPr>
              <w:pStyle w:val="35"/>
              <w:bidi w:val="0"/>
              <w:ind w:firstLine="0" w:firstLineChars="0"/>
              <w:rPr>
                <w:rFonts w:hint="default"/>
                <w:color w:val="auto"/>
                <w:lang w:val="en-US"/>
              </w:rPr>
            </w:pPr>
            <w:r>
              <w:rPr>
                <w:rFonts w:hint="eastAsia"/>
                <w:color w:val="auto"/>
                <w:lang w:val="en-US" w:eastAsia="zh-CN"/>
              </w:rPr>
              <w:t>0</w:t>
            </w:r>
          </w:p>
        </w:tc>
      </w:tr>
      <w:tr>
        <w:trPr>
          <w:trHeight w:val="0"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甲醇</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0.059</w:t>
            </w:r>
          </w:p>
        </w:tc>
        <w:tc>
          <w:tcPr>
            <w:tcW w:w="1261" w:type="dxa"/>
            <w:tcBorders>
              <w:tl2br w:val="nil"/>
              <w:tr2bl w:val="nil"/>
            </w:tcBorders>
            <w:noWrap w:val="0"/>
            <w:vAlign w:val="center"/>
          </w:tcPr>
          <w:p>
            <w:pPr>
              <w:pStyle w:val="35"/>
              <w:bidi w:val="0"/>
              <w:ind w:firstLine="0" w:firstLineChars="0"/>
              <w:rPr>
                <w:rFonts w:hint="default"/>
                <w:color w:val="auto"/>
                <w:lang w:val="en-US" w:eastAsia="zh-CN"/>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eastAsia="宋体"/>
                <w:color w:val="auto"/>
                <w:highlight w:val="none"/>
                <w:lang w:val="en-US" w:eastAsia="zh-CN"/>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default"/>
                <w:color w:val="auto"/>
                <w:highlight w:val="none"/>
                <w:lang w:val="en-US"/>
              </w:rPr>
            </w:pPr>
            <w:r>
              <w:rPr>
                <w:rFonts w:hint="eastAsia"/>
                <w:color w:val="auto"/>
                <w:lang w:val="en-US" w:eastAsia="zh-CN"/>
              </w:rPr>
              <w:t>0.059</w:t>
            </w:r>
          </w:p>
        </w:tc>
        <w:tc>
          <w:tcPr>
            <w:tcW w:w="1259" w:type="dxa"/>
            <w:tcBorders>
              <w:tl2br w:val="nil"/>
              <w:tr2bl w:val="nil"/>
            </w:tcBorders>
            <w:noWrap w:val="0"/>
            <w:vAlign w:val="center"/>
          </w:tcPr>
          <w:p>
            <w:pPr>
              <w:pStyle w:val="35"/>
              <w:bidi w:val="0"/>
              <w:ind w:firstLine="0" w:firstLineChars="0"/>
              <w:rPr>
                <w:rFonts w:hint="default"/>
                <w:color w:val="auto"/>
                <w:highlight w:val="none"/>
                <w:lang w:val="en-US"/>
              </w:rPr>
            </w:pPr>
            <w:r>
              <w:rPr>
                <w:rFonts w:hint="eastAsia"/>
                <w:color w:val="auto"/>
                <w:lang w:val="en-US" w:eastAsia="zh-CN"/>
              </w:rPr>
              <w:t>0</w:t>
            </w:r>
          </w:p>
        </w:tc>
      </w:tr>
      <w:tr>
        <w:trPr>
          <w:trHeight w:val="90"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二甲苯</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0.019</w:t>
            </w:r>
          </w:p>
        </w:tc>
        <w:tc>
          <w:tcPr>
            <w:tcW w:w="1261" w:type="dxa"/>
            <w:tcBorders>
              <w:tl2br w:val="nil"/>
              <w:tr2bl w:val="nil"/>
            </w:tcBorders>
            <w:noWrap w:val="0"/>
            <w:vAlign w:val="center"/>
          </w:tcPr>
          <w:p>
            <w:pPr>
              <w:pStyle w:val="35"/>
              <w:bidi w:val="0"/>
              <w:ind w:firstLine="0" w:firstLineChars="0"/>
              <w:rPr>
                <w:rFonts w:hint="default"/>
                <w:color w:val="auto"/>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0.019</w:t>
            </w:r>
          </w:p>
        </w:tc>
        <w:tc>
          <w:tcPr>
            <w:tcW w:w="1259"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w:t>
            </w:r>
          </w:p>
        </w:tc>
      </w:tr>
      <w:tr>
        <w:trPr>
          <w:trHeight w:val="514"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甲醛</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0.062</w:t>
            </w:r>
          </w:p>
        </w:tc>
        <w:tc>
          <w:tcPr>
            <w:tcW w:w="1261" w:type="dxa"/>
            <w:tcBorders>
              <w:tl2br w:val="nil"/>
              <w:tr2bl w:val="nil"/>
            </w:tcBorders>
            <w:noWrap w:val="0"/>
            <w:vAlign w:val="center"/>
          </w:tcPr>
          <w:p>
            <w:pPr>
              <w:pStyle w:val="35"/>
              <w:bidi w:val="0"/>
              <w:ind w:firstLine="0" w:firstLineChars="0"/>
              <w:rPr>
                <w:rFonts w:hint="default"/>
                <w:color w:val="auto"/>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0.062</w:t>
            </w:r>
          </w:p>
        </w:tc>
        <w:tc>
          <w:tcPr>
            <w:tcW w:w="1259"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w:t>
            </w:r>
          </w:p>
        </w:tc>
      </w:tr>
      <w:tr>
        <w:trPr>
          <w:trHeight w:val="0"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颗粒物</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0.03</w:t>
            </w:r>
          </w:p>
        </w:tc>
        <w:tc>
          <w:tcPr>
            <w:tcW w:w="1261"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rPr>
            </w:pPr>
            <w:r>
              <w:rPr>
                <w:rFonts w:hint="eastAsia"/>
                <w:color w:val="auto"/>
                <w:lang w:val="en-US" w:eastAsia="zh-CN"/>
              </w:rPr>
              <w:t>0.03</w:t>
            </w:r>
          </w:p>
        </w:tc>
        <w:tc>
          <w:tcPr>
            <w:tcW w:w="1259" w:type="dxa"/>
            <w:tcBorders>
              <w:tl2br w:val="nil"/>
              <w:tr2bl w:val="nil"/>
            </w:tcBorders>
            <w:noWrap w:val="0"/>
            <w:vAlign w:val="center"/>
          </w:tcPr>
          <w:p>
            <w:pPr>
              <w:pStyle w:val="35"/>
              <w:bidi w:val="0"/>
              <w:ind w:firstLine="0" w:firstLineChars="0"/>
              <w:rPr>
                <w:rFonts w:hint="default"/>
                <w:color w:val="auto"/>
                <w:lang w:val="en-US"/>
              </w:rPr>
            </w:pPr>
            <w:r>
              <w:rPr>
                <w:rFonts w:hint="eastAsia"/>
                <w:color w:val="auto"/>
                <w:lang w:val="en-US" w:eastAsia="zh-CN"/>
              </w:rPr>
              <w:t>0</w:t>
            </w:r>
          </w:p>
        </w:tc>
      </w:tr>
      <w:tr>
        <w:trPr>
          <w:trHeight w:val="90"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VOCs</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1.236</w:t>
            </w:r>
          </w:p>
        </w:tc>
        <w:tc>
          <w:tcPr>
            <w:tcW w:w="1261" w:type="dxa"/>
            <w:tcBorders>
              <w:tl2br w:val="nil"/>
              <w:tr2bl w:val="nil"/>
            </w:tcBorders>
            <w:noWrap w:val="0"/>
            <w:vAlign w:val="center"/>
          </w:tcPr>
          <w:p>
            <w:pPr>
              <w:pStyle w:val="35"/>
              <w:bidi w:val="0"/>
              <w:ind w:firstLine="0" w:firstLineChars="0"/>
              <w:rPr>
                <w:rFonts w:hint="default"/>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default"/>
                <w:color w:val="auto"/>
                <w:lang w:val="en-US" w:eastAsia="zh-CN"/>
              </w:rPr>
            </w:pPr>
          </w:p>
        </w:tc>
        <w:tc>
          <w:tcPr>
            <w:tcW w:w="1259" w:type="dxa"/>
            <w:tcBorders>
              <w:tl2br w:val="nil"/>
              <w:tr2bl w:val="nil"/>
            </w:tcBorders>
            <w:noWrap w:val="0"/>
            <w:vAlign w:val="center"/>
          </w:tcPr>
          <w:p>
            <w:pPr>
              <w:pStyle w:val="35"/>
              <w:bidi w:val="0"/>
              <w:ind w:firstLine="0" w:firstLineChars="0"/>
              <w:rPr>
                <w:rFonts w:hint="default"/>
                <w:color w:val="auto"/>
                <w:lang w:val="en-US" w:eastAsia="zh-CN"/>
              </w:rPr>
            </w:pPr>
            <w:r>
              <w:rPr>
                <w:rFonts w:hint="eastAsia"/>
                <w:color w:val="auto"/>
                <w:lang w:val="en-US" w:eastAsia="zh-CN"/>
              </w:rPr>
              <w:t>1.236</w:t>
            </w:r>
          </w:p>
        </w:tc>
        <w:tc>
          <w:tcPr>
            <w:tcW w:w="1259" w:type="dxa"/>
            <w:tcBorders>
              <w:tl2br w:val="nil"/>
              <w:tr2bl w:val="nil"/>
            </w:tcBorders>
            <w:noWrap w:val="0"/>
            <w:vAlign w:val="center"/>
          </w:tcPr>
          <w:p>
            <w:pPr>
              <w:pStyle w:val="35"/>
              <w:bidi w:val="0"/>
              <w:ind w:firstLine="0" w:firstLineChars="0"/>
              <w:rPr>
                <w:rFonts w:hint="default"/>
                <w:color w:val="auto"/>
                <w:lang w:val="en-US" w:eastAsia="zh-CN"/>
              </w:rPr>
            </w:pPr>
          </w:p>
        </w:tc>
      </w:tr>
      <w:tr>
        <w:trPr>
          <w:trHeight w:val="0" w:hRule="atLeast"/>
          <w:jc w:val="center"/>
        </w:trPr>
        <w:tc>
          <w:tcPr>
            <w:tcW w:w="713" w:type="pct"/>
            <w:vMerge w:val="restart"/>
            <w:tcBorders>
              <w:tl2br w:val="nil"/>
              <w:tr2bl w:val="nil"/>
            </w:tcBorders>
            <w:noWrap w:val="0"/>
            <w:vAlign w:val="center"/>
          </w:tcPr>
          <w:p>
            <w:pPr>
              <w:pStyle w:val="35"/>
              <w:bidi w:val="0"/>
              <w:rPr>
                <w:rFonts w:hint="default"/>
                <w:color w:val="auto"/>
              </w:rPr>
            </w:pPr>
            <w:r>
              <w:rPr>
                <w:rFonts w:hint="default"/>
                <w:color w:val="auto"/>
                <w:lang w:val="en-US" w:eastAsia="zh-CN"/>
              </w:rPr>
              <w:t>废水</w:t>
            </w:r>
          </w:p>
        </w:tc>
        <w:tc>
          <w:tcPr>
            <w:tcW w:w="714" w:type="pct"/>
            <w:tcBorders>
              <w:tl2br w:val="nil"/>
              <w:tr2bl w:val="nil"/>
            </w:tcBorders>
            <w:noWrap w:val="0"/>
            <w:vAlign w:val="center"/>
          </w:tcPr>
          <w:p>
            <w:pPr>
              <w:pStyle w:val="35"/>
              <w:bidi w:val="0"/>
              <w:rPr>
                <w:rFonts w:hint="default"/>
                <w:color w:val="auto"/>
              </w:rPr>
            </w:pPr>
            <w:r>
              <w:rPr>
                <w:rFonts w:hint="default"/>
                <w:color w:val="auto"/>
                <w:lang w:val="en-US" w:eastAsia="zh-CN"/>
              </w:rPr>
              <w:t>废水量（m</w:t>
            </w:r>
            <w:r>
              <w:rPr>
                <w:rFonts w:hint="default"/>
                <w:color w:val="auto"/>
                <w:vertAlign w:val="superscript"/>
                <w:lang w:val="en-US" w:eastAsia="zh-CN"/>
              </w:rPr>
              <w:t>3</w:t>
            </w:r>
            <w:r>
              <w:rPr>
                <w:rFonts w:hint="default"/>
                <w:color w:val="auto"/>
                <w:lang w:val="en-US" w:eastAsia="zh-CN"/>
              </w:rPr>
              <w:t>/</w:t>
            </w:r>
            <w:r>
              <w:rPr>
                <w:rFonts w:hint="eastAsia"/>
                <w:color w:val="auto"/>
                <w:lang w:val="en-US" w:eastAsia="zh-CN"/>
              </w:rPr>
              <w:t>a</w:t>
            </w:r>
            <w:r>
              <w:rPr>
                <w:rFonts w:hint="default"/>
                <w:color w:val="auto"/>
                <w:lang w:val="en-US" w:eastAsia="zh-CN"/>
              </w:rPr>
              <w:t>）</w:t>
            </w:r>
          </w:p>
        </w:tc>
        <w:tc>
          <w:tcPr>
            <w:tcW w:w="1259" w:type="dxa"/>
            <w:tcBorders>
              <w:tl2br w:val="nil"/>
              <w:tr2bl w:val="nil"/>
            </w:tcBorders>
            <w:noWrap w:val="0"/>
            <w:vAlign w:val="center"/>
          </w:tcPr>
          <w:p>
            <w:pPr>
              <w:pStyle w:val="35"/>
              <w:bidi w:val="0"/>
              <w:ind w:firstLine="0" w:firstLineChars="0"/>
              <w:rPr>
                <w:rFonts w:hint="default"/>
                <w:color w:val="auto"/>
                <w:u w:val="none"/>
                <w:lang w:val="en-US" w:eastAsia="zh-CN"/>
              </w:rPr>
            </w:pPr>
            <w:r>
              <w:rPr>
                <w:rFonts w:hint="eastAsia"/>
                <w:color w:val="auto"/>
                <w:u w:val="none"/>
                <w:lang w:val="en-US" w:eastAsia="zh-CN"/>
              </w:rPr>
              <w:t>4875</w:t>
            </w:r>
          </w:p>
        </w:tc>
        <w:tc>
          <w:tcPr>
            <w:tcW w:w="1261" w:type="dxa"/>
            <w:tcBorders>
              <w:tl2br w:val="nil"/>
              <w:tr2bl w:val="nil"/>
            </w:tcBorders>
            <w:noWrap w:val="0"/>
            <w:vAlign w:val="center"/>
          </w:tcPr>
          <w:p>
            <w:pPr>
              <w:pStyle w:val="35"/>
              <w:bidi w:val="0"/>
              <w:ind w:firstLine="0" w:firstLineChars="0"/>
              <w:rPr>
                <w:rFonts w:hint="default"/>
                <w:color w:val="auto"/>
                <w:u w:val="none"/>
                <w:lang w:val="en-US" w:eastAsia="zh-CN"/>
              </w:rPr>
            </w:pPr>
            <w:r>
              <w:rPr>
                <w:rFonts w:hint="eastAsia"/>
                <w:color w:val="auto"/>
                <w:u w:val="none"/>
                <w:lang w:val="en-US" w:eastAsia="zh-CN"/>
              </w:rPr>
              <w:t>0</w:t>
            </w:r>
          </w:p>
        </w:tc>
        <w:tc>
          <w:tcPr>
            <w:tcW w:w="714" w:type="pct"/>
            <w:tcBorders>
              <w:tl2br w:val="nil"/>
              <w:tr2bl w:val="nil"/>
            </w:tcBorders>
            <w:noWrap w:val="0"/>
            <w:vAlign w:val="center"/>
          </w:tcPr>
          <w:p>
            <w:pPr>
              <w:pStyle w:val="35"/>
              <w:bidi w:val="0"/>
              <w:rPr>
                <w:rFonts w:hint="eastAsia" w:eastAsia="宋体"/>
                <w:color w:val="auto"/>
                <w:u w:val="none"/>
                <w:lang w:val="en-US" w:eastAsia="zh-CN"/>
              </w:rPr>
            </w:pPr>
            <w:r>
              <w:rPr>
                <w:rFonts w:hint="eastAsia"/>
                <w:color w:val="auto"/>
                <w:u w:val="none"/>
                <w:lang w:val="en-US" w:eastAsia="zh-CN"/>
              </w:rPr>
              <w:t>0</w:t>
            </w:r>
          </w:p>
        </w:tc>
        <w:tc>
          <w:tcPr>
            <w:tcW w:w="1259" w:type="dxa"/>
            <w:tcBorders>
              <w:tl2br w:val="nil"/>
              <w:tr2bl w:val="nil"/>
            </w:tcBorders>
            <w:noWrap w:val="0"/>
            <w:vAlign w:val="center"/>
          </w:tcPr>
          <w:p>
            <w:pPr>
              <w:pStyle w:val="35"/>
              <w:bidi w:val="0"/>
              <w:ind w:firstLine="0" w:firstLineChars="0"/>
              <w:rPr>
                <w:rFonts w:hint="default"/>
                <w:color w:val="auto"/>
                <w:u w:val="none"/>
                <w:lang w:val="en-US"/>
              </w:rPr>
            </w:pPr>
            <w:r>
              <w:rPr>
                <w:rFonts w:hint="eastAsia"/>
                <w:color w:val="auto"/>
                <w:u w:val="none"/>
                <w:lang w:val="en-US" w:eastAsia="zh-CN"/>
              </w:rPr>
              <w:t>4875</w:t>
            </w:r>
          </w:p>
        </w:tc>
        <w:tc>
          <w:tcPr>
            <w:tcW w:w="1259" w:type="dxa"/>
            <w:tcBorders>
              <w:tl2br w:val="nil"/>
              <w:tr2bl w:val="nil"/>
            </w:tcBorders>
            <w:noWrap w:val="0"/>
            <w:vAlign w:val="center"/>
          </w:tcPr>
          <w:p>
            <w:pPr>
              <w:pStyle w:val="35"/>
              <w:bidi w:val="0"/>
              <w:ind w:firstLine="0" w:firstLineChars="0"/>
              <w:rPr>
                <w:rFonts w:hint="default"/>
                <w:color w:val="auto"/>
                <w:lang w:val="en-US"/>
              </w:rPr>
            </w:pPr>
            <w:r>
              <w:rPr>
                <w:rFonts w:hint="eastAsia"/>
                <w:color w:val="auto"/>
                <w:lang w:val="en-US" w:eastAsia="zh-CN"/>
              </w:rPr>
              <w:t>0</w:t>
            </w:r>
          </w:p>
        </w:tc>
      </w:tr>
      <w:tr>
        <w:trPr>
          <w:trHeight w:val="0"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苯酚</w:t>
            </w:r>
          </w:p>
        </w:tc>
        <w:tc>
          <w:tcPr>
            <w:tcW w:w="1259" w:type="dxa"/>
            <w:tcBorders>
              <w:tl2br w:val="nil"/>
              <w:tr2bl w:val="nil"/>
            </w:tcBorders>
            <w:noWrap w:val="0"/>
            <w:vAlign w:val="center"/>
          </w:tcPr>
          <w:p>
            <w:pPr>
              <w:pStyle w:val="35"/>
              <w:bidi w:val="0"/>
              <w:ind w:firstLine="0" w:firstLineChars="0"/>
              <w:rPr>
                <w:rFonts w:hint="eastAsia"/>
                <w:color w:val="auto"/>
                <w:u w:val="none"/>
              </w:rPr>
            </w:pPr>
            <w:r>
              <w:rPr>
                <w:rFonts w:hint="eastAsia"/>
                <w:color w:val="auto"/>
                <w:u w:val="none"/>
                <w:lang w:val="en-US" w:eastAsia="zh-CN"/>
              </w:rPr>
              <w:t>0.085</w:t>
            </w:r>
          </w:p>
        </w:tc>
        <w:tc>
          <w:tcPr>
            <w:tcW w:w="1261" w:type="dxa"/>
            <w:tcBorders>
              <w:tl2br w:val="nil"/>
              <w:tr2bl w:val="nil"/>
            </w:tcBorders>
            <w:noWrap w:val="0"/>
            <w:vAlign w:val="center"/>
          </w:tcPr>
          <w:p>
            <w:pPr>
              <w:pStyle w:val="35"/>
              <w:bidi w:val="0"/>
              <w:ind w:firstLine="0" w:firstLineChars="0"/>
              <w:rPr>
                <w:rFonts w:hint="eastAsia"/>
                <w:color w:val="auto"/>
                <w:u w:val="none"/>
                <w:lang w:val="en-US" w:eastAsia="zh-CN"/>
              </w:rPr>
            </w:pPr>
            <w:r>
              <w:rPr>
                <w:rFonts w:hint="eastAsia"/>
                <w:color w:val="auto"/>
                <w:u w:val="none"/>
                <w:lang w:val="en-US" w:eastAsia="zh-CN"/>
              </w:rPr>
              <w:t>0</w:t>
            </w:r>
          </w:p>
        </w:tc>
        <w:tc>
          <w:tcPr>
            <w:tcW w:w="714" w:type="pct"/>
            <w:tcBorders>
              <w:tl2br w:val="nil"/>
              <w:tr2bl w:val="nil"/>
            </w:tcBorders>
            <w:noWrap w:val="0"/>
            <w:vAlign w:val="center"/>
          </w:tcPr>
          <w:p>
            <w:pPr>
              <w:pStyle w:val="35"/>
              <w:bidi w:val="0"/>
              <w:rPr>
                <w:rFonts w:hint="eastAsia" w:eastAsia="宋体"/>
                <w:color w:val="auto"/>
                <w:u w:val="none"/>
                <w:lang w:val="en-US" w:eastAsia="zh-CN"/>
              </w:rPr>
            </w:pPr>
            <w:r>
              <w:rPr>
                <w:rFonts w:hint="eastAsia"/>
                <w:color w:val="auto"/>
                <w:u w:val="none"/>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u w:val="none"/>
              </w:rPr>
            </w:pPr>
            <w:r>
              <w:rPr>
                <w:rFonts w:hint="eastAsia"/>
                <w:color w:val="auto"/>
                <w:u w:val="none"/>
                <w:lang w:val="en-US" w:eastAsia="zh-CN"/>
              </w:rPr>
              <w:t>0.085</w:t>
            </w:r>
          </w:p>
        </w:tc>
        <w:tc>
          <w:tcPr>
            <w:tcW w:w="1259" w:type="dxa"/>
            <w:tcBorders>
              <w:tl2br w:val="nil"/>
              <w:tr2bl w:val="nil"/>
            </w:tcBorders>
            <w:noWrap w:val="0"/>
            <w:vAlign w:val="center"/>
          </w:tcPr>
          <w:p>
            <w:pPr>
              <w:pStyle w:val="35"/>
              <w:bidi w:val="0"/>
              <w:ind w:firstLine="0" w:firstLineChars="0"/>
              <w:rPr>
                <w:rFonts w:hint="eastAsia" w:eastAsia="宋体"/>
                <w:color w:val="auto"/>
                <w:lang w:val="en-US" w:eastAsia="zh-CN"/>
              </w:rPr>
            </w:pPr>
            <w:r>
              <w:rPr>
                <w:rFonts w:hint="eastAsia"/>
                <w:color w:val="auto"/>
                <w:lang w:val="en-US" w:eastAsia="zh-CN"/>
              </w:rPr>
              <w:t>0</w:t>
            </w:r>
          </w:p>
        </w:tc>
      </w:tr>
      <w:tr>
        <w:trPr>
          <w:trHeight w:val="0"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甲醛</w:t>
            </w:r>
          </w:p>
        </w:tc>
        <w:tc>
          <w:tcPr>
            <w:tcW w:w="1259" w:type="dxa"/>
            <w:tcBorders>
              <w:tl2br w:val="nil"/>
              <w:tr2bl w:val="nil"/>
            </w:tcBorders>
            <w:noWrap w:val="0"/>
            <w:vAlign w:val="center"/>
          </w:tcPr>
          <w:p>
            <w:pPr>
              <w:pStyle w:val="35"/>
              <w:bidi w:val="0"/>
              <w:ind w:firstLine="0" w:firstLineChars="0"/>
              <w:rPr>
                <w:rFonts w:hint="eastAsia"/>
                <w:color w:val="auto"/>
                <w:u w:val="none"/>
              </w:rPr>
            </w:pPr>
            <w:r>
              <w:rPr>
                <w:rFonts w:hint="eastAsia"/>
                <w:color w:val="auto"/>
                <w:u w:val="none"/>
                <w:lang w:val="en-US" w:eastAsia="zh-CN"/>
              </w:rPr>
              <w:t>0.063</w:t>
            </w:r>
          </w:p>
        </w:tc>
        <w:tc>
          <w:tcPr>
            <w:tcW w:w="1261" w:type="dxa"/>
            <w:tcBorders>
              <w:tl2br w:val="nil"/>
              <w:tr2bl w:val="nil"/>
            </w:tcBorders>
            <w:noWrap w:val="0"/>
            <w:vAlign w:val="center"/>
          </w:tcPr>
          <w:p>
            <w:pPr>
              <w:pStyle w:val="35"/>
              <w:bidi w:val="0"/>
              <w:ind w:firstLine="0" w:firstLineChars="0"/>
              <w:rPr>
                <w:rFonts w:hint="eastAsia"/>
                <w:color w:val="auto"/>
                <w:u w:val="none"/>
                <w:lang w:val="en-US" w:eastAsia="zh-CN"/>
              </w:rPr>
            </w:pPr>
            <w:r>
              <w:rPr>
                <w:rFonts w:hint="eastAsia"/>
                <w:color w:val="auto"/>
                <w:u w:val="none"/>
                <w:lang w:val="en-US" w:eastAsia="zh-CN"/>
              </w:rPr>
              <w:t>0</w:t>
            </w:r>
          </w:p>
        </w:tc>
        <w:tc>
          <w:tcPr>
            <w:tcW w:w="714" w:type="pct"/>
            <w:tcBorders>
              <w:tl2br w:val="nil"/>
              <w:tr2bl w:val="nil"/>
            </w:tcBorders>
            <w:noWrap w:val="0"/>
            <w:vAlign w:val="center"/>
          </w:tcPr>
          <w:p>
            <w:pPr>
              <w:pStyle w:val="35"/>
              <w:bidi w:val="0"/>
              <w:rPr>
                <w:rFonts w:hint="eastAsia" w:eastAsia="宋体"/>
                <w:color w:val="auto"/>
                <w:u w:val="none"/>
                <w:lang w:val="en-US" w:eastAsia="zh-CN"/>
              </w:rPr>
            </w:pPr>
            <w:r>
              <w:rPr>
                <w:rFonts w:hint="eastAsia"/>
                <w:color w:val="auto"/>
                <w:u w:val="none"/>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u w:val="none"/>
              </w:rPr>
            </w:pPr>
            <w:r>
              <w:rPr>
                <w:rFonts w:hint="eastAsia"/>
                <w:color w:val="auto"/>
                <w:u w:val="none"/>
                <w:lang w:val="en-US" w:eastAsia="zh-CN"/>
              </w:rPr>
              <w:t>0.063</w:t>
            </w:r>
          </w:p>
        </w:tc>
        <w:tc>
          <w:tcPr>
            <w:tcW w:w="1259" w:type="dxa"/>
            <w:tcBorders>
              <w:tl2br w:val="nil"/>
              <w:tr2bl w:val="nil"/>
            </w:tcBorders>
            <w:noWrap w:val="0"/>
            <w:vAlign w:val="center"/>
          </w:tcPr>
          <w:p>
            <w:pPr>
              <w:pStyle w:val="35"/>
              <w:bidi w:val="0"/>
              <w:ind w:firstLine="0" w:firstLineChars="0"/>
              <w:rPr>
                <w:rFonts w:hint="eastAsia" w:eastAsia="宋体"/>
                <w:color w:val="auto"/>
                <w:lang w:val="en-US" w:eastAsia="zh-CN"/>
              </w:rPr>
            </w:pPr>
            <w:r>
              <w:rPr>
                <w:rFonts w:hint="eastAsia"/>
                <w:color w:val="auto"/>
                <w:lang w:val="en-US" w:eastAsia="zh-CN"/>
              </w:rPr>
              <w:t>0</w:t>
            </w:r>
          </w:p>
        </w:tc>
      </w:tr>
      <w:tr>
        <w:trPr>
          <w:trHeight w:val="0"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default"/>
                <w:color w:val="auto"/>
              </w:rPr>
            </w:pPr>
            <w:r>
              <w:rPr>
                <w:rFonts w:hint="default"/>
                <w:color w:val="auto"/>
                <w:lang w:val="en-US" w:eastAsia="zh-CN"/>
              </w:rPr>
              <w:t>COD</w:t>
            </w:r>
          </w:p>
        </w:tc>
        <w:tc>
          <w:tcPr>
            <w:tcW w:w="1259" w:type="dxa"/>
            <w:tcBorders>
              <w:tl2br w:val="nil"/>
              <w:tr2bl w:val="nil"/>
            </w:tcBorders>
            <w:noWrap w:val="0"/>
            <w:vAlign w:val="center"/>
          </w:tcPr>
          <w:p>
            <w:pPr>
              <w:pStyle w:val="35"/>
              <w:bidi w:val="0"/>
              <w:ind w:firstLine="0" w:firstLineChars="0"/>
              <w:rPr>
                <w:rFonts w:hint="default"/>
                <w:color w:val="auto"/>
                <w:u w:val="none"/>
                <w:lang w:val="en-US"/>
              </w:rPr>
            </w:pPr>
            <w:r>
              <w:rPr>
                <w:rFonts w:hint="eastAsia"/>
                <w:color w:val="auto"/>
                <w:u w:val="none"/>
                <w:lang w:val="en-US" w:eastAsia="zh-CN"/>
              </w:rPr>
              <w:t>0.244</w:t>
            </w:r>
          </w:p>
        </w:tc>
        <w:tc>
          <w:tcPr>
            <w:tcW w:w="1261" w:type="dxa"/>
            <w:tcBorders>
              <w:tl2br w:val="nil"/>
              <w:tr2bl w:val="nil"/>
            </w:tcBorders>
            <w:noWrap w:val="0"/>
            <w:vAlign w:val="center"/>
          </w:tcPr>
          <w:p>
            <w:pPr>
              <w:pStyle w:val="35"/>
              <w:bidi w:val="0"/>
              <w:ind w:firstLine="0" w:firstLineChars="0"/>
              <w:rPr>
                <w:rFonts w:hint="default"/>
                <w:color w:val="auto"/>
                <w:u w:val="none"/>
                <w:lang w:val="en-US" w:eastAsia="zh-CN"/>
              </w:rPr>
            </w:pPr>
            <w:r>
              <w:rPr>
                <w:rFonts w:hint="eastAsia"/>
                <w:color w:val="auto"/>
                <w:u w:val="none"/>
                <w:lang w:val="en-US" w:eastAsia="zh-CN"/>
              </w:rPr>
              <w:t>0</w:t>
            </w:r>
          </w:p>
        </w:tc>
        <w:tc>
          <w:tcPr>
            <w:tcW w:w="714" w:type="pct"/>
            <w:tcBorders>
              <w:tl2br w:val="nil"/>
              <w:tr2bl w:val="nil"/>
            </w:tcBorders>
            <w:noWrap w:val="0"/>
            <w:vAlign w:val="center"/>
          </w:tcPr>
          <w:p>
            <w:pPr>
              <w:pStyle w:val="35"/>
              <w:bidi w:val="0"/>
              <w:rPr>
                <w:rFonts w:hint="eastAsia" w:eastAsia="宋体"/>
                <w:color w:val="auto"/>
                <w:u w:val="none"/>
                <w:lang w:val="en-US" w:eastAsia="zh-CN"/>
              </w:rPr>
            </w:pPr>
            <w:r>
              <w:rPr>
                <w:rFonts w:hint="eastAsia"/>
                <w:color w:val="auto"/>
                <w:u w:val="none"/>
                <w:lang w:val="en-US" w:eastAsia="zh-CN"/>
              </w:rPr>
              <w:t>0</w:t>
            </w:r>
          </w:p>
        </w:tc>
        <w:tc>
          <w:tcPr>
            <w:tcW w:w="1259" w:type="dxa"/>
            <w:tcBorders>
              <w:tl2br w:val="nil"/>
              <w:tr2bl w:val="nil"/>
            </w:tcBorders>
            <w:noWrap w:val="0"/>
            <w:vAlign w:val="center"/>
          </w:tcPr>
          <w:p>
            <w:pPr>
              <w:pStyle w:val="35"/>
              <w:bidi w:val="0"/>
              <w:ind w:firstLine="0" w:firstLineChars="0"/>
              <w:rPr>
                <w:rFonts w:hint="default"/>
                <w:color w:val="auto"/>
                <w:u w:val="none"/>
                <w:lang w:val="en-US"/>
              </w:rPr>
            </w:pPr>
            <w:r>
              <w:rPr>
                <w:rFonts w:hint="eastAsia"/>
                <w:color w:val="auto"/>
                <w:u w:val="none"/>
                <w:lang w:val="en-US" w:eastAsia="zh-CN"/>
              </w:rPr>
              <w:t>0.244</w:t>
            </w:r>
          </w:p>
        </w:tc>
        <w:tc>
          <w:tcPr>
            <w:tcW w:w="1259" w:type="dxa"/>
            <w:tcBorders>
              <w:tl2br w:val="nil"/>
              <w:tr2bl w:val="nil"/>
            </w:tcBorders>
            <w:noWrap w:val="0"/>
            <w:vAlign w:val="center"/>
          </w:tcPr>
          <w:p>
            <w:pPr>
              <w:pStyle w:val="35"/>
              <w:bidi w:val="0"/>
              <w:ind w:firstLine="0" w:firstLineChars="0"/>
              <w:rPr>
                <w:rFonts w:hint="default"/>
                <w:color w:val="auto"/>
                <w:lang w:val="en-US"/>
              </w:rPr>
            </w:pPr>
            <w:r>
              <w:rPr>
                <w:rFonts w:hint="eastAsia"/>
                <w:color w:val="auto"/>
                <w:lang w:val="en-US" w:eastAsia="zh-CN"/>
              </w:rPr>
              <w:t>0</w:t>
            </w:r>
          </w:p>
        </w:tc>
      </w:tr>
      <w:tr>
        <w:trPr>
          <w:trHeight w:val="0" w:hRule="atLeast"/>
          <w:jc w:val="center"/>
        </w:trPr>
        <w:tc>
          <w:tcPr>
            <w:tcW w:w="713" w:type="pct"/>
            <w:vMerge w:val="continue"/>
            <w:tcBorders>
              <w:tl2br w:val="nil"/>
              <w:tr2bl w:val="nil"/>
            </w:tcBorders>
            <w:noWrap w:val="0"/>
            <w:vAlign w:val="center"/>
          </w:tcPr>
          <w:p>
            <w:pPr>
              <w:pStyle w:val="35"/>
              <w:bidi w:val="0"/>
              <w:rPr>
                <w:rFonts w:hint="default"/>
                <w:color w:val="auto"/>
              </w:rPr>
            </w:pPr>
          </w:p>
        </w:tc>
        <w:tc>
          <w:tcPr>
            <w:tcW w:w="714" w:type="pct"/>
            <w:tcBorders>
              <w:tl2br w:val="nil"/>
              <w:tr2bl w:val="nil"/>
            </w:tcBorders>
            <w:noWrap w:val="0"/>
            <w:vAlign w:val="center"/>
          </w:tcPr>
          <w:p>
            <w:pPr>
              <w:pStyle w:val="35"/>
              <w:bidi w:val="0"/>
              <w:rPr>
                <w:rFonts w:hint="default"/>
                <w:color w:val="auto"/>
              </w:rPr>
            </w:pPr>
            <w:r>
              <w:rPr>
                <w:rFonts w:hint="default"/>
                <w:color w:val="auto"/>
                <w:lang w:val="en-US" w:eastAsia="zh-CN"/>
              </w:rPr>
              <w:t>氨氮</w:t>
            </w:r>
          </w:p>
        </w:tc>
        <w:tc>
          <w:tcPr>
            <w:tcW w:w="1259" w:type="dxa"/>
            <w:tcBorders>
              <w:tl2br w:val="nil"/>
              <w:tr2bl w:val="nil"/>
            </w:tcBorders>
            <w:noWrap w:val="0"/>
            <w:vAlign w:val="center"/>
          </w:tcPr>
          <w:p>
            <w:pPr>
              <w:pStyle w:val="35"/>
              <w:bidi w:val="0"/>
              <w:ind w:firstLine="0" w:firstLineChars="0"/>
              <w:rPr>
                <w:rFonts w:hint="default"/>
                <w:color w:val="auto"/>
                <w:u w:val="none"/>
                <w:lang w:val="en-US"/>
              </w:rPr>
            </w:pPr>
            <w:r>
              <w:rPr>
                <w:rFonts w:hint="eastAsia"/>
                <w:color w:val="auto"/>
                <w:u w:val="none"/>
                <w:lang w:val="en-US" w:eastAsia="zh-CN"/>
              </w:rPr>
              <w:t>0.024</w:t>
            </w:r>
          </w:p>
        </w:tc>
        <w:tc>
          <w:tcPr>
            <w:tcW w:w="1261" w:type="dxa"/>
            <w:tcBorders>
              <w:tl2br w:val="nil"/>
              <w:tr2bl w:val="nil"/>
            </w:tcBorders>
            <w:noWrap w:val="0"/>
            <w:vAlign w:val="center"/>
          </w:tcPr>
          <w:p>
            <w:pPr>
              <w:pStyle w:val="35"/>
              <w:bidi w:val="0"/>
              <w:ind w:firstLine="0" w:firstLineChars="0"/>
              <w:rPr>
                <w:rFonts w:hint="default" w:eastAsia="宋体"/>
                <w:color w:val="auto"/>
                <w:u w:val="none"/>
                <w:lang w:val="en-US" w:eastAsia="zh-CN"/>
              </w:rPr>
            </w:pPr>
            <w:r>
              <w:rPr>
                <w:rFonts w:hint="eastAsia"/>
                <w:color w:val="auto"/>
                <w:u w:val="none"/>
                <w:lang w:val="en-US" w:eastAsia="zh-CN"/>
              </w:rPr>
              <w:t>0</w:t>
            </w:r>
          </w:p>
        </w:tc>
        <w:tc>
          <w:tcPr>
            <w:tcW w:w="714" w:type="pct"/>
            <w:tcBorders>
              <w:tl2br w:val="nil"/>
              <w:tr2bl w:val="nil"/>
            </w:tcBorders>
            <w:noWrap w:val="0"/>
            <w:vAlign w:val="center"/>
          </w:tcPr>
          <w:p>
            <w:pPr>
              <w:pStyle w:val="35"/>
              <w:bidi w:val="0"/>
              <w:rPr>
                <w:rFonts w:hint="eastAsia" w:eastAsia="宋体"/>
                <w:color w:val="auto"/>
                <w:u w:val="none"/>
                <w:lang w:val="en-US" w:eastAsia="zh-CN"/>
              </w:rPr>
            </w:pPr>
            <w:r>
              <w:rPr>
                <w:rFonts w:hint="eastAsia"/>
                <w:color w:val="auto"/>
                <w:u w:val="none"/>
                <w:lang w:val="en-US" w:eastAsia="zh-CN"/>
              </w:rPr>
              <w:t>0</w:t>
            </w:r>
          </w:p>
        </w:tc>
        <w:tc>
          <w:tcPr>
            <w:tcW w:w="1259" w:type="dxa"/>
            <w:tcBorders>
              <w:tl2br w:val="nil"/>
              <w:tr2bl w:val="nil"/>
            </w:tcBorders>
            <w:noWrap w:val="0"/>
            <w:vAlign w:val="center"/>
          </w:tcPr>
          <w:p>
            <w:pPr>
              <w:pStyle w:val="35"/>
              <w:bidi w:val="0"/>
              <w:ind w:firstLine="0" w:firstLineChars="0"/>
              <w:rPr>
                <w:rFonts w:hint="default"/>
                <w:color w:val="auto"/>
                <w:u w:val="none"/>
                <w:lang w:val="en-US"/>
              </w:rPr>
            </w:pPr>
            <w:r>
              <w:rPr>
                <w:rFonts w:hint="eastAsia"/>
                <w:color w:val="auto"/>
                <w:u w:val="none"/>
                <w:lang w:val="en-US" w:eastAsia="zh-CN"/>
              </w:rPr>
              <w:t>0.024</w:t>
            </w:r>
          </w:p>
        </w:tc>
        <w:tc>
          <w:tcPr>
            <w:tcW w:w="1259" w:type="dxa"/>
            <w:tcBorders>
              <w:tl2br w:val="nil"/>
              <w:tr2bl w:val="nil"/>
            </w:tcBorders>
            <w:noWrap w:val="0"/>
            <w:vAlign w:val="center"/>
          </w:tcPr>
          <w:p>
            <w:pPr>
              <w:pStyle w:val="35"/>
              <w:bidi w:val="0"/>
              <w:ind w:firstLine="0" w:firstLineChars="0"/>
              <w:rPr>
                <w:rFonts w:hint="default"/>
                <w:color w:val="auto"/>
                <w:lang w:val="en-US"/>
              </w:rPr>
            </w:pPr>
            <w:r>
              <w:rPr>
                <w:rFonts w:hint="eastAsia"/>
                <w:color w:val="auto"/>
                <w:lang w:val="en-US" w:eastAsia="zh-CN"/>
              </w:rPr>
              <w:t>0</w:t>
            </w:r>
          </w:p>
        </w:tc>
      </w:tr>
      <w:tr>
        <w:trPr>
          <w:trHeight w:val="0" w:hRule="atLeast"/>
          <w:jc w:val="center"/>
        </w:trPr>
        <w:tc>
          <w:tcPr>
            <w:tcW w:w="713" w:type="pct"/>
            <w:vMerge w:val="restar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固体</w:t>
            </w:r>
          </w:p>
          <w:p>
            <w:pPr>
              <w:pStyle w:val="35"/>
              <w:bidi w:val="0"/>
              <w:rPr>
                <w:rFonts w:hint="eastAsia"/>
                <w:color w:val="auto"/>
              </w:rPr>
            </w:pPr>
            <w:r>
              <w:rPr>
                <w:rFonts w:hint="eastAsia"/>
                <w:color w:val="auto"/>
                <w:lang w:val="en-US" w:eastAsia="zh-CN"/>
              </w:rPr>
              <w:t>废物</w:t>
            </w: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生活垃圾</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71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lang w:val="en-US" w:eastAsia="zh-CN"/>
              </w:rPr>
            </w:pPr>
            <w:r>
              <w:rPr>
                <w:rFonts w:hint="eastAsia"/>
                <w:color w:val="auto"/>
                <w:lang w:val="en-US" w:eastAsia="zh-CN"/>
              </w:rPr>
              <w:t>0</w:t>
            </w:r>
          </w:p>
        </w:tc>
      </w:tr>
      <w:tr>
        <w:trPr>
          <w:trHeight w:val="0" w:hRule="atLeast"/>
          <w:jc w:val="center"/>
        </w:trPr>
        <w:tc>
          <w:tcPr>
            <w:tcW w:w="713" w:type="pct"/>
            <w:vMerge w:val="continue"/>
            <w:tcBorders>
              <w:tl2br w:val="nil"/>
              <w:tr2bl w:val="nil"/>
            </w:tcBorders>
            <w:noWrap w:val="0"/>
            <w:vAlign w:val="center"/>
          </w:tcPr>
          <w:p>
            <w:pPr>
              <w:pStyle w:val="35"/>
              <w:bidi w:val="0"/>
              <w:rPr>
                <w:rFonts w:hint="eastAsia"/>
                <w:color w:val="auto"/>
              </w:rPr>
            </w:pPr>
          </w:p>
        </w:tc>
        <w:tc>
          <w:tcPr>
            <w:tcW w:w="714" w:type="pct"/>
            <w:tcBorders>
              <w:tl2br w:val="nil"/>
              <w:tr2bl w:val="nil"/>
            </w:tcBorders>
            <w:noWrap w:val="0"/>
            <w:vAlign w:val="center"/>
          </w:tcPr>
          <w:p>
            <w:pPr>
              <w:pStyle w:val="35"/>
              <w:bidi w:val="0"/>
              <w:rPr>
                <w:rFonts w:hint="eastAsia"/>
                <w:color w:val="auto"/>
              </w:rPr>
            </w:pPr>
            <w:r>
              <w:rPr>
                <w:rFonts w:hint="eastAsia"/>
                <w:color w:val="auto"/>
                <w:lang w:val="en-US" w:eastAsia="zh-CN"/>
              </w:rPr>
              <w:t>危险废物</w:t>
            </w:r>
          </w:p>
        </w:tc>
        <w:tc>
          <w:tcPr>
            <w:tcW w:w="7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w:t>
            </w:r>
          </w:p>
        </w:tc>
        <w:tc>
          <w:tcPr>
            <w:tcW w:w="71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w:t>
            </w:r>
          </w:p>
        </w:tc>
        <w:tc>
          <w:tcPr>
            <w:tcW w:w="7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w:t>
            </w:r>
          </w:p>
        </w:tc>
      </w:tr>
    </w:tbl>
    <w:p>
      <w:pPr>
        <w:pStyle w:val="33"/>
        <w:bidi w:val="0"/>
        <w:rPr>
          <w:rFonts w:hint="default"/>
          <w:b/>
          <w:bCs/>
          <w:color w:val="auto"/>
          <w:sz w:val="21"/>
          <w:szCs w:val="21"/>
          <w:u w:val="single"/>
          <w:lang w:val="en-US" w:eastAsia="zh-CN"/>
        </w:rPr>
      </w:pPr>
      <w:r>
        <w:rPr>
          <w:rFonts w:hint="eastAsia"/>
          <w:b/>
          <w:bCs/>
          <w:color w:val="auto"/>
          <w:sz w:val="21"/>
          <w:szCs w:val="21"/>
          <w:u w:val="single"/>
          <w:lang w:val="en-US" w:eastAsia="zh-CN"/>
        </w:rPr>
        <w:t>项目废水最终排入云溪区污水处理厂进行处理后排入长江，出水达到《城镇污水处理厂污染物排放标准》(GB18918-2002)一级A标准，COD和氨氮排放总量以《城镇污水处理厂污染物排放标准》(GB18918-2002)一级A标准计算。</w:t>
      </w:r>
    </w:p>
    <w:p>
      <w:pPr>
        <w:pStyle w:val="33"/>
        <w:bidi w:val="0"/>
        <w:rPr>
          <w:rFonts w:hint="default"/>
          <w:color w:val="auto"/>
          <w:u w:val="single"/>
          <w:lang w:val="en-US" w:eastAsia="zh-CN"/>
        </w:rPr>
      </w:pPr>
      <w:r>
        <w:rPr>
          <w:rFonts w:hint="eastAsia"/>
          <w:color w:val="auto"/>
          <w:u w:val="single"/>
          <w:lang w:val="en-US" w:eastAsia="zh-CN"/>
        </w:rPr>
        <w:t>（2）生产碳酸二甲酯和醋酸甲酯时</w:t>
      </w:r>
    </w:p>
    <w:p>
      <w:pPr>
        <w:pStyle w:val="33"/>
        <w:bidi w:val="0"/>
        <w:rPr>
          <w:rFonts w:hint="eastAsia"/>
          <w:color w:val="auto"/>
          <w:u w:val="single"/>
          <w:lang w:val="en-US" w:eastAsia="zh-CN"/>
        </w:rPr>
      </w:pPr>
      <w:r>
        <w:rPr>
          <w:rFonts w:hint="eastAsia"/>
          <w:color w:val="auto"/>
          <w:u w:val="single"/>
          <w:lang w:val="en-US" w:eastAsia="zh-CN"/>
        </w:rPr>
        <w:t>当精馏塔装置生产碳酸二甲酯15000t/a，新建酯化塔生产醋酸甲酯10000t/a计算产排污，核算三本账如下表。</w:t>
      </w:r>
    </w:p>
    <w:p>
      <w:pPr>
        <w:pStyle w:val="36"/>
        <w:bidi w:val="0"/>
        <w:rPr>
          <w:rFonts w:hint="eastAsia" w:eastAsia="宋体"/>
          <w:b/>
          <w:bCs w:val="0"/>
          <w:color w:val="auto"/>
          <w:u w:val="single"/>
          <w:lang w:eastAsia="zh-CN"/>
        </w:rPr>
      </w:pPr>
      <w:r>
        <w:rPr>
          <w:color w:val="auto"/>
          <w:u w:val="single"/>
        </w:rPr>
        <w:t>表</w:t>
      </w:r>
      <w:r>
        <w:rPr>
          <w:rFonts w:hint="eastAsia"/>
          <w:color w:val="auto"/>
          <w:u w:val="single"/>
          <w:lang w:val="en-US" w:eastAsia="zh-CN"/>
        </w:rPr>
        <w:t>5.5-2</w:t>
      </w:r>
      <w:r>
        <w:rPr>
          <w:color w:val="auto"/>
          <w:u w:val="single"/>
        </w:rPr>
        <w:t xml:space="preserve">   </w:t>
      </w:r>
      <w:r>
        <w:rPr>
          <w:rFonts w:hint="eastAsia"/>
          <w:color w:val="auto"/>
          <w:u w:val="single"/>
        </w:rPr>
        <w:t>扩建后</w:t>
      </w:r>
      <w:r>
        <w:rPr>
          <w:rFonts w:hint="eastAsia"/>
          <w:color w:val="auto"/>
          <w:u w:val="single"/>
          <w:lang w:eastAsia="zh-CN"/>
        </w:rPr>
        <w:t>“三本帐”核算</w:t>
      </w:r>
      <w:r>
        <w:rPr>
          <w:color w:val="auto"/>
          <w:u w:val="single"/>
        </w:rPr>
        <w:t>一览表</w:t>
      </w:r>
      <w:r>
        <w:rPr>
          <w:rFonts w:hint="eastAsia"/>
          <w:color w:val="auto"/>
          <w:u w:val="single"/>
          <w:lang w:eastAsia="zh-CN"/>
        </w:rPr>
        <w:t>（</w:t>
      </w:r>
      <w:r>
        <w:rPr>
          <w:rFonts w:hint="eastAsia"/>
          <w:color w:val="auto"/>
          <w:u w:val="single"/>
          <w:lang w:val="en-US" w:eastAsia="zh-CN"/>
        </w:rPr>
        <w:t>生产碳酸二甲酯和醋酸甲酯时</w:t>
      </w:r>
      <w:r>
        <w:rPr>
          <w:rFonts w:hint="eastAsia"/>
          <w:color w:val="auto"/>
          <w:u w:val="single"/>
          <w:lang w:eastAsia="zh-CN"/>
        </w:rPr>
        <w:t>）</w:t>
      </w:r>
    </w:p>
    <w:tbl>
      <w:tblPr>
        <w:tblStyle w:val="27"/>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257"/>
        <w:gridCol w:w="1259"/>
        <w:gridCol w:w="1259"/>
        <w:gridCol w:w="1261"/>
        <w:gridCol w:w="1259"/>
        <w:gridCol w:w="1259"/>
        <w:gridCol w:w="125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blHeader/>
          <w:jc w:val="center"/>
        </w:trPr>
        <w:tc>
          <w:tcPr>
            <w:tcW w:w="713" w:type="pct"/>
            <w:tcBorders>
              <w:tl2br w:val="nil"/>
              <w:tr2bl w:val="nil"/>
            </w:tcBorders>
            <w:noWrap w:val="0"/>
            <w:vAlign w:val="center"/>
          </w:tcPr>
          <w:p>
            <w:pPr>
              <w:pStyle w:val="35"/>
              <w:bidi w:val="0"/>
              <w:rPr>
                <w:rFonts w:hint="default"/>
                <w:b/>
                <w:bCs w:val="0"/>
                <w:color w:val="auto"/>
                <w:u w:val="single"/>
              </w:rPr>
            </w:pPr>
            <w:r>
              <w:rPr>
                <w:rFonts w:hint="default"/>
                <w:b/>
                <w:bCs w:val="0"/>
                <w:color w:val="auto"/>
                <w:u w:val="single"/>
                <w:lang w:val="en-US" w:eastAsia="zh-CN"/>
              </w:rPr>
              <w:t>类型</w:t>
            </w:r>
          </w:p>
        </w:tc>
        <w:tc>
          <w:tcPr>
            <w:tcW w:w="714" w:type="pct"/>
            <w:tcBorders>
              <w:tl2br w:val="nil"/>
              <w:tr2bl w:val="nil"/>
            </w:tcBorders>
            <w:noWrap w:val="0"/>
            <w:vAlign w:val="center"/>
          </w:tcPr>
          <w:p>
            <w:pPr>
              <w:pStyle w:val="35"/>
              <w:bidi w:val="0"/>
              <w:rPr>
                <w:rFonts w:hint="default"/>
                <w:b/>
                <w:bCs w:val="0"/>
                <w:color w:val="auto"/>
                <w:u w:val="single"/>
              </w:rPr>
            </w:pPr>
            <w:r>
              <w:rPr>
                <w:rFonts w:hint="default"/>
                <w:b/>
                <w:bCs w:val="0"/>
                <w:color w:val="auto"/>
                <w:u w:val="single"/>
                <w:lang w:val="en-US" w:eastAsia="zh-CN"/>
              </w:rPr>
              <w:t>污染物名称</w:t>
            </w:r>
          </w:p>
        </w:tc>
        <w:tc>
          <w:tcPr>
            <w:tcW w:w="714" w:type="pct"/>
            <w:tcBorders>
              <w:tl2br w:val="nil"/>
              <w:tr2bl w:val="nil"/>
            </w:tcBorders>
            <w:noWrap w:val="0"/>
            <w:vAlign w:val="center"/>
          </w:tcPr>
          <w:p>
            <w:pPr>
              <w:pStyle w:val="35"/>
              <w:bidi w:val="0"/>
              <w:rPr>
                <w:rFonts w:hint="default"/>
                <w:b/>
                <w:bCs w:val="0"/>
                <w:color w:val="auto"/>
                <w:u w:val="single"/>
              </w:rPr>
            </w:pPr>
            <w:r>
              <w:rPr>
                <w:rFonts w:hint="default"/>
                <w:b/>
                <w:bCs w:val="0"/>
                <w:color w:val="auto"/>
                <w:u w:val="single"/>
                <w:lang w:val="en-US" w:eastAsia="zh-CN"/>
              </w:rPr>
              <w:t>现有工程排放量（t/a</w:t>
            </w:r>
            <w:r>
              <w:rPr>
                <w:rFonts w:hint="eastAsia"/>
                <w:b/>
                <w:bCs w:val="0"/>
                <w:color w:val="auto"/>
                <w:u w:val="single"/>
                <w:lang w:val="en-US" w:eastAsia="zh-CN"/>
              </w:rPr>
              <w:t>）</w:t>
            </w:r>
          </w:p>
        </w:tc>
        <w:tc>
          <w:tcPr>
            <w:tcW w:w="715" w:type="pct"/>
            <w:tcBorders>
              <w:tl2br w:val="nil"/>
              <w:tr2bl w:val="nil"/>
            </w:tcBorders>
            <w:noWrap w:val="0"/>
            <w:vAlign w:val="center"/>
          </w:tcPr>
          <w:p>
            <w:pPr>
              <w:pStyle w:val="35"/>
              <w:bidi w:val="0"/>
              <w:rPr>
                <w:rFonts w:hint="default"/>
                <w:b/>
                <w:bCs w:val="0"/>
                <w:color w:val="auto"/>
                <w:u w:val="single"/>
              </w:rPr>
            </w:pPr>
            <w:r>
              <w:rPr>
                <w:rFonts w:hint="default"/>
                <w:b/>
                <w:bCs w:val="0"/>
                <w:color w:val="auto"/>
                <w:u w:val="single"/>
                <w:lang w:val="en-US" w:eastAsia="zh-CN"/>
              </w:rPr>
              <w:t>技改项目排放量（t/a</w:t>
            </w:r>
            <w:r>
              <w:rPr>
                <w:rFonts w:hint="eastAsia"/>
                <w:b/>
                <w:bCs w:val="0"/>
                <w:color w:val="auto"/>
                <w:u w:val="single"/>
                <w:lang w:val="en-US" w:eastAsia="zh-CN"/>
              </w:rPr>
              <w:t>）</w:t>
            </w:r>
          </w:p>
        </w:tc>
        <w:tc>
          <w:tcPr>
            <w:tcW w:w="714" w:type="pct"/>
            <w:tcBorders>
              <w:tl2br w:val="nil"/>
              <w:tr2bl w:val="nil"/>
            </w:tcBorders>
            <w:noWrap w:val="0"/>
            <w:vAlign w:val="center"/>
          </w:tcPr>
          <w:p>
            <w:pPr>
              <w:pStyle w:val="35"/>
              <w:bidi w:val="0"/>
              <w:rPr>
                <w:rFonts w:hint="eastAsia"/>
                <w:b/>
                <w:bCs w:val="0"/>
                <w:color w:val="auto"/>
                <w:u w:val="single"/>
              </w:rPr>
            </w:pPr>
            <w:r>
              <w:rPr>
                <w:rFonts w:hint="eastAsia"/>
                <w:b/>
                <w:bCs w:val="0"/>
                <w:color w:val="auto"/>
                <w:u w:val="single"/>
                <w:lang w:val="en-US" w:eastAsia="zh-CN"/>
              </w:rPr>
              <w:t>以新带老</w:t>
            </w:r>
            <w:r>
              <w:rPr>
                <w:rFonts w:hint="default"/>
                <w:b/>
                <w:bCs w:val="0"/>
                <w:color w:val="auto"/>
                <w:u w:val="single"/>
                <w:lang w:val="en-US" w:eastAsia="zh-CN"/>
              </w:rPr>
              <w:t>消减量（t/a</w:t>
            </w:r>
            <w:r>
              <w:rPr>
                <w:rFonts w:hint="eastAsia"/>
                <w:b/>
                <w:bCs w:val="0"/>
                <w:color w:val="auto"/>
                <w:u w:val="single"/>
                <w:lang w:val="en-US" w:eastAsia="zh-CN"/>
              </w:rPr>
              <w:t>）</w:t>
            </w:r>
          </w:p>
        </w:tc>
        <w:tc>
          <w:tcPr>
            <w:tcW w:w="714" w:type="pct"/>
            <w:tcBorders>
              <w:tl2br w:val="nil"/>
              <w:tr2bl w:val="nil"/>
            </w:tcBorders>
            <w:noWrap w:val="0"/>
            <w:vAlign w:val="center"/>
          </w:tcPr>
          <w:p>
            <w:pPr>
              <w:pStyle w:val="35"/>
              <w:bidi w:val="0"/>
              <w:rPr>
                <w:rFonts w:hint="default"/>
                <w:b/>
                <w:bCs w:val="0"/>
                <w:color w:val="auto"/>
                <w:u w:val="single"/>
              </w:rPr>
            </w:pPr>
            <w:r>
              <w:rPr>
                <w:rFonts w:hint="default"/>
                <w:b/>
                <w:bCs w:val="0"/>
                <w:color w:val="auto"/>
                <w:u w:val="single"/>
                <w:lang w:val="en-US" w:eastAsia="zh-CN"/>
              </w:rPr>
              <w:t>技改后</w:t>
            </w:r>
            <w:r>
              <w:rPr>
                <w:rFonts w:hint="eastAsia"/>
                <w:b/>
                <w:bCs w:val="0"/>
                <w:color w:val="auto"/>
                <w:u w:val="single"/>
                <w:lang w:val="en-US" w:eastAsia="zh-CN"/>
              </w:rPr>
              <w:t>总体</w:t>
            </w:r>
            <w:r>
              <w:rPr>
                <w:rFonts w:hint="default"/>
                <w:b/>
                <w:bCs w:val="0"/>
                <w:color w:val="auto"/>
                <w:u w:val="single"/>
                <w:lang w:val="en-US" w:eastAsia="zh-CN"/>
              </w:rPr>
              <w:t>排放量（t/a</w:t>
            </w:r>
            <w:r>
              <w:rPr>
                <w:rFonts w:hint="eastAsia"/>
                <w:b/>
                <w:bCs w:val="0"/>
                <w:color w:val="auto"/>
                <w:u w:val="single"/>
                <w:lang w:val="en-US" w:eastAsia="zh-CN"/>
              </w:rPr>
              <w:t>）</w:t>
            </w:r>
          </w:p>
        </w:tc>
        <w:tc>
          <w:tcPr>
            <w:tcW w:w="714" w:type="pct"/>
            <w:tcBorders>
              <w:tl2br w:val="nil"/>
              <w:tr2bl w:val="nil"/>
            </w:tcBorders>
            <w:noWrap w:val="0"/>
            <w:vAlign w:val="center"/>
          </w:tcPr>
          <w:p>
            <w:pPr>
              <w:pStyle w:val="35"/>
              <w:bidi w:val="0"/>
              <w:rPr>
                <w:rFonts w:hint="default"/>
                <w:b/>
                <w:bCs w:val="0"/>
                <w:color w:val="auto"/>
                <w:u w:val="single"/>
              </w:rPr>
            </w:pPr>
            <w:r>
              <w:rPr>
                <w:rFonts w:hint="default"/>
                <w:b/>
                <w:bCs w:val="0"/>
                <w:color w:val="auto"/>
                <w:u w:val="single"/>
                <w:lang w:val="en-US" w:eastAsia="zh-CN"/>
              </w:rPr>
              <w:t>排放增减量（t/a</w:t>
            </w:r>
            <w:r>
              <w:rPr>
                <w:rFonts w:hint="eastAsia"/>
                <w:b/>
                <w:bCs w:val="0"/>
                <w:color w:val="auto"/>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restart"/>
            <w:tcBorders>
              <w:tl2br w:val="nil"/>
              <w:tr2bl w:val="nil"/>
            </w:tcBorders>
            <w:noWrap w:val="0"/>
            <w:vAlign w:val="center"/>
          </w:tcPr>
          <w:p>
            <w:pPr>
              <w:pStyle w:val="35"/>
              <w:bidi w:val="0"/>
              <w:rPr>
                <w:rFonts w:hint="default"/>
                <w:color w:val="auto"/>
                <w:u w:val="single"/>
              </w:rPr>
            </w:pPr>
            <w:r>
              <w:rPr>
                <w:rFonts w:hint="default"/>
                <w:color w:val="auto"/>
                <w:u w:val="single"/>
                <w:lang w:val="en-US" w:eastAsia="zh-CN"/>
              </w:rPr>
              <w:t>废气</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氯化氢</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0.315</w:t>
            </w:r>
          </w:p>
        </w:tc>
        <w:tc>
          <w:tcPr>
            <w:tcW w:w="715"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0.315</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非甲烷总烃</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1.047</w:t>
            </w:r>
          </w:p>
        </w:tc>
        <w:tc>
          <w:tcPr>
            <w:tcW w:w="715"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1.047</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1259" w:type="dxa"/>
            <w:tcBorders>
              <w:tl2br w:val="nil"/>
              <w:tr2bl w:val="nil"/>
            </w:tcBorders>
            <w:noWrap w:val="0"/>
            <w:vAlign w:val="center"/>
          </w:tcPr>
          <w:p>
            <w:pPr>
              <w:pStyle w:val="35"/>
              <w:bidi w:val="0"/>
              <w:ind w:firstLine="0" w:firstLineChars="0"/>
              <w:rPr>
                <w:rFonts w:hint="eastAsia"/>
                <w:color w:val="auto"/>
                <w:u w:val="single"/>
                <w:lang w:val="en-US" w:eastAsia="zh-CN"/>
              </w:rPr>
            </w:pPr>
            <w:r>
              <w:rPr>
                <w:rFonts w:hint="eastAsia"/>
                <w:color w:val="auto"/>
                <w:u w:val="single"/>
                <w:lang w:val="en-US" w:eastAsia="zh-CN"/>
              </w:rPr>
              <w:t>环己烷</w:t>
            </w:r>
          </w:p>
        </w:tc>
        <w:tc>
          <w:tcPr>
            <w:tcW w:w="1259" w:type="dxa"/>
            <w:tcBorders>
              <w:tl2br w:val="nil"/>
              <w:tr2bl w:val="nil"/>
            </w:tcBorders>
            <w:noWrap w:val="0"/>
            <w:vAlign w:val="center"/>
          </w:tcPr>
          <w:p>
            <w:pPr>
              <w:pStyle w:val="35"/>
              <w:bidi w:val="0"/>
              <w:ind w:firstLine="0" w:firstLineChars="0"/>
              <w:rPr>
                <w:rFonts w:hint="eastAsia"/>
                <w:color w:val="auto"/>
                <w:u w:val="single"/>
                <w:lang w:val="en-US" w:eastAsia="zh-CN"/>
              </w:rPr>
            </w:pPr>
            <w:r>
              <w:rPr>
                <w:rFonts w:hint="eastAsia"/>
                <w:color w:val="auto"/>
                <w:u w:val="single"/>
                <w:lang w:val="en-US" w:eastAsia="zh-CN"/>
              </w:rPr>
              <w:t>0.059</w:t>
            </w:r>
          </w:p>
        </w:tc>
        <w:tc>
          <w:tcPr>
            <w:tcW w:w="1261" w:type="dxa"/>
            <w:tcBorders>
              <w:tl2br w:val="nil"/>
              <w:tr2bl w:val="nil"/>
            </w:tcBorders>
            <w:noWrap w:val="0"/>
            <w:vAlign w:val="center"/>
          </w:tcPr>
          <w:p>
            <w:pPr>
              <w:pStyle w:val="35"/>
              <w:bidi w:val="0"/>
              <w:ind w:firstLine="0" w:firstLineChars="0"/>
              <w:rPr>
                <w:rFonts w:hint="default"/>
                <w:color w:val="auto"/>
                <w:u w:val="single"/>
                <w:lang w:val="en-US" w:eastAsia="zh-CN"/>
              </w:rPr>
            </w:pPr>
            <w:r>
              <w:rPr>
                <w:rFonts w:hint="eastAsia"/>
                <w:color w:val="auto"/>
                <w:u w:val="single"/>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u w:val="single"/>
                <w:lang w:val="en-US" w:eastAsia="zh-CN"/>
              </w:rPr>
            </w:pPr>
            <w:r>
              <w:rPr>
                <w:rFonts w:hint="eastAsia"/>
                <w:color w:val="auto"/>
                <w:u w:val="single"/>
                <w:lang w:val="en-US" w:eastAsia="zh-CN"/>
              </w:rPr>
              <w:t>-0.059</w:t>
            </w:r>
          </w:p>
        </w:tc>
        <w:tc>
          <w:tcPr>
            <w:tcW w:w="714"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u w:val="single"/>
                <w:lang w:val="en-US" w:eastAsia="zh-CN"/>
              </w:rPr>
            </w:pPr>
            <w:r>
              <w:rPr>
                <w:rFonts w:hint="eastAsia"/>
                <w:color w:val="auto"/>
                <w:u w:val="single"/>
                <w:lang w:val="en-US" w:eastAsia="zh-CN"/>
              </w:rPr>
              <w:t>-0.059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1259" w:type="dxa"/>
            <w:tcBorders>
              <w:tl2br w:val="nil"/>
              <w:tr2bl w:val="nil"/>
            </w:tcBorders>
            <w:noWrap w:val="0"/>
            <w:vAlign w:val="center"/>
          </w:tcPr>
          <w:p>
            <w:pPr>
              <w:pStyle w:val="35"/>
              <w:bidi w:val="0"/>
              <w:ind w:firstLine="0" w:firstLineChars="0"/>
              <w:rPr>
                <w:rFonts w:hint="eastAsia"/>
                <w:color w:val="auto"/>
                <w:u w:val="single"/>
                <w:lang w:val="en-US" w:eastAsia="zh-CN"/>
              </w:rPr>
            </w:pPr>
            <w:r>
              <w:rPr>
                <w:rFonts w:hint="eastAsia"/>
                <w:color w:val="auto"/>
                <w:u w:val="single"/>
                <w:lang w:val="en-US" w:eastAsia="zh-CN"/>
              </w:rPr>
              <w:t>苯乙烯</w:t>
            </w:r>
          </w:p>
        </w:tc>
        <w:tc>
          <w:tcPr>
            <w:tcW w:w="1259" w:type="dxa"/>
            <w:tcBorders>
              <w:tl2br w:val="nil"/>
              <w:tr2bl w:val="nil"/>
            </w:tcBorders>
            <w:noWrap w:val="0"/>
            <w:vAlign w:val="center"/>
          </w:tcPr>
          <w:p>
            <w:pPr>
              <w:pStyle w:val="35"/>
              <w:bidi w:val="0"/>
              <w:ind w:firstLine="0" w:firstLineChars="0"/>
              <w:rPr>
                <w:rFonts w:hint="eastAsia"/>
                <w:color w:val="auto"/>
                <w:u w:val="single"/>
                <w:lang w:val="en-US" w:eastAsia="zh-CN"/>
              </w:rPr>
            </w:pPr>
            <w:r>
              <w:rPr>
                <w:rFonts w:hint="eastAsia"/>
                <w:color w:val="auto"/>
                <w:u w:val="single"/>
                <w:lang w:val="en-US" w:eastAsia="zh-CN"/>
              </w:rPr>
              <w:t>0.059</w:t>
            </w:r>
          </w:p>
        </w:tc>
        <w:tc>
          <w:tcPr>
            <w:tcW w:w="1261" w:type="dxa"/>
            <w:tcBorders>
              <w:tl2br w:val="nil"/>
              <w:tr2bl w:val="nil"/>
            </w:tcBorders>
            <w:noWrap w:val="0"/>
            <w:vAlign w:val="center"/>
          </w:tcPr>
          <w:p>
            <w:pPr>
              <w:pStyle w:val="35"/>
              <w:bidi w:val="0"/>
              <w:ind w:firstLine="0" w:firstLineChars="0"/>
              <w:rPr>
                <w:rFonts w:hint="default"/>
                <w:color w:val="auto"/>
                <w:u w:val="single"/>
                <w:lang w:val="en-US" w:eastAsia="zh-CN"/>
              </w:rPr>
            </w:pPr>
            <w:r>
              <w:rPr>
                <w:rFonts w:hint="eastAsia"/>
                <w:color w:val="auto"/>
                <w:u w:val="single"/>
                <w:lang w:val="en-US" w:eastAsia="zh-CN"/>
              </w:rPr>
              <w:t>0</w:t>
            </w:r>
          </w:p>
        </w:tc>
        <w:tc>
          <w:tcPr>
            <w:tcW w:w="1259" w:type="dxa"/>
            <w:tcBorders>
              <w:tl2br w:val="nil"/>
              <w:tr2bl w:val="nil"/>
            </w:tcBorders>
            <w:noWrap w:val="0"/>
            <w:vAlign w:val="center"/>
          </w:tcPr>
          <w:p>
            <w:pPr>
              <w:pStyle w:val="35"/>
              <w:bidi w:val="0"/>
              <w:ind w:firstLine="0" w:firstLineChars="0"/>
              <w:rPr>
                <w:rFonts w:hint="default"/>
                <w:color w:val="auto"/>
                <w:u w:val="single"/>
                <w:lang w:val="en-US" w:eastAsia="zh-CN"/>
              </w:rPr>
            </w:pPr>
            <w:r>
              <w:rPr>
                <w:rFonts w:hint="eastAsia"/>
                <w:color w:val="auto"/>
                <w:u w:val="single"/>
                <w:lang w:val="en-US" w:eastAsia="zh-CN"/>
              </w:rPr>
              <w:t>-0.059</w:t>
            </w:r>
          </w:p>
        </w:tc>
        <w:tc>
          <w:tcPr>
            <w:tcW w:w="714"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u w:val="single"/>
                <w:lang w:val="en-US" w:eastAsia="zh-CN"/>
              </w:rPr>
            </w:pPr>
            <w:r>
              <w:rPr>
                <w:rFonts w:hint="eastAsia"/>
                <w:color w:val="auto"/>
                <w:u w:val="single"/>
                <w:lang w:val="en-US" w:eastAsia="zh-CN"/>
              </w:rPr>
              <w:t>-0.059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1259" w:type="dxa"/>
            <w:tcBorders>
              <w:tl2br w:val="nil"/>
              <w:tr2bl w:val="nil"/>
            </w:tcBorders>
            <w:noWrap w:val="0"/>
            <w:vAlign w:val="center"/>
          </w:tcPr>
          <w:p>
            <w:pPr>
              <w:pStyle w:val="35"/>
              <w:bidi w:val="0"/>
              <w:ind w:firstLine="0" w:firstLineChars="0"/>
              <w:rPr>
                <w:rFonts w:hint="eastAsia"/>
                <w:color w:val="auto"/>
                <w:u w:val="single"/>
                <w:lang w:val="en-US" w:eastAsia="zh-CN"/>
              </w:rPr>
            </w:pPr>
            <w:r>
              <w:rPr>
                <w:rFonts w:hint="eastAsia"/>
                <w:color w:val="auto"/>
                <w:u w:val="single"/>
                <w:lang w:val="en-US" w:eastAsia="zh-CN"/>
              </w:rPr>
              <w:t>环己酮</w:t>
            </w:r>
          </w:p>
        </w:tc>
        <w:tc>
          <w:tcPr>
            <w:tcW w:w="1259" w:type="dxa"/>
            <w:tcBorders>
              <w:tl2br w:val="nil"/>
              <w:tr2bl w:val="nil"/>
            </w:tcBorders>
            <w:noWrap w:val="0"/>
            <w:vAlign w:val="center"/>
          </w:tcPr>
          <w:p>
            <w:pPr>
              <w:pStyle w:val="35"/>
              <w:bidi w:val="0"/>
              <w:ind w:firstLine="0" w:firstLineChars="0"/>
              <w:rPr>
                <w:rFonts w:hint="eastAsia"/>
                <w:color w:val="auto"/>
                <w:u w:val="single"/>
                <w:lang w:val="en-US" w:eastAsia="zh-CN"/>
              </w:rPr>
            </w:pPr>
            <w:r>
              <w:rPr>
                <w:rFonts w:hint="eastAsia"/>
                <w:color w:val="auto"/>
                <w:u w:val="single"/>
                <w:lang w:val="en-US" w:eastAsia="zh-CN"/>
              </w:rPr>
              <w:t>0.068</w:t>
            </w:r>
          </w:p>
        </w:tc>
        <w:tc>
          <w:tcPr>
            <w:tcW w:w="1261" w:type="dxa"/>
            <w:tcBorders>
              <w:tl2br w:val="nil"/>
              <w:tr2bl w:val="nil"/>
            </w:tcBorders>
            <w:noWrap w:val="0"/>
            <w:vAlign w:val="center"/>
          </w:tcPr>
          <w:p>
            <w:pPr>
              <w:pStyle w:val="35"/>
              <w:bidi w:val="0"/>
              <w:ind w:firstLine="0" w:firstLineChars="0"/>
              <w:rPr>
                <w:rFonts w:hint="default"/>
                <w:color w:val="auto"/>
                <w:u w:val="single"/>
                <w:lang w:val="en-US" w:eastAsia="zh-CN"/>
              </w:rPr>
            </w:pPr>
            <w:r>
              <w:rPr>
                <w:rFonts w:hint="eastAsia"/>
                <w:color w:val="auto"/>
                <w:u w:val="single"/>
                <w:lang w:val="en-US" w:eastAsia="zh-CN"/>
              </w:rPr>
              <w:t>0</w:t>
            </w:r>
          </w:p>
        </w:tc>
        <w:tc>
          <w:tcPr>
            <w:tcW w:w="1259" w:type="dxa"/>
            <w:tcBorders>
              <w:tl2br w:val="nil"/>
              <w:tr2bl w:val="nil"/>
            </w:tcBorders>
            <w:noWrap w:val="0"/>
            <w:vAlign w:val="center"/>
          </w:tcPr>
          <w:p>
            <w:pPr>
              <w:pStyle w:val="35"/>
              <w:bidi w:val="0"/>
              <w:ind w:firstLine="0" w:firstLineChars="0"/>
              <w:rPr>
                <w:rFonts w:hint="default"/>
                <w:color w:val="auto"/>
                <w:u w:val="single"/>
                <w:lang w:val="en-US" w:eastAsia="zh-CN"/>
              </w:rPr>
            </w:pPr>
            <w:r>
              <w:rPr>
                <w:rFonts w:hint="eastAsia"/>
                <w:color w:val="auto"/>
                <w:u w:val="single"/>
                <w:lang w:val="en-US" w:eastAsia="zh-CN"/>
              </w:rPr>
              <w:t>-0.068</w:t>
            </w:r>
          </w:p>
        </w:tc>
        <w:tc>
          <w:tcPr>
            <w:tcW w:w="714"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w:t>
            </w:r>
          </w:p>
        </w:tc>
        <w:tc>
          <w:tcPr>
            <w:tcW w:w="1259" w:type="dxa"/>
            <w:tcBorders>
              <w:tl2br w:val="nil"/>
              <w:tr2bl w:val="nil"/>
            </w:tcBorders>
            <w:noWrap w:val="0"/>
            <w:vAlign w:val="center"/>
          </w:tcPr>
          <w:p>
            <w:pPr>
              <w:pStyle w:val="35"/>
              <w:bidi w:val="0"/>
              <w:ind w:firstLine="0" w:firstLineChars="0"/>
              <w:rPr>
                <w:rFonts w:hint="eastAsia"/>
                <w:color w:val="auto"/>
                <w:u w:val="single"/>
                <w:lang w:val="en-US" w:eastAsia="zh-CN"/>
              </w:rPr>
            </w:pPr>
            <w:r>
              <w:rPr>
                <w:rFonts w:hint="eastAsia"/>
                <w:color w:val="auto"/>
                <w:u w:val="single"/>
                <w:lang w:val="en-US" w:eastAsia="zh-CN"/>
              </w:rPr>
              <w:t>-0.068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酚类</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0.068</w:t>
            </w:r>
          </w:p>
        </w:tc>
        <w:tc>
          <w:tcPr>
            <w:tcW w:w="715" w:type="pct"/>
            <w:tcBorders>
              <w:tl2br w:val="nil"/>
              <w:tr2bl w:val="nil"/>
            </w:tcBorders>
            <w:noWrap w:val="0"/>
            <w:vAlign w:val="center"/>
          </w:tcPr>
          <w:p>
            <w:pPr>
              <w:pStyle w:val="35"/>
              <w:bidi w:val="0"/>
              <w:rPr>
                <w:rFonts w:hint="default"/>
                <w:color w:val="auto"/>
                <w:u w:val="single"/>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0.068</w:t>
            </w:r>
          </w:p>
        </w:tc>
        <w:tc>
          <w:tcPr>
            <w:tcW w:w="714" w:type="pct"/>
            <w:tcBorders>
              <w:tl2br w:val="nil"/>
              <w:tr2bl w:val="nil"/>
            </w:tcBorders>
            <w:noWrap w:val="0"/>
            <w:vAlign w:val="center"/>
          </w:tcPr>
          <w:p>
            <w:pPr>
              <w:pStyle w:val="35"/>
              <w:bidi w:val="0"/>
              <w:rPr>
                <w:rFonts w:hint="default"/>
                <w:color w:val="auto"/>
                <w:u w:val="single"/>
                <w:lang w:val="en-US"/>
              </w:rPr>
            </w:pPr>
            <w:r>
              <w:rPr>
                <w:rFonts w:hint="eastAsia"/>
                <w:color w:val="auto"/>
                <w:u w:val="singl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714"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甲醇</w:t>
            </w:r>
          </w:p>
        </w:tc>
        <w:tc>
          <w:tcPr>
            <w:tcW w:w="714"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0.059</w:t>
            </w:r>
          </w:p>
        </w:tc>
        <w:tc>
          <w:tcPr>
            <w:tcW w:w="715"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0.66</w:t>
            </w:r>
          </w:p>
        </w:tc>
        <w:tc>
          <w:tcPr>
            <w:tcW w:w="714" w:type="pct"/>
            <w:tcBorders>
              <w:tl2br w:val="nil"/>
              <w:tr2bl w:val="nil"/>
            </w:tcBorders>
            <w:noWrap w:val="0"/>
            <w:vAlign w:val="center"/>
          </w:tcPr>
          <w:p>
            <w:pPr>
              <w:pStyle w:val="35"/>
              <w:bidi w:val="0"/>
              <w:rPr>
                <w:rFonts w:hint="eastAsia" w:eastAsia="宋体"/>
                <w:color w:val="auto"/>
                <w:highlight w:val="none"/>
                <w:u w:val="single"/>
                <w:lang w:val="en-US" w:eastAsia="zh-CN"/>
              </w:rPr>
            </w:pPr>
            <w:r>
              <w:rPr>
                <w:rFonts w:hint="eastAsia"/>
                <w:color w:val="auto"/>
                <w:highlight w:val="none"/>
                <w:u w:val="single"/>
                <w:lang w:val="en-US" w:eastAsia="zh-CN"/>
              </w:rPr>
              <w:t>0</w:t>
            </w:r>
          </w:p>
        </w:tc>
        <w:tc>
          <w:tcPr>
            <w:tcW w:w="714" w:type="pct"/>
            <w:tcBorders>
              <w:tl2br w:val="nil"/>
              <w:tr2bl w:val="nil"/>
            </w:tcBorders>
            <w:noWrap w:val="0"/>
            <w:vAlign w:val="center"/>
          </w:tcPr>
          <w:p>
            <w:pPr>
              <w:pStyle w:val="35"/>
              <w:bidi w:val="0"/>
              <w:rPr>
                <w:rFonts w:hint="default"/>
                <w:color w:val="auto"/>
                <w:highlight w:val="none"/>
                <w:u w:val="single"/>
                <w:lang w:val="en-US"/>
              </w:rPr>
            </w:pPr>
            <w:r>
              <w:rPr>
                <w:rFonts w:hint="eastAsia"/>
                <w:color w:val="auto"/>
                <w:highlight w:val="none"/>
                <w:u w:val="single"/>
                <w:lang w:val="en-US" w:eastAsia="zh-CN"/>
              </w:rPr>
              <w:t>1.25</w:t>
            </w:r>
          </w:p>
        </w:tc>
        <w:tc>
          <w:tcPr>
            <w:tcW w:w="714" w:type="pct"/>
            <w:tcBorders>
              <w:tl2br w:val="nil"/>
              <w:tr2bl w:val="nil"/>
            </w:tcBorders>
            <w:noWrap w:val="0"/>
            <w:vAlign w:val="center"/>
          </w:tcPr>
          <w:p>
            <w:pPr>
              <w:pStyle w:val="35"/>
              <w:bidi w:val="0"/>
              <w:rPr>
                <w:rFonts w:hint="default"/>
                <w:color w:val="auto"/>
                <w:highlight w:val="none"/>
                <w:u w:val="single"/>
                <w:lang w:val="en-US"/>
              </w:rPr>
            </w:pPr>
            <w:r>
              <w:rPr>
                <w:rFonts w:hint="eastAsia"/>
                <w:color w:val="auto"/>
                <w:highlight w:val="none"/>
                <w:u w:val="single"/>
                <w:lang w:val="en-US" w:eastAsia="zh-CN"/>
              </w:rPr>
              <w:t>+0.66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二甲苯</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0.019</w:t>
            </w:r>
          </w:p>
        </w:tc>
        <w:tc>
          <w:tcPr>
            <w:tcW w:w="715" w:type="pct"/>
            <w:tcBorders>
              <w:tl2br w:val="nil"/>
              <w:tr2bl w:val="nil"/>
            </w:tcBorders>
            <w:noWrap w:val="0"/>
            <w:vAlign w:val="center"/>
          </w:tcPr>
          <w:p>
            <w:pPr>
              <w:pStyle w:val="35"/>
              <w:bidi w:val="0"/>
              <w:rPr>
                <w:rFonts w:hint="default"/>
                <w:color w:val="auto"/>
                <w:u w:val="single"/>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0.019</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4"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甲醛</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0.062</w:t>
            </w:r>
          </w:p>
        </w:tc>
        <w:tc>
          <w:tcPr>
            <w:tcW w:w="715" w:type="pct"/>
            <w:tcBorders>
              <w:tl2br w:val="nil"/>
              <w:tr2bl w:val="nil"/>
            </w:tcBorders>
            <w:noWrap w:val="0"/>
            <w:vAlign w:val="center"/>
          </w:tcPr>
          <w:p>
            <w:pPr>
              <w:pStyle w:val="35"/>
              <w:bidi w:val="0"/>
              <w:rPr>
                <w:rFonts w:hint="default"/>
                <w:color w:val="auto"/>
                <w:u w:val="single"/>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0.062</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颗粒物</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0.03</w:t>
            </w:r>
          </w:p>
        </w:tc>
        <w:tc>
          <w:tcPr>
            <w:tcW w:w="715"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0.03</w:t>
            </w:r>
          </w:p>
        </w:tc>
        <w:tc>
          <w:tcPr>
            <w:tcW w:w="714" w:type="pct"/>
            <w:tcBorders>
              <w:tl2br w:val="nil"/>
              <w:tr2bl w:val="nil"/>
            </w:tcBorders>
            <w:noWrap w:val="0"/>
            <w:vAlign w:val="center"/>
          </w:tcPr>
          <w:p>
            <w:pPr>
              <w:pStyle w:val="35"/>
              <w:bidi w:val="0"/>
              <w:rPr>
                <w:rFonts w:hint="default"/>
                <w:color w:val="auto"/>
                <w:u w:val="single"/>
                <w:lang w:val="en-US"/>
              </w:rPr>
            </w:pPr>
            <w:r>
              <w:rPr>
                <w:rFonts w:hint="eastAsia"/>
                <w:color w:val="auto"/>
                <w:u w:val="singl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714"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VOCs</w:t>
            </w:r>
          </w:p>
        </w:tc>
        <w:tc>
          <w:tcPr>
            <w:tcW w:w="714"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1.236</w:t>
            </w:r>
          </w:p>
        </w:tc>
        <w:tc>
          <w:tcPr>
            <w:tcW w:w="715"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1.88</w:t>
            </w:r>
          </w:p>
        </w:tc>
        <w:tc>
          <w:tcPr>
            <w:tcW w:w="714"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-0.186</w:t>
            </w:r>
          </w:p>
        </w:tc>
        <w:tc>
          <w:tcPr>
            <w:tcW w:w="714"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2.93</w:t>
            </w:r>
          </w:p>
        </w:tc>
        <w:tc>
          <w:tcPr>
            <w:tcW w:w="714"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+1.694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restart"/>
            <w:tcBorders>
              <w:tl2br w:val="nil"/>
              <w:tr2bl w:val="nil"/>
            </w:tcBorders>
            <w:noWrap w:val="0"/>
            <w:vAlign w:val="center"/>
          </w:tcPr>
          <w:p>
            <w:pPr>
              <w:pStyle w:val="35"/>
              <w:bidi w:val="0"/>
              <w:rPr>
                <w:rFonts w:hint="default"/>
                <w:color w:val="auto"/>
                <w:u w:val="single"/>
              </w:rPr>
            </w:pPr>
            <w:r>
              <w:rPr>
                <w:rFonts w:hint="default"/>
                <w:color w:val="auto"/>
                <w:u w:val="single"/>
                <w:lang w:val="en-US" w:eastAsia="zh-CN"/>
              </w:rPr>
              <w:t>废水</w:t>
            </w:r>
          </w:p>
        </w:tc>
        <w:tc>
          <w:tcPr>
            <w:tcW w:w="714" w:type="pct"/>
            <w:tcBorders>
              <w:tl2br w:val="nil"/>
              <w:tr2bl w:val="nil"/>
            </w:tcBorders>
            <w:noWrap w:val="0"/>
            <w:vAlign w:val="center"/>
          </w:tcPr>
          <w:p>
            <w:pPr>
              <w:pStyle w:val="35"/>
              <w:bidi w:val="0"/>
              <w:rPr>
                <w:rFonts w:hint="default"/>
                <w:color w:val="auto"/>
                <w:u w:val="single"/>
              </w:rPr>
            </w:pPr>
            <w:r>
              <w:rPr>
                <w:rFonts w:hint="default"/>
                <w:color w:val="auto"/>
                <w:u w:val="single"/>
                <w:lang w:val="en-US" w:eastAsia="zh-CN"/>
              </w:rPr>
              <w:t>废水量（m</w:t>
            </w:r>
            <w:r>
              <w:rPr>
                <w:rFonts w:hint="default"/>
                <w:color w:val="auto"/>
                <w:u w:val="single"/>
                <w:vertAlign w:val="superscript"/>
                <w:lang w:val="en-US" w:eastAsia="zh-CN"/>
              </w:rPr>
              <w:t>3</w:t>
            </w:r>
            <w:r>
              <w:rPr>
                <w:rFonts w:hint="default"/>
                <w:color w:val="auto"/>
                <w:u w:val="single"/>
                <w:lang w:val="en-US" w:eastAsia="zh-CN"/>
              </w:rPr>
              <w:t>/</w:t>
            </w:r>
            <w:r>
              <w:rPr>
                <w:rFonts w:hint="eastAsia"/>
                <w:color w:val="auto"/>
                <w:u w:val="single"/>
                <w:lang w:val="en-US" w:eastAsia="zh-CN"/>
              </w:rPr>
              <w:t>a</w:t>
            </w:r>
            <w:r>
              <w:rPr>
                <w:rFonts w:hint="default"/>
                <w:color w:val="auto"/>
                <w:u w:val="single"/>
                <w:lang w:val="en-US" w:eastAsia="zh-CN"/>
              </w:rPr>
              <w:t>）</w:t>
            </w:r>
          </w:p>
        </w:tc>
        <w:tc>
          <w:tcPr>
            <w:tcW w:w="714"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4875</w:t>
            </w:r>
          </w:p>
        </w:tc>
        <w:tc>
          <w:tcPr>
            <w:tcW w:w="715"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3708</w:t>
            </w:r>
          </w:p>
        </w:tc>
        <w:tc>
          <w:tcPr>
            <w:tcW w:w="714" w:type="pct"/>
            <w:tcBorders>
              <w:tl2br w:val="nil"/>
              <w:tr2bl w:val="nil"/>
            </w:tcBorders>
            <w:noWrap w:val="0"/>
            <w:vAlign w:val="center"/>
          </w:tcPr>
          <w:p>
            <w:pPr>
              <w:pStyle w:val="35"/>
              <w:bidi w:val="0"/>
              <w:rPr>
                <w:rFonts w:hint="eastAsia" w:eastAsia="宋体"/>
                <w:color w:val="auto"/>
                <w:u w:val="single"/>
                <w:lang w:val="en-US" w:eastAsia="zh-CN"/>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default"/>
                <w:color w:val="auto"/>
                <w:u w:val="single"/>
                <w:lang w:val="en-US"/>
              </w:rPr>
            </w:pPr>
            <w:r>
              <w:rPr>
                <w:rFonts w:hint="eastAsia"/>
                <w:color w:val="auto"/>
                <w:u w:val="single"/>
                <w:lang w:val="en-US" w:eastAsia="zh-CN"/>
              </w:rPr>
              <w:t>8583</w:t>
            </w:r>
          </w:p>
        </w:tc>
        <w:tc>
          <w:tcPr>
            <w:tcW w:w="714" w:type="pct"/>
            <w:tcBorders>
              <w:tl2br w:val="nil"/>
              <w:tr2bl w:val="nil"/>
            </w:tcBorders>
            <w:noWrap w:val="0"/>
            <w:vAlign w:val="center"/>
          </w:tcPr>
          <w:p>
            <w:pPr>
              <w:pStyle w:val="35"/>
              <w:bidi w:val="0"/>
              <w:rPr>
                <w:rFonts w:hint="default"/>
                <w:color w:val="auto"/>
                <w:u w:val="single"/>
                <w:lang w:val="en-US"/>
              </w:rPr>
            </w:pPr>
            <w:r>
              <w:rPr>
                <w:rFonts w:hint="eastAsia"/>
                <w:color w:val="auto"/>
                <w:u w:val="single"/>
                <w:lang w:val="en-US" w:eastAsia="zh-CN"/>
              </w:rPr>
              <w:t>+3708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苯酚</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0.085</w:t>
            </w:r>
          </w:p>
        </w:tc>
        <w:tc>
          <w:tcPr>
            <w:tcW w:w="715"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eastAsia="宋体"/>
                <w:color w:val="auto"/>
                <w:u w:val="single"/>
                <w:lang w:val="en-US" w:eastAsia="zh-CN"/>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0.085</w:t>
            </w:r>
          </w:p>
        </w:tc>
        <w:tc>
          <w:tcPr>
            <w:tcW w:w="714" w:type="pct"/>
            <w:tcBorders>
              <w:tl2br w:val="nil"/>
              <w:tr2bl w:val="nil"/>
            </w:tcBorders>
            <w:noWrap w:val="0"/>
            <w:vAlign w:val="center"/>
          </w:tcPr>
          <w:p>
            <w:pPr>
              <w:pStyle w:val="35"/>
              <w:bidi w:val="0"/>
              <w:rPr>
                <w:rFonts w:hint="eastAsia" w:eastAsia="宋体"/>
                <w:color w:val="auto"/>
                <w:u w:val="single"/>
                <w:lang w:val="en-US" w:eastAsia="zh-CN"/>
              </w:rPr>
            </w:pPr>
            <w:r>
              <w:rPr>
                <w:rFonts w:hint="eastAsia"/>
                <w:color w:val="auto"/>
                <w:u w:val="singl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甲醛</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0.063</w:t>
            </w:r>
          </w:p>
        </w:tc>
        <w:tc>
          <w:tcPr>
            <w:tcW w:w="715"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eastAsia="宋体"/>
                <w:color w:val="auto"/>
                <w:u w:val="single"/>
                <w:lang w:val="en-US" w:eastAsia="zh-CN"/>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0.063</w:t>
            </w:r>
          </w:p>
        </w:tc>
        <w:tc>
          <w:tcPr>
            <w:tcW w:w="714" w:type="pct"/>
            <w:tcBorders>
              <w:tl2br w:val="nil"/>
              <w:tr2bl w:val="nil"/>
            </w:tcBorders>
            <w:noWrap w:val="0"/>
            <w:vAlign w:val="center"/>
          </w:tcPr>
          <w:p>
            <w:pPr>
              <w:pStyle w:val="35"/>
              <w:bidi w:val="0"/>
              <w:rPr>
                <w:rFonts w:hint="eastAsia" w:eastAsia="宋体"/>
                <w:color w:val="auto"/>
                <w:u w:val="single"/>
                <w:lang w:val="en-US" w:eastAsia="zh-CN"/>
              </w:rPr>
            </w:pPr>
            <w:r>
              <w:rPr>
                <w:rFonts w:hint="eastAsia"/>
                <w:color w:val="auto"/>
                <w:u w:val="singl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714" w:type="pct"/>
            <w:tcBorders>
              <w:tl2br w:val="nil"/>
              <w:tr2bl w:val="nil"/>
            </w:tcBorders>
            <w:noWrap w:val="0"/>
            <w:vAlign w:val="center"/>
          </w:tcPr>
          <w:p>
            <w:pPr>
              <w:pStyle w:val="35"/>
              <w:bidi w:val="0"/>
              <w:rPr>
                <w:rFonts w:hint="default"/>
                <w:color w:val="auto"/>
                <w:u w:val="single"/>
              </w:rPr>
            </w:pPr>
            <w:r>
              <w:rPr>
                <w:rFonts w:hint="default"/>
                <w:color w:val="auto"/>
                <w:u w:val="single"/>
                <w:lang w:val="en-US" w:eastAsia="zh-CN"/>
              </w:rPr>
              <w:t>COD</w:t>
            </w:r>
          </w:p>
        </w:tc>
        <w:tc>
          <w:tcPr>
            <w:tcW w:w="714" w:type="pct"/>
            <w:tcBorders>
              <w:tl2br w:val="nil"/>
              <w:tr2bl w:val="nil"/>
            </w:tcBorders>
            <w:noWrap w:val="0"/>
            <w:vAlign w:val="center"/>
          </w:tcPr>
          <w:p>
            <w:pPr>
              <w:pStyle w:val="35"/>
              <w:bidi w:val="0"/>
              <w:rPr>
                <w:rFonts w:hint="default"/>
                <w:color w:val="auto"/>
                <w:u w:val="single"/>
                <w:lang w:val="en-US"/>
              </w:rPr>
            </w:pPr>
            <w:r>
              <w:rPr>
                <w:rFonts w:hint="eastAsia"/>
                <w:color w:val="auto"/>
                <w:u w:val="single"/>
                <w:lang w:val="en-US" w:eastAsia="zh-CN"/>
              </w:rPr>
              <w:t>0.244</w:t>
            </w:r>
          </w:p>
        </w:tc>
        <w:tc>
          <w:tcPr>
            <w:tcW w:w="715"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0.185</w:t>
            </w:r>
          </w:p>
        </w:tc>
        <w:tc>
          <w:tcPr>
            <w:tcW w:w="714" w:type="pct"/>
            <w:tcBorders>
              <w:tl2br w:val="nil"/>
              <w:tr2bl w:val="nil"/>
            </w:tcBorders>
            <w:noWrap w:val="0"/>
            <w:vAlign w:val="center"/>
          </w:tcPr>
          <w:p>
            <w:pPr>
              <w:pStyle w:val="35"/>
              <w:bidi w:val="0"/>
              <w:rPr>
                <w:rFonts w:hint="eastAsia" w:eastAsia="宋体"/>
                <w:color w:val="auto"/>
                <w:u w:val="single"/>
                <w:lang w:val="en-US" w:eastAsia="zh-CN"/>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default"/>
                <w:color w:val="auto"/>
                <w:u w:val="single"/>
                <w:lang w:val="en-US"/>
              </w:rPr>
            </w:pPr>
            <w:r>
              <w:rPr>
                <w:rFonts w:hint="eastAsia"/>
                <w:color w:val="auto"/>
                <w:u w:val="single"/>
                <w:lang w:val="en-US" w:eastAsia="zh-CN"/>
              </w:rPr>
              <w:t>0.429</w:t>
            </w:r>
          </w:p>
        </w:tc>
        <w:tc>
          <w:tcPr>
            <w:tcW w:w="1259" w:type="dxa"/>
            <w:tcBorders>
              <w:tl2br w:val="nil"/>
              <w:tr2bl w:val="nil"/>
            </w:tcBorders>
            <w:noWrap w:val="0"/>
            <w:vAlign w:val="center"/>
          </w:tcPr>
          <w:p>
            <w:pPr>
              <w:pStyle w:val="35"/>
              <w:bidi w:val="0"/>
              <w:ind w:firstLine="0" w:firstLineChars="0"/>
              <w:rPr>
                <w:rFonts w:hint="default"/>
                <w:color w:val="auto"/>
                <w:u w:val="single"/>
                <w:lang w:val="en-US"/>
              </w:rPr>
            </w:pPr>
            <w:r>
              <w:rPr>
                <w:rFonts w:hint="eastAsia"/>
                <w:color w:val="auto"/>
                <w:u w:val="single"/>
                <w:lang w:val="en-US" w:eastAsia="zh-CN"/>
              </w:rPr>
              <w:t>+0.185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continue"/>
            <w:tcBorders>
              <w:tl2br w:val="nil"/>
              <w:tr2bl w:val="nil"/>
            </w:tcBorders>
            <w:noWrap w:val="0"/>
            <w:vAlign w:val="center"/>
          </w:tcPr>
          <w:p>
            <w:pPr>
              <w:pStyle w:val="35"/>
              <w:bidi w:val="0"/>
              <w:rPr>
                <w:rFonts w:hint="default"/>
                <w:color w:val="auto"/>
                <w:u w:val="single"/>
              </w:rPr>
            </w:pPr>
          </w:p>
        </w:tc>
        <w:tc>
          <w:tcPr>
            <w:tcW w:w="714" w:type="pct"/>
            <w:tcBorders>
              <w:tl2br w:val="nil"/>
              <w:tr2bl w:val="nil"/>
            </w:tcBorders>
            <w:noWrap w:val="0"/>
            <w:vAlign w:val="center"/>
          </w:tcPr>
          <w:p>
            <w:pPr>
              <w:pStyle w:val="35"/>
              <w:bidi w:val="0"/>
              <w:rPr>
                <w:rFonts w:hint="default"/>
                <w:color w:val="auto"/>
                <w:u w:val="single"/>
              </w:rPr>
            </w:pPr>
            <w:r>
              <w:rPr>
                <w:rFonts w:hint="default"/>
                <w:color w:val="auto"/>
                <w:u w:val="single"/>
                <w:lang w:val="en-US" w:eastAsia="zh-CN"/>
              </w:rPr>
              <w:t>氨氮</w:t>
            </w:r>
          </w:p>
        </w:tc>
        <w:tc>
          <w:tcPr>
            <w:tcW w:w="714" w:type="pct"/>
            <w:tcBorders>
              <w:tl2br w:val="nil"/>
              <w:tr2bl w:val="nil"/>
            </w:tcBorders>
            <w:noWrap w:val="0"/>
            <w:vAlign w:val="center"/>
          </w:tcPr>
          <w:p>
            <w:pPr>
              <w:pStyle w:val="35"/>
              <w:bidi w:val="0"/>
              <w:rPr>
                <w:rFonts w:hint="default"/>
                <w:color w:val="auto"/>
                <w:u w:val="single"/>
                <w:lang w:val="en-US"/>
              </w:rPr>
            </w:pPr>
            <w:r>
              <w:rPr>
                <w:rFonts w:hint="eastAsia"/>
                <w:color w:val="auto"/>
                <w:u w:val="single"/>
                <w:lang w:val="en-US" w:eastAsia="zh-CN"/>
              </w:rPr>
              <w:t>0.024</w:t>
            </w:r>
          </w:p>
        </w:tc>
        <w:tc>
          <w:tcPr>
            <w:tcW w:w="715"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0.019</w:t>
            </w:r>
          </w:p>
        </w:tc>
        <w:tc>
          <w:tcPr>
            <w:tcW w:w="714" w:type="pct"/>
            <w:tcBorders>
              <w:tl2br w:val="nil"/>
              <w:tr2bl w:val="nil"/>
            </w:tcBorders>
            <w:noWrap w:val="0"/>
            <w:vAlign w:val="center"/>
          </w:tcPr>
          <w:p>
            <w:pPr>
              <w:pStyle w:val="35"/>
              <w:bidi w:val="0"/>
              <w:rPr>
                <w:rFonts w:hint="eastAsia" w:eastAsia="宋体"/>
                <w:color w:val="auto"/>
                <w:u w:val="single"/>
                <w:lang w:val="en-US" w:eastAsia="zh-CN"/>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default"/>
                <w:color w:val="auto"/>
                <w:u w:val="single"/>
                <w:lang w:val="en-US"/>
              </w:rPr>
            </w:pPr>
            <w:r>
              <w:rPr>
                <w:rFonts w:hint="eastAsia"/>
                <w:color w:val="auto"/>
                <w:u w:val="single"/>
                <w:lang w:val="en-US" w:eastAsia="zh-CN"/>
              </w:rPr>
              <w:t>0.043</w:t>
            </w:r>
          </w:p>
        </w:tc>
        <w:tc>
          <w:tcPr>
            <w:tcW w:w="1259" w:type="dxa"/>
            <w:tcBorders>
              <w:tl2br w:val="nil"/>
              <w:tr2bl w:val="nil"/>
            </w:tcBorders>
            <w:noWrap w:val="0"/>
            <w:vAlign w:val="center"/>
          </w:tcPr>
          <w:p>
            <w:pPr>
              <w:pStyle w:val="35"/>
              <w:bidi w:val="0"/>
              <w:ind w:firstLine="0" w:firstLineChars="0"/>
              <w:rPr>
                <w:rFonts w:hint="default"/>
                <w:color w:val="auto"/>
                <w:u w:val="single"/>
                <w:lang w:val="en-US"/>
              </w:rPr>
            </w:pPr>
            <w:r>
              <w:rPr>
                <w:rFonts w:hint="eastAsia"/>
                <w:color w:val="auto"/>
                <w:u w:val="single"/>
                <w:lang w:val="en-US" w:eastAsia="zh-CN"/>
              </w:rPr>
              <w:t>+0.019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restar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固体</w:t>
            </w:r>
          </w:p>
          <w:p>
            <w:pPr>
              <w:pStyle w:val="35"/>
              <w:bidi w:val="0"/>
              <w:rPr>
                <w:rFonts w:hint="eastAsia"/>
                <w:color w:val="auto"/>
                <w:u w:val="single"/>
              </w:rPr>
            </w:pPr>
            <w:r>
              <w:rPr>
                <w:rFonts w:hint="eastAsia"/>
                <w:color w:val="auto"/>
                <w:u w:val="single"/>
                <w:lang w:val="en-US" w:eastAsia="zh-CN"/>
              </w:rPr>
              <w:t>废物</w:t>
            </w: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生活垃圾</w:t>
            </w:r>
          </w:p>
        </w:tc>
        <w:tc>
          <w:tcPr>
            <w:tcW w:w="714"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0</w:t>
            </w:r>
          </w:p>
        </w:tc>
        <w:tc>
          <w:tcPr>
            <w:tcW w:w="715"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eastAsia"/>
                <w:color w:val="auto"/>
                <w:u w:val="single"/>
                <w:lang w:val="en-US" w:eastAsia="zh-CN"/>
              </w:rPr>
            </w:pPr>
            <w:r>
              <w:rPr>
                <w:rFonts w:hint="eastAsia"/>
                <w:color w:val="auto"/>
                <w:u w:val="singl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13" w:type="pct"/>
            <w:vMerge w:val="continue"/>
            <w:tcBorders>
              <w:tl2br w:val="nil"/>
              <w:tr2bl w:val="nil"/>
            </w:tcBorders>
            <w:noWrap w:val="0"/>
            <w:vAlign w:val="center"/>
          </w:tcPr>
          <w:p>
            <w:pPr>
              <w:pStyle w:val="35"/>
              <w:bidi w:val="0"/>
              <w:rPr>
                <w:rFonts w:hint="eastAsia"/>
                <w:color w:val="auto"/>
                <w:u w:val="single"/>
              </w:rPr>
            </w:pPr>
          </w:p>
        </w:tc>
        <w:tc>
          <w:tcPr>
            <w:tcW w:w="714"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危险废物</w:t>
            </w:r>
          </w:p>
        </w:tc>
        <w:tc>
          <w:tcPr>
            <w:tcW w:w="714"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w:t>
            </w:r>
          </w:p>
        </w:tc>
        <w:tc>
          <w:tcPr>
            <w:tcW w:w="715"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w:t>
            </w:r>
          </w:p>
        </w:tc>
        <w:tc>
          <w:tcPr>
            <w:tcW w:w="714"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w:t>
            </w:r>
          </w:p>
        </w:tc>
      </w:tr>
    </w:tbl>
    <w:p>
      <w:pPr>
        <w:pStyle w:val="33"/>
        <w:bidi w:val="0"/>
        <w:rPr>
          <w:rFonts w:hint="default"/>
          <w:b/>
          <w:bCs/>
          <w:color w:val="auto"/>
          <w:sz w:val="21"/>
          <w:szCs w:val="21"/>
          <w:u w:val="single"/>
          <w:lang w:val="en-US" w:eastAsia="zh-CN"/>
        </w:rPr>
      </w:pPr>
      <w:r>
        <w:rPr>
          <w:rFonts w:hint="eastAsia"/>
          <w:b/>
          <w:bCs/>
          <w:color w:val="auto"/>
          <w:sz w:val="21"/>
          <w:szCs w:val="21"/>
          <w:u w:val="single"/>
          <w:lang w:val="en-US" w:eastAsia="zh-CN"/>
        </w:rPr>
        <w:t>注：项目废水最终排入云溪区污水处理厂进行处理后排入长江，出水达到《城镇污水处理厂污染物排放标准》(GB18918-2002)一级A标准，COD和氨氮排放总量以《城镇污水处理厂污染物排放标准》(GB18918-2002)一级A标准计算。</w:t>
      </w:r>
    </w:p>
    <w:p>
      <w:pPr>
        <w:pStyle w:val="33"/>
        <w:bidi w:val="0"/>
        <w:rPr>
          <w:rFonts w:hint="default"/>
          <w:color w:val="auto"/>
          <w:u w:val="single"/>
          <w:lang w:val="en-US" w:eastAsia="zh-CN"/>
        </w:rPr>
      </w:pPr>
      <w:r>
        <w:rPr>
          <w:rFonts w:hint="eastAsia"/>
          <w:color w:val="auto"/>
          <w:u w:val="single"/>
          <w:lang w:val="en-US" w:eastAsia="zh-CN"/>
        </w:rPr>
        <w:t>（3）污染物核算说明</w:t>
      </w:r>
    </w:p>
    <w:p>
      <w:pPr>
        <w:pStyle w:val="33"/>
        <w:bidi w:val="0"/>
        <w:rPr>
          <w:rFonts w:hint="default"/>
          <w:color w:val="auto"/>
          <w:u w:val="single"/>
          <w:lang w:val="en-US" w:eastAsia="zh-CN"/>
        </w:rPr>
        <w:sectPr>
          <w:pgSz w:w="11906" w:h="16838"/>
          <w:pgMar w:top="1417" w:right="1417" w:bottom="1134" w:left="1701" w:header="851" w:footer="992" w:gutter="0"/>
          <w:pgBorders>
            <w:top w:val="none" w:sz="0" w:space="0"/>
            <w:left w:val="none" w:sz="0" w:space="0"/>
            <w:bottom w:val="none" w:sz="0" w:space="0"/>
            <w:right w:val="none" w:sz="0" w:space="0"/>
          </w:pgBorders>
          <w:pgNumType w:fmt="numberInDash"/>
          <w:cols w:space="720" w:num="1"/>
          <w:rtlGutter w:val="0"/>
          <w:docGrid w:linePitch="312" w:charSpace="0"/>
        </w:sectPr>
      </w:pPr>
      <w:r>
        <w:rPr>
          <w:rFonts w:hint="eastAsia"/>
          <w:color w:val="auto"/>
          <w:u w:val="single"/>
          <w:lang w:val="en-US" w:eastAsia="zh-CN"/>
        </w:rPr>
        <w:t>由于该套精馏塔装置生产碳酸二甲酯产品产量和产污明显多于生产环己烷、环己酮、苯乙烯，因此本次环评分析以最大环境影响情况分析，即该套精馏塔装置全年生产时间全部生产碳酸二甲酯产品（15000t/a），计算项目产排污情况及环境影响分析。</w:t>
      </w:r>
    </w:p>
    <w:p>
      <w:pPr>
        <w:pStyle w:val="30"/>
        <w:bidi w:val="0"/>
        <w:jc w:val="center"/>
        <w:rPr>
          <w:rFonts w:hint="eastAsia"/>
          <w:b/>
          <w:color w:val="auto"/>
          <w:lang w:val="en-US" w:eastAsia="zh-CN"/>
        </w:rPr>
      </w:pPr>
      <w:bookmarkStart w:id="113" w:name="_Toc40549346"/>
      <w:bookmarkStart w:id="114" w:name="_Toc12495"/>
      <w:bookmarkStart w:id="115" w:name="_Toc14140"/>
      <w:bookmarkStart w:id="116" w:name="_Toc511078890"/>
      <w:bookmarkStart w:id="117" w:name="_Toc514052089"/>
      <w:bookmarkStart w:id="118" w:name="_Toc148304611"/>
      <w:bookmarkStart w:id="119" w:name="_Toc514166484"/>
      <w:bookmarkStart w:id="120" w:name="_Toc152956301"/>
      <w:bookmarkStart w:id="121" w:name="_Toc5709"/>
      <w:bookmarkStart w:id="122" w:name="_Toc1957"/>
      <w:bookmarkStart w:id="123" w:name="_Toc25280"/>
      <w:bookmarkStart w:id="124" w:name="_Toc27414"/>
      <w:r>
        <w:rPr>
          <w:rFonts w:hint="eastAsia"/>
          <w:b/>
          <w:color w:val="auto"/>
          <w:lang w:val="en-US" w:eastAsia="zh-CN"/>
        </w:rPr>
        <w:t>6、环境质量现状</w:t>
      </w:r>
      <w:bookmarkEnd w:id="113"/>
      <w:bookmarkEnd w:id="114"/>
      <w:bookmarkEnd w:id="115"/>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hint="eastAsia" w:ascii="Times New Roman" w:hAnsi="Times New Roman" w:eastAsia="宋体" w:cs="Times New Roman"/>
          <w:b/>
          <w:color w:val="auto"/>
          <w:kern w:val="2"/>
          <w:sz w:val="28"/>
          <w:szCs w:val="28"/>
          <w:lang w:val="en-US" w:eastAsia="zh-CN" w:bidi="ar-SA"/>
        </w:rPr>
      </w:pPr>
      <w:bookmarkStart w:id="125" w:name="_Toc4427"/>
      <w:bookmarkStart w:id="126" w:name="_Toc345063556"/>
      <w:bookmarkStart w:id="127" w:name="_Toc40549347"/>
      <w:bookmarkStart w:id="128" w:name="_Toc23661"/>
      <w:r>
        <w:rPr>
          <w:rFonts w:hint="eastAsia" w:ascii="Times New Roman" w:hAnsi="Times New Roman" w:eastAsia="宋体" w:cs="Times New Roman"/>
          <w:b/>
          <w:color w:val="auto"/>
          <w:kern w:val="2"/>
          <w:sz w:val="28"/>
          <w:szCs w:val="28"/>
          <w:lang w:val="en-US" w:eastAsia="zh-CN" w:bidi="ar-SA"/>
        </w:rPr>
        <w:t>6.1项目区域自然环境概况</w:t>
      </w:r>
      <w:bookmarkEnd w:id="125"/>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hint="default"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6.1.1地理位置</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eastAsia" w:ascii="Times New Roman" w:hAnsi="Times New Roman" w:eastAsia="宋体" w:cs="Times New Roman"/>
          <w:color w:val="auto"/>
          <w:kern w:val="2"/>
          <w:sz w:val="24"/>
          <w:szCs w:val="20"/>
          <w:u w:val="none"/>
          <w:lang w:val="en-US" w:eastAsia="zh-CN" w:bidi="ar-SA"/>
        </w:rPr>
        <w:t>岳阳市位于湖南省的东北部，东径112度至114度，北纬28度至29度之间。岳阳毗邻“两带”(长三角经济带和珠三角经济带)、承接“两圈”(长株潭城市圈和武汉城市圈)，处于长江“黄金水道”与京广铁路两大动脉的交叉点:长江、湘江、资江、沅江、澧江和洞庭湖的汇合点：湘、鄂、赣三省交界的联络点:国家实施“弓箭”型发展战略的受力点，是湖南省“一点一线”发展战略上的优势地区。</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eastAsia" w:ascii="Times New Roman" w:hAnsi="Times New Roman" w:eastAsia="宋体" w:cs="Times New Roman"/>
          <w:color w:val="auto"/>
          <w:kern w:val="2"/>
          <w:sz w:val="24"/>
          <w:szCs w:val="20"/>
          <w:u w:val="none"/>
          <w:lang w:val="en-US" w:eastAsia="zh-CN" w:bidi="ar-SA"/>
        </w:rPr>
        <w:t>云溪区地处岳阳市城区东北部、长江中游南岸，位于东经113</w:t>
      </w:r>
      <w:r>
        <w:rPr>
          <w:rFonts w:hint="default" w:ascii="Times New Roman" w:hAnsi="Times New Roman" w:eastAsia="宋体" w:cs="Times New Roman"/>
          <w:color w:val="auto"/>
          <w:kern w:val="2"/>
          <w:sz w:val="24"/>
          <w:szCs w:val="20"/>
          <w:u w:val="none"/>
          <w:lang w:val="en-US" w:eastAsia="zh-CN" w:bidi="ar-SA"/>
        </w:rPr>
        <w:t>°</w:t>
      </w:r>
      <w:r>
        <w:rPr>
          <w:rFonts w:hint="eastAsia" w:ascii="Times New Roman" w:hAnsi="Times New Roman" w:eastAsia="宋体" w:cs="Times New Roman"/>
          <w:color w:val="auto"/>
          <w:kern w:val="2"/>
          <w:sz w:val="24"/>
          <w:szCs w:val="20"/>
          <w:u w:val="none"/>
          <w:lang w:val="en-US" w:eastAsia="zh-CN" w:bidi="ar-SA"/>
        </w:rPr>
        <w:t>08'48"至113</w:t>
      </w:r>
      <w:r>
        <w:rPr>
          <w:rFonts w:hint="default" w:ascii="Times New Roman" w:hAnsi="Times New Roman" w:eastAsia="宋体" w:cs="Times New Roman"/>
          <w:color w:val="auto"/>
          <w:kern w:val="2"/>
          <w:sz w:val="24"/>
          <w:szCs w:val="20"/>
          <w:u w:val="none"/>
          <w:lang w:val="en-US" w:eastAsia="zh-CN" w:bidi="ar-SA"/>
        </w:rPr>
        <w:t>°</w:t>
      </w:r>
      <w:r>
        <w:rPr>
          <w:rFonts w:hint="eastAsia" w:ascii="Times New Roman" w:hAnsi="Times New Roman" w:eastAsia="宋体" w:cs="Times New Roman"/>
          <w:color w:val="auto"/>
          <w:kern w:val="2"/>
          <w:sz w:val="24"/>
          <w:szCs w:val="20"/>
          <w:u w:val="none"/>
          <w:lang w:val="en-US" w:eastAsia="zh-CN" w:bidi="ar-SA"/>
        </w:rPr>
        <w:t>23'30"、北纬29</w:t>
      </w:r>
      <w:r>
        <w:rPr>
          <w:rFonts w:hint="default" w:ascii="Times New Roman" w:hAnsi="Times New Roman" w:eastAsia="宋体" w:cs="Times New Roman"/>
          <w:color w:val="auto"/>
          <w:kern w:val="2"/>
          <w:sz w:val="24"/>
          <w:szCs w:val="20"/>
          <w:u w:val="none"/>
          <w:lang w:val="en-US" w:eastAsia="zh-CN" w:bidi="ar-SA"/>
        </w:rPr>
        <w:t>°</w:t>
      </w:r>
      <w:r>
        <w:rPr>
          <w:rFonts w:hint="eastAsia" w:ascii="Times New Roman" w:hAnsi="Times New Roman" w:eastAsia="宋体" w:cs="Times New Roman"/>
          <w:color w:val="auto"/>
          <w:kern w:val="2"/>
          <w:sz w:val="24"/>
          <w:szCs w:val="20"/>
          <w:u w:val="none"/>
          <w:lang w:val="en-US" w:eastAsia="zh-CN" w:bidi="ar-SA"/>
        </w:rPr>
        <w:t>23'56"至29</w:t>
      </w:r>
      <w:r>
        <w:rPr>
          <w:rFonts w:hint="default" w:ascii="Times New Roman" w:hAnsi="Times New Roman" w:eastAsia="宋体" w:cs="Times New Roman"/>
          <w:color w:val="auto"/>
          <w:kern w:val="2"/>
          <w:sz w:val="24"/>
          <w:szCs w:val="20"/>
          <w:u w:val="none"/>
          <w:lang w:val="en-US" w:eastAsia="zh-CN" w:bidi="ar-SA"/>
        </w:rPr>
        <w:t>°</w:t>
      </w:r>
      <w:r>
        <w:rPr>
          <w:rFonts w:hint="eastAsia" w:ascii="Times New Roman" w:hAnsi="Times New Roman" w:eastAsia="宋体" w:cs="Times New Roman"/>
          <w:color w:val="auto"/>
          <w:kern w:val="2"/>
          <w:sz w:val="24"/>
          <w:szCs w:val="20"/>
          <w:u w:val="none"/>
          <w:lang w:val="en-US" w:eastAsia="zh-CN" w:bidi="ar-SA"/>
        </w:rPr>
        <w:t>38'22"之间，西濒东洞庭湖，东与临湘市接壤，西北与湖北省监利县.洪湖市隔江相望，南部与岳阳楼区和岳阳经济开发区毗邻，总面积403km</w:t>
      </w:r>
      <w:r>
        <w:rPr>
          <w:rFonts w:hint="eastAsia" w:ascii="Times New Roman" w:hAnsi="Times New Roman" w:eastAsia="宋体" w:cs="Times New Roman"/>
          <w:color w:val="auto"/>
          <w:kern w:val="2"/>
          <w:sz w:val="24"/>
          <w:szCs w:val="20"/>
          <w:u w:val="none"/>
          <w:vertAlign w:val="superscript"/>
          <w:lang w:val="en-US" w:eastAsia="zh-CN" w:bidi="ar-SA"/>
        </w:rPr>
        <w:t>2</w:t>
      </w:r>
      <w:r>
        <w:rPr>
          <w:rFonts w:hint="eastAsia" w:ascii="Times New Roman" w:hAnsi="Times New Roman" w:eastAsia="宋体" w:cs="Times New Roman"/>
          <w:color w:val="auto"/>
          <w:kern w:val="2"/>
          <w:sz w:val="24"/>
          <w:szCs w:val="20"/>
          <w:u w:val="none"/>
          <w:vertAlign w:val="baseline"/>
          <w:lang w:val="en-US" w:eastAsia="zh-CN" w:bidi="ar-SA"/>
        </w:rPr>
        <w:t>。</w:t>
      </w:r>
      <w:r>
        <w:rPr>
          <w:rFonts w:hint="eastAsia" w:ascii="Times New Roman" w:hAnsi="Times New Roman" w:eastAsia="宋体" w:cs="Times New Roman"/>
          <w:color w:val="auto"/>
          <w:kern w:val="2"/>
          <w:sz w:val="24"/>
          <w:szCs w:val="20"/>
          <w:u w:val="none"/>
          <w:lang w:val="en-US" w:eastAsia="zh-CN" w:bidi="ar-SA"/>
        </w:rPr>
        <w:t>云溪区属两县(区)通衢之地，交通优势十分突出。107国道、京广铁路、武广客运专线、荆岳长江大桥、随岳高速公路均穿境而过，京珠高速公路也紧邻区境。</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u w:val="none"/>
          <w:lang w:val="en-US" w:eastAsia="zh-CN" w:bidi="ar-SA"/>
        </w:rPr>
        <w:t>本项目位于湖南岳阳市云溪区西郊的</w:t>
      </w:r>
      <w:r>
        <w:rPr>
          <w:rFonts w:hint="eastAsia" w:ascii="Times New Roman" w:hAnsi="Times New Roman" w:eastAsia="宋体" w:cs="Times New Roman"/>
          <w:color w:val="auto"/>
          <w:kern w:val="2"/>
          <w:sz w:val="24"/>
          <w:szCs w:val="20"/>
          <w:lang w:val="en-US" w:eastAsia="zh-CN" w:bidi="ar-SA"/>
        </w:rPr>
        <w:t>岳阳绿色化工产业园(原湖南岳阳云溪工业园)，项目地理位置图详见附图1.</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hint="eastAsia"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6.1.2 地形地貌</w:t>
      </w:r>
    </w:p>
    <w:p>
      <w:pPr>
        <w:widowControl w:val="0"/>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云溪区属幕阜山脉向江汉平原过渡地带，地貌多样、交相穿插，整个地势由东南向西北倾斜。境内最高海拔点为云溪乡上清溪村之小木岭，海拔497.6米</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最低海拔点为永济乡之臣子湖，海拔21.4米。一般海拔在40</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60米之间。地表组成物质65%为变质岩,其余为沙质岩,土壤组成以第四纪红色粘土和第四纪全新河、湖沉积物为主。第四纪红色粘土主要分布在境内东南边，适合林、果、茶等作物开发。第四纪全新河、湖沉积物主要分布在西北长江沿线，适合水稻、瓜菜等作物种植。</w:t>
      </w:r>
    </w:p>
    <w:p>
      <w:pPr>
        <w:widowControl w:val="0"/>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工业园属低山丘陵地形，用地多为山地和河湖，园区内丘岗与盆地相穿插、平原与湖泊交错，海拔高程40</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60米，最大高差为35米左右。整个园区地势呈西北高，东南低，由北向南倾斜。工业园东、北部主要为丘陵，有</w:t>
      </w:r>
      <w:r>
        <w:rPr>
          <w:rFonts w:hint="eastAsia" w:ascii="Times New Roman" w:hAnsi="Times New Roman" w:eastAsia="宋体" w:cs="Times New Roman"/>
          <w:color w:val="auto"/>
          <w:kern w:val="2"/>
          <w:sz w:val="24"/>
          <w:szCs w:val="20"/>
          <w:u w:val="none"/>
          <w:lang w:val="en-US" w:eastAsia="zh-CN" w:bidi="ar-SA"/>
        </w:rPr>
        <w:t>一</w:t>
      </w:r>
      <w:r>
        <w:rPr>
          <w:rFonts w:hint="default" w:ascii="Times New Roman" w:hAnsi="Times New Roman" w:eastAsia="宋体" w:cs="Times New Roman"/>
          <w:color w:val="auto"/>
          <w:kern w:val="2"/>
          <w:sz w:val="24"/>
          <w:szCs w:val="20"/>
          <w:u w:val="none"/>
          <w:lang w:val="en-US" w:eastAsia="zh-CN" w:bidi="ar-SA"/>
        </w:rPr>
        <w:t>定的植被，工业园西侧有松阳湖，水体功能为景观用水。根据《中国地震烈度区划图》，该区地震设防烈度为6度。</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hint="eastAsia"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6.1.3水文资料</w:t>
      </w:r>
    </w:p>
    <w:p>
      <w:pPr>
        <w:widowControl w:val="0"/>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岳阳市水资源丰富，湖泊众多，河网密布，水系发达，洞庭湖纳湘、资、沅、澧四水汇入长江，素有洞庭水乡之称。河流主要属洞庭湖水系，其次是长江水系和鄱阳湖水系。洞庭湖水系流域面积占全市总面积的91</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05%</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长江水系占8.92%</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鄱阳湖水系占0.02%。长5km以上河流273条</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大于10km的146条,大于50km的11条。除洞庭湖外，境内有大小内湖165个，总湖泊面积335.5km</w:t>
      </w:r>
      <w:r>
        <w:rPr>
          <w:rFonts w:hint="default" w:ascii="Times New Roman" w:hAnsi="Times New Roman" w:eastAsia="宋体" w:cs="Times New Roman"/>
          <w:color w:val="auto"/>
          <w:kern w:val="2"/>
          <w:sz w:val="24"/>
          <w:szCs w:val="20"/>
          <w:u w:val="none"/>
          <w:vertAlign w:val="superscript"/>
          <w:lang w:val="en-US" w:eastAsia="zh-CN" w:bidi="ar-SA"/>
        </w:rPr>
        <w:t>2</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总湖容10.9亿km</w:t>
      </w:r>
      <w:r>
        <w:rPr>
          <w:rFonts w:hint="eastAsia" w:ascii="Times New Roman" w:hAnsi="Times New Roman" w:eastAsia="宋体" w:cs="Times New Roman"/>
          <w:color w:val="auto"/>
          <w:kern w:val="2"/>
          <w:sz w:val="24"/>
          <w:szCs w:val="20"/>
          <w:u w:val="none"/>
          <w:vertAlign w:val="superscript"/>
          <w:lang w:val="en-US" w:eastAsia="zh-CN" w:bidi="ar-SA"/>
        </w:rPr>
        <w:t>2</w:t>
      </w:r>
      <w:r>
        <w:rPr>
          <w:rFonts w:hint="default" w:ascii="Times New Roman" w:hAnsi="Times New Roman" w:eastAsia="宋体" w:cs="Times New Roman"/>
          <w:color w:val="auto"/>
          <w:kern w:val="2"/>
          <w:sz w:val="24"/>
          <w:szCs w:val="20"/>
          <w:u w:val="none"/>
          <w:lang w:val="en-US" w:eastAsia="zh-CN" w:bidi="ar-SA"/>
        </w:rPr>
        <w:t>。</w:t>
      </w:r>
    </w:p>
    <w:p>
      <w:pPr>
        <w:widowControl w:val="0"/>
        <w:numPr>
          <w:ilvl w:val="0"/>
          <w:numId w:val="3"/>
        </w:numPr>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松阳湖水域</w:t>
      </w:r>
    </w:p>
    <w:p>
      <w:pPr>
        <w:widowControl w:val="0"/>
        <w:numPr>
          <w:ilvl w:val="0"/>
          <w:numId w:val="0"/>
        </w:numPr>
        <w:bidi w:val="0"/>
        <w:spacing w:before="20" w:line="360" w:lineRule="auto"/>
        <w:ind w:firstLine="960" w:firstLineChars="400"/>
        <w:jc w:val="both"/>
        <w:rPr>
          <w:rFonts w:hint="eastAsia"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湖面积</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丰水期600-8000亩左右:</w:t>
      </w:r>
      <w:r>
        <w:rPr>
          <w:rFonts w:hint="eastAsia" w:ascii="Times New Roman" w:hAnsi="Times New Roman" w:eastAsia="宋体" w:cs="Times New Roman"/>
          <w:color w:val="auto"/>
          <w:kern w:val="2"/>
          <w:sz w:val="24"/>
          <w:szCs w:val="20"/>
          <w:u w:val="none"/>
          <w:lang w:val="en-US" w:eastAsia="zh-CN" w:bidi="ar-SA"/>
        </w:rPr>
        <w:t xml:space="preserve">    枯水期：500-6000亩左右;</w:t>
      </w:r>
    </w:p>
    <w:p>
      <w:pPr>
        <w:widowControl w:val="0"/>
        <w:numPr>
          <w:ilvl w:val="0"/>
          <w:numId w:val="0"/>
        </w:numPr>
        <w:bidi w:val="0"/>
        <w:spacing w:before="20" w:line="360" w:lineRule="auto"/>
        <w:ind w:firstLine="960" w:firstLineChars="400"/>
        <w:jc w:val="both"/>
        <w:rPr>
          <w:rFonts w:hint="eastAsia"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水位</w:t>
      </w:r>
      <w:r>
        <w:rPr>
          <w:rFonts w:hint="eastAsia" w:ascii="Times New Roman" w:hAnsi="Times New Roman" w:eastAsia="宋体" w:cs="Times New Roman"/>
          <w:color w:val="auto"/>
          <w:kern w:val="2"/>
          <w:sz w:val="24"/>
          <w:szCs w:val="20"/>
          <w:u w:val="none"/>
          <w:lang w:val="en-US" w:eastAsia="zh-CN" w:bidi="ar-SA"/>
        </w:rPr>
        <w:t>：最深水位5-6m左右        平均水位：3-4m左右</w:t>
      </w:r>
    </w:p>
    <w:p>
      <w:pPr>
        <w:widowControl w:val="0"/>
        <w:numPr>
          <w:ilvl w:val="0"/>
          <w:numId w:val="0"/>
        </w:numPr>
        <w:bidi w:val="0"/>
        <w:spacing w:before="20" w:line="360" w:lineRule="auto"/>
        <w:ind w:firstLine="960" w:firstLineChars="4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蓄水量</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丰水期21 万m</w:t>
      </w:r>
      <w:r>
        <w:rPr>
          <w:rFonts w:hint="default" w:ascii="Times New Roman" w:hAnsi="Times New Roman" w:eastAsia="宋体" w:cs="Times New Roman"/>
          <w:color w:val="auto"/>
          <w:kern w:val="2"/>
          <w:sz w:val="24"/>
          <w:szCs w:val="20"/>
          <w:u w:val="none"/>
          <w:vertAlign w:val="superscript"/>
          <w:lang w:val="en-US" w:eastAsia="zh-CN" w:bidi="ar-SA"/>
        </w:rPr>
        <w:t>3</w:t>
      </w:r>
      <w:r>
        <w:rPr>
          <w:rFonts w:hint="default" w:ascii="Times New Roman" w:hAnsi="Times New Roman" w:eastAsia="宋体" w:cs="Times New Roman"/>
          <w:color w:val="auto"/>
          <w:kern w:val="2"/>
          <w:sz w:val="24"/>
          <w:szCs w:val="20"/>
          <w:u w:val="none"/>
          <w:lang w:val="en-US" w:eastAsia="zh-CN" w:bidi="ar-SA"/>
        </w:rPr>
        <w:t>左右</w:t>
      </w:r>
      <w:r>
        <w:rPr>
          <w:rFonts w:hint="eastAsia" w:ascii="Times New Roman" w:hAnsi="Times New Roman" w:eastAsia="宋体" w:cs="Times New Roman"/>
          <w:color w:val="auto"/>
          <w:kern w:val="2"/>
          <w:sz w:val="24"/>
          <w:szCs w:val="20"/>
          <w:u w:val="none"/>
          <w:lang w:val="en-US" w:eastAsia="zh-CN" w:bidi="ar-SA"/>
        </w:rPr>
        <w:t xml:space="preserve">       </w:t>
      </w:r>
      <w:r>
        <w:rPr>
          <w:rFonts w:hint="default" w:ascii="Times New Roman" w:hAnsi="Times New Roman" w:eastAsia="宋体" w:cs="Times New Roman"/>
          <w:color w:val="auto"/>
          <w:kern w:val="2"/>
          <w:sz w:val="24"/>
          <w:szCs w:val="20"/>
          <w:u w:val="none"/>
          <w:lang w:val="en-US" w:eastAsia="zh-CN" w:bidi="ar-SA"/>
        </w:rPr>
        <w:t>枯水期12万m</w:t>
      </w:r>
      <w:r>
        <w:rPr>
          <w:rFonts w:hint="default" w:ascii="Times New Roman" w:hAnsi="Times New Roman" w:eastAsia="宋体" w:cs="Times New Roman"/>
          <w:color w:val="auto"/>
          <w:kern w:val="2"/>
          <w:sz w:val="24"/>
          <w:szCs w:val="20"/>
          <w:u w:val="none"/>
          <w:vertAlign w:val="superscript"/>
          <w:lang w:val="en-US" w:eastAsia="zh-CN" w:bidi="ar-SA"/>
        </w:rPr>
        <w:t>3</w:t>
      </w:r>
      <w:r>
        <w:rPr>
          <w:rFonts w:hint="default" w:ascii="Times New Roman" w:hAnsi="Times New Roman" w:eastAsia="宋体" w:cs="Times New Roman"/>
          <w:color w:val="auto"/>
          <w:kern w:val="2"/>
          <w:sz w:val="24"/>
          <w:szCs w:val="20"/>
          <w:u w:val="none"/>
          <w:lang w:val="en-US" w:eastAsia="zh-CN" w:bidi="ar-SA"/>
        </w:rPr>
        <w:t>左右</w:t>
      </w:r>
    </w:p>
    <w:p>
      <w:pPr>
        <w:widowControl w:val="0"/>
        <w:numPr>
          <w:ilvl w:val="0"/>
          <w:numId w:val="3"/>
        </w:numPr>
        <w:bidi w:val="0"/>
        <w:spacing w:before="20" w:line="360" w:lineRule="auto"/>
        <w:ind w:left="0" w:leftChars="0"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长江岳阳段</w:t>
      </w:r>
    </w:p>
    <w:p>
      <w:pPr>
        <w:widowControl w:val="0"/>
        <w:numPr>
          <w:ilvl w:val="0"/>
          <w:numId w:val="0"/>
        </w:numPr>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松阳湖水域北濒临并汇入长江。长江螺山段水文特征对其影响很大，根据长江螺山水文站水文数据，长江在该段主要水文参数如下</w:t>
      </w:r>
      <w:r>
        <w:rPr>
          <w:rFonts w:hint="eastAsia" w:ascii="Times New Roman" w:hAnsi="Times New Roman" w:eastAsia="宋体" w:cs="Times New Roman"/>
          <w:color w:val="auto"/>
          <w:kern w:val="2"/>
          <w:sz w:val="24"/>
          <w:szCs w:val="20"/>
          <w:u w:val="none"/>
          <w:lang w:val="en-US" w:eastAsia="zh-CN" w:bidi="ar-SA"/>
        </w:rPr>
        <w:t>：</w:t>
      </w:r>
    </w:p>
    <w:p>
      <w:pPr>
        <w:widowControl w:val="0"/>
        <w:numPr>
          <w:ilvl w:val="0"/>
          <w:numId w:val="0"/>
        </w:numPr>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流量:多年平均流量20300m</w:t>
      </w:r>
      <w:r>
        <w:rPr>
          <w:rFonts w:hint="default" w:ascii="Times New Roman" w:hAnsi="Times New Roman" w:eastAsia="宋体" w:cs="Times New Roman"/>
          <w:color w:val="auto"/>
          <w:kern w:val="2"/>
          <w:sz w:val="24"/>
          <w:szCs w:val="20"/>
          <w:u w:val="none"/>
          <w:vertAlign w:val="superscript"/>
          <w:lang w:val="en-US" w:eastAsia="zh-CN" w:bidi="ar-SA"/>
        </w:rPr>
        <w:t>2</w:t>
      </w:r>
      <w:r>
        <w:rPr>
          <w:rFonts w:hint="default" w:ascii="Times New Roman" w:hAnsi="Times New Roman" w:eastAsia="宋体" w:cs="Times New Roman"/>
          <w:color w:val="auto"/>
          <w:kern w:val="2"/>
          <w:sz w:val="24"/>
          <w:szCs w:val="20"/>
          <w:u w:val="none"/>
          <w:lang w:val="en-US" w:eastAsia="zh-CN" w:bidi="ar-SA"/>
        </w:rPr>
        <w:t>/s:历年最大流量6120</w:t>
      </w:r>
      <w:r>
        <w:rPr>
          <w:rFonts w:hint="eastAsia" w:ascii="Times New Roman" w:hAnsi="Times New Roman" w:eastAsia="宋体" w:cs="Times New Roman"/>
          <w:color w:val="auto"/>
          <w:kern w:val="2"/>
          <w:sz w:val="24"/>
          <w:szCs w:val="20"/>
          <w:u w:val="none"/>
          <w:lang w:val="en-US" w:eastAsia="zh-CN" w:bidi="ar-SA"/>
        </w:rPr>
        <w:t>0</w:t>
      </w:r>
      <w:r>
        <w:rPr>
          <w:rFonts w:hint="default" w:ascii="Times New Roman" w:hAnsi="Times New Roman" w:eastAsia="宋体" w:cs="Times New Roman"/>
          <w:color w:val="auto"/>
          <w:kern w:val="2"/>
          <w:sz w:val="24"/>
          <w:szCs w:val="20"/>
          <w:u w:val="none"/>
          <w:lang w:val="en-US" w:eastAsia="zh-CN" w:bidi="ar-SA"/>
        </w:rPr>
        <w:t>m</w:t>
      </w:r>
      <w:r>
        <w:rPr>
          <w:rFonts w:hint="default" w:ascii="Times New Roman" w:hAnsi="Times New Roman" w:eastAsia="宋体" w:cs="Times New Roman"/>
          <w:color w:val="auto"/>
          <w:kern w:val="2"/>
          <w:sz w:val="24"/>
          <w:szCs w:val="20"/>
          <w:u w:val="none"/>
          <w:vertAlign w:val="superscript"/>
          <w:lang w:val="en-US" w:eastAsia="zh-CN" w:bidi="ar-SA"/>
        </w:rPr>
        <w:t>2</w:t>
      </w:r>
      <w:r>
        <w:rPr>
          <w:rFonts w:hint="default" w:ascii="Times New Roman" w:hAnsi="Times New Roman" w:eastAsia="宋体" w:cs="Times New Roman"/>
          <w:color w:val="auto"/>
          <w:kern w:val="2"/>
          <w:sz w:val="24"/>
          <w:szCs w:val="20"/>
          <w:u w:val="none"/>
          <w:lang w:val="en-US" w:eastAsia="zh-CN" w:bidi="ar-SA"/>
        </w:rPr>
        <w:t>/s</w:t>
      </w:r>
      <w:r>
        <w:rPr>
          <w:rFonts w:hint="eastAsia" w:ascii="Times New Roman" w:hAnsi="Times New Roman" w:eastAsia="宋体" w:cs="Times New Roman"/>
          <w:color w:val="auto"/>
          <w:kern w:val="2"/>
          <w:sz w:val="24"/>
          <w:szCs w:val="20"/>
          <w:u w:val="none"/>
          <w:lang w:val="en-US" w:eastAsia="zh-CN" w:bidi="ar-SA"/>
        </w:rPr>
        <w:t>；</w:t>
      </w:r>
    </w:p>
    <w:p>
      <w:pPr>
        <w:widowControl w:val="0"/>
        <w:numPr>
          <w:ilvl w:val="0"/>
          <w:numId w:val="0"/>
        </w:numPr>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历年最小流量4190m/s</w:t>
      </w:r>
      <w:r>
        <w:rPr>
          <w:rFonts w:hint="eastAsia" w:ascii="Times New Roman" w:hAnsi="Times New Roman" w:eastAsia="宋体" w:cs="Times New Roman"/>
          <w:color w:val="auto"/>
          <w:kern w:val="2"/>
          <w:sz w:val="24"/>
          <w:szCs w:val="20"/>
          <w:u w:val="none"/>
          <w:lang w:val="en-US" w:eastAsia="zh-CN" w:bidi="ar-SA"/>
        </w:rPr>
        <w:t>；</w:t>
      </w:r>
    </w:p>
    <w:p>
      <w:pPr>
        <w:widowControl w:val="0"/>
        <w:numPr>
          <w:ilvl w:val="0"/>
          <w:numId w:val="0"/>
        </w:numPr>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流速:多年平均流速1.45m/s:历年最大流速2.00m/s</w:t>
      </w:r>
      <w:r>
        <w:rPr>
          <w:rFonts w:hint="eastAsia" w:ascii="Times New Roman" w:hAnsi="Times New Roman" w:eastAsia="宋体" w:cs="Times New Roman"/>
          <w:color w:val="auto"/>
          <w:kern w:val="2"/>
          <w:sz w:val="24"/>
          <w:szCs w:val="20"/>
          <w:u w:val="none"/>
          <w:lang w:val="en-US" w:eastAsia="zh-CN" w:bidi="ar-SA"/>
        </w:rPr>
        <w:t>；</w:t>
      </w:r>
    </w:p>
    <w:p>
      <w:pPr>
        <w:widowControl w:val="0"/>
        <w:numPr>
          <w:ilvl w:val="0"/>
          <w:numId w:val="0"/>
        </w:numPr>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历年最小流速0.98m/s</w:t>
      </w:r>
      <w:r>
        <w:rPr>
          <w:rFonts w:hint="eastAsia" w:ascii="Times New Roman" w:hAnsi="Times New Roman" w:eastAsia="宋体" w:cs="Times New Roman"/>
          <w:color w:val="auto"/>
          <w:kern w:val="2"/>
          <w:sz w:val="24"/>
          <w:szCs w:val="20"/>
          <w:u w:val="none"/>
          <w:lang w:val="en-US" w:eastAsia="zh-CN" w:bidi="ar-SA"/>
        </w:rPr>
        <w:t>；</w:t>
      </w:r>
    </w:p>
    <w:p>
      <w:pPr>
        <w:widowControl w:val="0"/>
        <w:numPr>
          <w:ilvl w:val="0"/>
          <w:numId w:val="0"/>
        </w:numPr>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含砂量:多年平均含砂量0.683kg/</w:t>
      </w:r>
      <w:r>
        <w:rPr>
          <w:rFonts w:hint="eastAsia" w:ascii="Times New Roman" w:hAnsi="Times New Roman" w:eastAsia="宋体" w:cs="Times New Roman"/>
          <w:color w:val="auto"/>
          <w:kern w:val="2"/>
          <w:sz w:val="24"/>
          <w:szCs w:val="20"/>
          <w:u w:val="none"/>
          <w:lang w:val="en-US" w:eastAsia="zh-CN" w:bidi="ar-SA"/>
        </w:rPr>
        <w:t>m</w:t>
      </w:r>
      <w:r>
        <w:rPr>
          <w:rFonts w:hint="default" w:ascii="Times New Roman" w:hAnsi="Times New Roman" w:eastAsia="宋体" w:cs="Times New Roman"/>
          <w:color w:val="auto"/>
          <w:kern w:val="2"/>
          <w:sz w:val="24"/>
          <w:szCs w:val="20"/>
          <w:u w:val="none"/>
          <w:vertAlign w:val="superscript"/>
          <w:lang w:val="en-US" w:eastAsia="zh-CN" w:bidi="ar-SA"/>
        </w:rPr>
        <w:t>2</w:t>
      </w:r>
      <w:r>
        <w:rPr>
          <w:rFonts w:hint="default" w:ascii="Times New Roman" w:hAnsi="Times New Roman" w:eastAsia="宋体" w:cs="Times New Roman"/>
          <w:color w:val="auto"/>
          <w:kern w:val="2"/>
          <w:sz w:val="24"/>
          <w:szCs w:val="20"/>
          <w:u w:val="none"/>
          <w:lang w:val="en-US" w:eastAsia="zh-CN" w:bidi="ar-SA"/>
        </w:rPr>
        <w:t>:历年最大含砂量5.66kg/m</w:t>
      </w:r>
      <w:r>
        <w:rPr>
          <w:rFonts w:hint="default" w:ascii="Times New Roman" w:hAnsi="Times New Roman" w:eastAsia="宋体" w:cs="Times New Roman"/>
          <w:color w:val="auto"/>
          <w:kern w:val="2"/>
          <w:sz w:val="24"/>
          <w:szCs w:val="20"/>
          <w:u w:val="none"/>
          <w:vertAlign w:val="superscript"/>
          <w:lang w:val="en-US" w:eastAsia="zh-CN" w:bidi="ar-SA"/>
        </w:rPr>
        <w:t>3</w:t>
      </w:r>
      <w:r>
        <w:rPr>
          <w:rFonts w:hint="eastAsia" w:ascii="Times New Roman" w:hAnsi="Times New Roman" w:eastAsia="宋体" w:cs="Times New Roman"/>
          <w:color w:val="auto"/>
          <w:kern w:val="2"/>
          <w:sz w:val="24"/>
          <w:szCs w:val="20"/>
          <w:u w:val="none"/>
          <w:lang w:val="en-US" w:eastAsia="zh-CN" w:bidi="ar-SA"/>
        </w:rPr>
        <w:t>；</w:t>
      </w:r>
    </w:p>
    <w:p>
      <w:pPr>
        <w:widowControl w:val="0"/>
        <w:numPr>
          <w:ilvl w:val="0"/>
          <w:numId w:val="0"/>
        </w:numPr>
        <w:bidi w:val="0"/>
        <w:spacing w:before="20" w:line="360" w:lineRule="auto"/>
        <w:ind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历年最小含砂量0.11 kg/m</w:t>
      </w:r>
      <w:r>
        <w:rPr>
          <w:rFonts w:hint="default" w:ascii="Times New Roman" w:hAnsi="Times New Roman" w:eastAsia="宋体" w:cs="Times New Roman"/>
          <w:color w:val="auto"/>
          <w:kern w:val="2"/>
          <w:sz w:val="24"/>
          <w:szCs w:val="20"/>
          <w:u w:val="none"/>
          <w:vertAlign w:val="superscript"/>
          <w:lang w:val="en-US" w:eastAsia="zh-CN" w:bidi="ar-SA"/>
        </w:rPr>
        <w:t>2</w:t>
      </w:r>
      <w:r>
        <w:rPr>
          <w:rFonts w:hint="eastAsia" w:ascii="Times New Roman" w:hAnsi="Times New Roman" w:eastAsia="宋体" w:cs="Times New Roman"/>
          <w:color w:val="auto"/>
          <w:kern w:val="2"/>
          <w:sz w:val="24"/>
          <w:szCs w:val="20"/>
          <w:u w:val="none"/>
          <w:lang w:val="en-US" w:eastAsia="zh-CN" w:bidi="ar-SA"/>
        </w:rPr>
        <w:t>；</w:t>
      </w:r>
    </w:p>
    <w:p>
      <w:pPr>
        <w:widowControl w:val="0"/>
        <w:numPr>
          <w:ilvl w:val="0"/>
          <w:numId w:val="0"/>
        </w:numPr>
        <w:bidi w:val="0"/>
        <w:spacing w:before="20" w:line="360" w:lineRule="auto"/>
        <w:ind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输沙量:多年平均输砂量13.7Us:历年最大输沙量177t/s</w:t>
      </w:r>
      <w:r>
        <w:rPr>
          <w:rFonts w:hint="eastAsia" w:ascii="Times New Roman" w:hAnsi="Times New Roman" w:eastAsia="宋体" w:cs="Times New Roman"/>
          <w:color w:val="auto"/>
          <w:kern w:val="2"/>
          <w:sz w:val="24"/>
          <w:szCs w:val="20"/>
          <w:u w:val="none"/>
          <w:lang w:val="en-US" w:eastAsia="zh-CN" w:bidi="ar-SA"/>
        </w:rPr>
        <w:t>；</w:t>
      </w:r>
    </w:p>
    <w:p>
      <w:pPr>
        <w:widowControl w:val="0"/>
        <w:numPr>
          <w:ilvl w:val="0"/>
          <w:numId w:val="0"/>
        </w:numPr>
        <w:bidi w:val="0"/>
        <w:spacing w:before="20" w:line="360" w:lineRule="auto"/>
        <w:ind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历年最小输沙量0.59t/s</w:t>
      </w:r>
      <w:r>
        <w:rPr>
          <w:rFonts w:hint="eastAsia" w:ascii="Times New Roman" w:hAnsi="Times New Roman" w:eastAsia="宋体" w:cs="Times New Roman"/>
          <w:color w:val="auto"/>
          <w:kern w:val="2"/>
          <w:sz w:val="24"/>
          <w:szCs w:val="20"/>
          <w:u w:val="none"/>
          <w:lang w:val="en-US" w:eastAsia="zh-CN" w:bidi="ar-SA"/>
        </w:rPr>
        <w:t>；</w:t>
      </w:r>
    </w:p>
    <w:p>
      <w:pPr>
        <w:widowControl w:val="0"/>
        <w:numPr>
          <w:ilvl w:val="0"/>
          <w:numId w:val="0"/>
        </w:numPr>
        <w:bidi w:val="0"/>
        <w:spacing w:before="20" w:line="360" w:lineRule="auto"/>
        <w:ind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水位:多年平均水位23.19m (吴淞高程) :历年最高水位33.14m</w:t>
      </w:r>
      <w:r>
        <w:rPr>
          <w:rFonts w:hint="eastAsia" w:ascii="Times New Roman" w:hAnsi="Times New Roman" w:eastAsia="宋体" w:cs="Times New Roman"/>
          <w:color w:val="auto"/>
          <w:kern w:val="2"/>
          <w:sz w:val="24"/>
          <w:szCs w:val="20"/>
          <w:u w:val="none"/>
          <w:lang w:val="en-US" w:eastAsia="zh-CN" w:bidi="ar-SA"/>
        </w:rPr>
        <w:t>；</w:t>
      </w:r>
    </w:p>
    <w:p>
      <w:pPr>
        <w:widowControl w:val="0"/>
        <w:numPr>
          <w:ilvl w:val="0"/>
          <w:numId w:val="0"/>
        </w:numPr>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历年最低水位15.99m。</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hint="default" w:ascii="Times New Roman" w:hAnsi="Times New Roman" w:eastAsia="宋体" w:cs="Times New Roman"/>
          <w:b/>
          <w:color w:val="auto"/>
          <w:kern w:val="2"/>
          <w:sz w:val="22"/>
          <w:szCs w:val="20"/>
          <w:lang w:val="en-US" w:eastAsia="zh-CN" w:bidi="ar-SA"/>
        </w:rPr>
      </w:pPr>
      <w:r>
        <w:rPr>
          <w:rFonts w:hint="default" w:ascii="Times New Roman" w:hAnsi="Times New Roman" w:eastAsia="宋体" w:cs="Times New Roman"/>
          <w:b/>
          <w:color w:val="auto"/>
          <w:kern w:val="2"/>
          <w:sz w:val="22"/>
          <w:szCs w:val="20"/>
          <w:lang w:val="en-US" w:eastAsia="zh-CN" w:bidi="ar-SA"/>
        </w:rPr>
        <w:t>6.1.4气象资料</w:t>
      </w:r>
    </w:p>
    <w:p>
      <w:pPr>
        <w:widowControl w:val="0"/>
        <w:numPr>
          <w:ilvl w:val="0"/>
          <w:numId w:val="0"/>
        </w:numPr>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云溪区属亚热带季风气候，气候温和，四季分明，热量充足，雨水集中，无霜期长。根据岳阳市气象观测站近20年来气象资料，该区域年平均气温为17.1</w:t>
      </w:r>
      <w:r>
        <w:rPr>
          <w:rFonts w:hint="eastAsia" w:ascii="宋体" w:hAnsi="宋体" w:eastAsia="宋体" w:cs="宋体"/>
          <w:color w:val="auto"/>
          <w:kern w:val="2"/>
          <w:sz w:val="24"/>
          <w:szCs w:val="20"/>
          <w:u w:val="none"/>
          <w:lang w:val="en-US" w:eastAsia="zh-CN" w:bidi="ar-SA"/>
        </w:rPr>
        <w:t>℃</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最高气温39.3</w:t>
      </w:r>
      <w:r>
        <w:rPr>
          <w:rFonts w:hint="eastAsia" w:ascii="宋体" w:hAnsi="宋体" w:eastAsia="宋体" w:cs="宋体"/>
          <w:color w:val="auto"/>
          <w:kern w:val="2"/>
          <w:sz w:val="24"/>
          <w:szCs w:val="20"/>
          <w:u w:val="none"/>
          <w:lang w:val="en-US" w:eastAsia="zh-CN" w:bidi="ar-SA"/>
        </w:rPr>
        <w:t>℃</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最低气温为-11.8</w:t>
      </w:r>
      <w:r>
        <w:rPr>
          <w:rFonts w:hint="eastAsia" w:ascii="宋体" w:hAnsi="宋体" w:eastAsia="宋体" w:cs="宋体"/>
          <w:color w:val="auto"/>
          <w:kern w:val="2"/>
          <w:sz w:val="24"/>
          <w:szCs w:val="20"/>
          <w:u w:val="none"/>
          <w:lang w:val="en-US" w:eastAsia="zh-CN" w:bidi="ar-SA"/>
        </w:rPr>
        <w:t>℃</w:t>
      </w:r>
      <w:r>
        <w:rPr>
          <w:rFonts w:hint="eastAsia" w:ascii="Times New Roman" w:hAnsi="Times New Roman"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年平均相对湿度78%</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年平均降雨量为1295.1mm;常年主导风向为NE</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频率为18%</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冬季主导风向为NNE(22%)，夏季主导风向为SSE(15%)，年平均风速为2.9m/s。</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hint="eastAsia" w:ascii="Times New Roman" w:hAnsi="Times New Roman" w:eastAsia="宋体" w:cs="Times New Roman"/>
          <w:b/>
          <w:color w:val="auto"/>
          <w:kern w:val="2"/>
          <w:sz w:val="28"/>
          <w:szCs w:val="28"/>
          <w:lang w:val="en-US" w:eastAsia="zh-CN" w:bidi="ar-SA"/>
        </w:rPr>
      </w:pPr>
      <w:bookmarkStart w:id="129" w:name="_Toc19792"/>
      <w:r>
        <w:rPr>
          <w:rFonts w:hint="eastAsia" w:ascii="Times New Roman" w:hAnsi="Times New Roman" w:eastAsia="宋体" w:cs="Times New Roman"/>
          <w:b/>
          <w:color w:val="auto"/>
          <w:kern w:val="2"/>
          <w:sz w:val="28"/>
          <w:szCs w:val="28"/>
          <w:lang w:val="en-US" w:eastAsia="zh-CN" w:bidi="ar-SA"/>
        </w:rPr>
        <w:t>6.2湖南岳阳绿色化工产业园概况</w:t>
      </w:r>
      <w:bookmarkEnd w:id="129"/>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hint="eastAsia" w:ascii="Times New Roman" w:hAnsi="Times New Roman" w:eastAsia="宋体" w:cs="Times New Roman"/>
          <w:b/>
          <w:color w:val="auto"/>
          <w:kern w:val="2"/>
          <w:sz w:val="22"/>
          <w:szCs w:val="20"/>
          <w:lang w:val="en-US" w:eastAsia="zh-CN" w:bidi="ar-SA"/>
        </w:rPr>
      </w:pPr>
      <w:r>
        <w:rPr>
          <w:rFonts w:hint="eastAsia" w:ascii="Times New Roman" w:hAnsi="Times New Roman" w:eastAsia="宋体" w:cs="Times New Roman"/>
          <w:b/>
          <w:color w:val="auto"/>
          <w:kern w:val="2"/>
          <w:sz w:val="22"/>
          <w:szCs w:val="20"/>
          <w:lang w:val="en-US" w:eastAsia="zh-CN" w:bidi="ar-SA"/>
        </w:rPr>
        <w:t>6.</w:t>
      </w:r>
      <w:r>
        <w:rPr>
          <w:rFonts w:hint="eastAsia" w:ascii="Times New Roman" w:hAnsi="Times New Roman" w:eastAsia="宋体" w:cs="Times New Roman"/>
          <w:b/>
          <w:color w:val="auto"/>
          <w:kern w:val="2"/>
          <w:sz w:val="24"/>
          <w:szCs w:val="21"/>
          <w:lang w:val="en-US" w:eastAsia="zh-CN" w:bidi="ar-SA"/>
        </w:rPr>
        <w:t>2.1基本情况</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eastAsia" w:ascii="Times New Roman" w:hAnsi="Times New Roman" w:eastAsia="宋体" w:cs="Times New Roman"/>
          <w:color w:val="auto"/>
          <w:kern w:val="2"/>
          <w:sz w:val="24"/>
          <w:szCs w:val="20"/>
          <w:u w:val="none"/>
          <w:lang w:val="en-US" w:eastAsia="zh-CN" w:bidi="ar-SA"/>
        </w:rPr>
        <w:t>湖南岳阳绿色化工产业园(又称:云溪工业园)是2003年经湖南省人民政府批准成立的工业园，2006年通过了湖南省环保厅的环评批复，2012年9月云溪工业园更名为湖南岳阳绿色化工产业园。</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eastAsia" w:ascii="Times New Roman" w:hAnsi="Times New Roman" w:eastAsia="宋体" w:cs="Times New Roman"/>
          <w:color w:val="auto"/>
          <w:kern w:val="2"/>
          <w:sz w:val="24"/>
          <w:szCs w:val="20"/>
          <w:u w:val="none"/>
          <w:lang w:val="en-US" w:eastAsia="zh-CN" w:bidi="ar-SA"/>
        </w:rPr>
        <w:t>2012年，为加快主导产业的发展，做大做强岳阳的石油化工产业，岳阳市委、市政府决定整合云溪区境内及周边的石油化工资源，报请省人民政府批准成立湖南岳阳绿色化工产业园，9月湖南岳阳云溪工业园正式更名为湖南岳阳绿色化工产业园，该园以云溪工业园为依托，以巴陵石化和长岭炼化两个大厂为龙头，将临港产业新区新材料园和临湘滨江工业园并纳入整体规划，形成两厂2030年)建设用地规划70km</w:t>
      </w:r>
      <w:r>
        <w:rPr>
          <w:rFonts w:hint="eastAsia" w:ascii="Times New Roman" w:hAnsi="Times New Roman" w:eastAsia="宋体" w:cs="Times New Roman"/>
          <w:color w:val="auto"/>
          <w:kern w:val="2"/>
          <w:sz w:val="24"/>
          <w:szCs w:val="20"/>
          <w:u w:val="none"/>
          <w:vertAlign w:val="superscript"/>
          <w:lang w:val="en-US" w:eastAsia="zh-CN" w:bidi="ar-SA"/>
        </w:rPr>
        <w:t>2</w:t>
      </w:r>
      <w:r>
        <w:rPr>
          <w:rFonts w:hint="eastAsia" w:ascii="Times New Roman" w:hAnsi="Times New Roman" w:eastAsia="宋体" w:cs="Times New Roman"/>
          <w:color w:val="auto"/>
          <w:kern w:val="2"/>
          <w:sz w:val="24"/>
          <w:szCs w:val="20"/>
          <w:u w:val="none"/>
          <w:lang w:val="en-US" w:eastAsia="zh-CN" w:bidi="ar-SA"/>
        </w:rPr>
        <w:t>,规划控制范围面积230km</w:t>
      </w:r>
      <w:r>
        <w:rPr>
          <w:rFonts w:hint="eastAsia" w:ascii="Times New Roman" w:hAnsi="Times New Roman" w:eastAsia="宋体" w:cs="Times New Roman"/>
          <w:color w:val="auto"/>
          <w:kern w:val="2"/>
          <w:sz w:val="24"/>
          <w:szCs w:val="20"/>
          <w:u w:val="none"/>
          <w:vertAlign w:val="superscript"/>
          <w:lang w:val="en-US" w:eastAsia="zh-CN" w:bidi="ar-SA"/>
        </w:rPr>
        <w:t>2</w:t>
      </w:r>
      <w:r>
        <w:rPr>
          <w:rFonts w:hint="eastAsia" w:ascii="Times New Roman" w:hAnsi="Times New Roman" w:eastAsia="宋体" w:cs="Times New Roman"/>
          <w:color w:val="auto"/>
          <w:kern w:val="2"/>
          <w:sz w:val="24"/>
          <w:szCs w:val="20"/>
          <w:u w:val="none"/>
          <w:lang w:val="en-US" w:eastAsia="zh-CN" w:bidi="ar-SA"/>
        </w:rPr>
        <w:t>。至2012年底，纳入2030年)建设用地规划70km</w:t>
      </w:r>
      <w:r>
        <w:rPr>
          <w:rFonts w:hint="eastAsia" w:ascii="Times New Roman" w:hAnsi="Times New Roman" w:eastAsia="宋体" w:cs="Times New Roman"/>
          <w:color w:val="auto"/>
          <w:kern w:val="2"/>
          <w:sz w:val="24"/>
          <w:szCs w:val="20"/>
          <w:u w:val="none"/>
          <w:vertAlign w:val="superscript"/>
          <w:lang w:val="en-US" w:eastAsia="zh-CN" w:bidi="ar-SA"/>
        </w:rPr>
        <w:t>2</w:t>
      </w:r>
      <w:r>
        <w:rPr>
          <w:rFonts w:hint="eastAsia" w:ascii="Times New Roman" w:hAnsi="Times New Roman" w:eastAsia="宋体" w:cs="Times New Roman"/>
          <w:color w:val="auto"/>
          <w:kern w:val="2"/>
          <w:sz w:val="24"/>
          <w:szCs w:val="20"/>
          <w:u w:val="none"/>
          <w:lang w:val="en-US" w:eastAsia="zh-CN" w:bidi="ar-SA"/>
        </w:rPr>
        <w:t>,规划控制范围面积230km</w:t>
      </w:r>
      <w:r>
        <w:rPr>
          <w:rFonts w:hint="eastAsia" w:ascii="Times New Roman" w:hAnsi="Times New Roman" w:eastAsia="宋体" w:cs="Times New Roman"/>
          <w:color w:val="auto"/>
          <w:kern w:val="2"/>
          <w:sz w:val="24"/>
          <w:szCs w:val="20"/>
          <w:u w:val="none"/>
          <w:vertAlign w:val="superscript"/>
          <w:lang w:val="en-US" w:eastAsia="zh-CN" w:bidi="ar-SA"/>
        </w:rPr>
        <w:t>2</w:t>
      </w:r>
      <w:r>
        <w:rPr>
          <w:rFonts w:hint="eastAsia" w:ascii="Times New Roman" w:hAnsi="Times New Roman" w:eastAsia="宋体" w:cs="Times New Roman"/>
          <w:color w:val="auto"/>
          <w:kern w:val="2"/>
          <w:sz w:val="24"/>
          <w:szCs w:val="20"/>
          <w:u w:val="none"/>
          <w:lang w:val="en-US" w:eastAsia="zh-CN" w:bidi="ar-SA"/>
        </w:rPr>
        <w:t>。至2012年底，纳入岳阳绿色化工产业园区管理的化工及配套企业达到100家以上,总产值达到1000亿元，创税突破100亿元，总资产达到270亿元。</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eastAsia" w:ascii="Times New Roman" w:hAnsi="Times New Roman" w:eastAsia="宋体" w:cs="Times New Roman"/>
          <w:color w:val="auto"/>
          <w:kern w:val="2"/>
          <w:sz w:val="24"/>
          <w:szCs w:val="20"/>
          <w:u w:val="none"/>
          <w:lang w:val="en-US" w:eastAsia="zh-CN" w:bidi="ar-SA"/>
        </w:rPr>
        <w:t>建园来，园区紧紧依托驻区大厂巴陵石化和长岭炼化的资源优势，按照“特色立园、科技兴园”的思路，以“对接石化基地、承接沿海产业、打造工业洼地”为办园宗旨，重点引进和做大做强了工业催化剂新材料、医药生物、高分子材料药化工、环保溶剂、中间体产业和炼厂气体加工六条精细化工产业链，有美国、澳大利亚、瑞士、香港、新加坡、中石化集团等跨国公司及战略投资者来园投资兴业，共引进企业86家，其中总投资11.8亿元的中石化催化剂新基地、7.6亿元的东方雨虹防水材料等过亿元企业19家。建园10年来，累计投入资金8亿多元，配套完善了水、电、路、天然气、蒸汽等基础设施，截止2014年底，园区开发面积达到15km</w:t>
      </w:r>
      <w:r>
        <w:rPr>
          <w:rFonts w:hint="eastAsia" w:ascii="Times New Roman" w:hAnsi="Times New Roman" w:eastAsia="宋体" w:cs="Times New Roman"/>
          <w:color w:val="auto"/>
          <w:kern w:val="2"/>
          <w:sz w:val="24"/>
          <w:szCs w:val="20"/>
          <w:u w:val="none"/>
          <w:vertAlign w:val="superscript"/>
          <w:lang w:val="en-US" w:eastAsia="zh-CN" w:bidi="ar-SA"/>
        </w:rPr>
        <w:t>2</w:t>
      </w:r>
      <w:r>
        <w:rPr>
          <w:rFonts w:hint="eastAsia" w:ascii="Times New Roman" w:hAnsi="Times New Roman" w:eastAsia="宋体" w:cs="Times New Roman"/>
          <w:color w:val="auto"/>
          <w:kern w:val="2"/>
          <w:sz w:val="24"/>
          <w:szCs w:val="20"/>
          <w:u w:val="none"/>
          <w:lang w:val="en-US" w:eastAsia="zh-CN" w:bidi="ar-SA"/>
        </w:rPr>
        <w:t>，入园企业153家，产值达到873亿元，创税117亿元。园区先后被评为国家高技术产业基地、国家新型工业化示范园区、国家火炬特色产的“千亿产业集群”和重点打造的"千亿园区”之列。业基地、国家循环化改造示范园区和国家低碳园区等，并被纳入到全省重点培育的“千亿产业集群”和重点打造的“千亿园区”之列。</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hint="eastAsia" w:ascii="Times New Roman" w:hAnsi="Times New Roman" w:eastAsia="宋体" w:cs="Times New Roman"/>
          <w:b/>
          <w:color w:val="auto"/>
          <w:kern w:val="2"/>
          <w:sz w:val="24"/>
          <w:szCs w:val="21"/>
          <w:lang w:val="en-US" w:eastAsia="zh-CN" w:bidi="ar-SA"/>
        </w:rPr>
      </w:pPr>
      <w:r>
        <w:rPr>
          <w:rFonts w:hint="eastAsia" w:ascii="Times New Roman" w:hAnsi="Times New Roman" w:eastAsia="宋体" w:cs="Times New Roman"/>
          <w:b/>
          <w:color w:val="auto"/>
          <w:kern w:val="2"/>
          <w:sz w:val="24"/>
          <w:szCs w:val="21"/>
          <w:lang w:val="en-US" w:eastAsia="zh-CN" w:bidi="ar-SA"/>
        </w:rPr>
        <w:t>6.2.2园区性质及产业定位</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eastAsia" w:ascii="Times New Roman" w:hAnsi="Times New Roman" w:eastAsia="宋体" w:cs="Times New Roman"/>
          <w:color w:val="auto"/>
          <w:kern w:val="2"/>
          <w:sz w:val="24"/>
          <w:szCs w:val="20"/>
          <w:u w:val="none"/>
          <w:lang w:val="en-US" w:eastAsia="zh-CN" w:bidi="ar-SA"/>
        </w:rPr>
        <w:t>岳阳绿色化工产业园总体定位是：按照资源有效利用、绿色发展、安全发展、集聚发展、高效发展、统筹规划的原则，以原油、煤(页岩气)资源为基础，发展炼油化工产业、催化剂及助剂产业、化工新材料及特工化学品产业、合成材料深加工产业：延伸丙烯、碳四、芳烃、碳一四条产业链，形成炼油、特色化工、催化剂、合成材料为主体的岳阳石油化工产业体系。云溪工业园以发展精细化工为主要的产业定位。</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eastAsia" w:ascii="Times New Roman" w:hAnsi="Times New Roman" w:eastAsia="宋体" w:cs="Times New Roman"/>
          <w:color w:val="auto"/>
          <w:kern w:val="2"/>
          <w:sz w:val="24"/>
          <w:szCs w:val="20"/>
          <w:u w:val="none"/>
          <w:lang w:val="en-US" w:eastAsia="zh-CN" w:bidi="ar-SA"/>
        </w:rPr>
        <w:t>产业园以巴陵石化、长岭炼化为龙头，合理延伸石化副产品深加工和废弃物大产业及碳四、丙烯、芳烃和碳四条主产业链。产业园年原油加工能力达1000国最大的己内酰胺生产基地，中国最大的环氧树脂生产基地之一，中国唯一电子万吨，拥有100多个产品，200多个牌号，是全球最大的锂系聚合物生产研发基国最大的己内酰胺生产基地,中国最大的环氧树脂生产基地之一，中国唯一电子地，全球最大的醋酸仲J酯生产基地之一，亚洲最大的炼油催化剂生产基地，中国最大的己内酰胺生产基地,中国最大的环氧树脂生产基地之一，中国唯一电子级(8N)高纯氨生产基地。产业园聚集石化及其配套规模企业153家，已发展成为湖南省现代化程度最高的专业化工园区。</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2"/>
        <w:rPr>
          <w:rFonts w:hint="eastAsia" w:ascii="Times New Roman" w:hAnsi="Times New Roman" w:eastAsia="宋体" w:cs="Times New Roman"/>
          <w:b/>
          <w:color w:val="auto"/>
          <w:kern w:val="2"/>
          <w:sz w:val="24"/>
          <w:szCs w:val="21"/>
          <w:lang w:val="en-US" w:eastAsia="zh-CN" w:bidi="ar-SA"/>
        </w:rPr>
      </w:pPr>
      <w:r>
        <w:rPr>
          <w:rFonts w:hint="eastAsia" w:ascii="Times New Roman" w:hAnsi="Times New Roman" w:eastAsia="宋体" w:cs="Times New Roman"/>
          <w:b/>
          <w:color w:val="auto"/>
          <w:kern w:val="2"/>
          <w:sz w:val="24"/>
          <w:szCs w:val="21"/>
          <w:lang w:val="en-US" w:eastAsia="zh-CN" w:bidi="ar-SA"/>
        </w:rPr>
        <w:t>6.2.3工业园产业定位及优先发展项目清单</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eastAsia" w:ascii="Times New Roman" w:hAnsi="Times New Roman" w:eastAsia="宋体" w:cs="Times New Roman"/>
          <w:color w:val="auto"/>
          <w:kern w:val="2"/>
          <w:sz w:val="24"/>
          <w:szCs w:val="20"/>
          <w:u w:val="none"/>
          <w:lang w:val="en-US" w:eastAsia="zh-CN" w:bidi="ar-SA"/>
        </w:rPr>
        <w:t>根据云溪化工新材料的现有基础和发展趋向，产业主要定位为精细化工。</w:t>
      </w:r>
    </w:p>
    <w:p>
      <w:pPr>
        <w:widowControl w:val="0"/>
        <w:numPr>
          <w:ilvl w:val="0"/>
          <w:numId w:val="4"/>
        </w:numPr>
        <w:bidi w:val="0"/>
        <w:spacing w:before="20" w:line="360" w:lineRule="auto"/>
        <w:ind w:firstLine="480" w:firstLineChars="200"/>
        <w:jc w:val="both"/>
        <w:rPr>
          <w:rFonts w:hint="eastAsia" w:ascii="Times New Roman" w:hAnsi="Times New Roman" w:eastAsia="宋体" w:cs="Times New Roman"/>
          <w:color w:val="auto"/>
          <w:kern w:val="2"/>
          <w:sz w:val="24"/>
          <w:szCs w:val="20"/>
          <w:u w:val="none"/>
          <w:lang w:val="en-US" w:eastAsia="zh-CN" w:bidi="ar-SA"/>
        </w:rPr>
      </w:pPr>
      <w:r>
        <w:rPr>
          <w:rFonts w:hint="eastAsia" w:ascii="Times New Roman" w:hAnsi="Times New Roman" w:eastAsia="宋体" w:cs="Times New Roman"/>
          <w:color w:val="auto"/>
          <w:kern w:val="2"/>
          <w:sz w:val="24"/>
          <w:szCs w:val="20"/>
          <w:u w:val="none"/>
          <w:lang w:val="en-US" w:eastAsia="zh-CN" w:bidi="ar-SA"/>
        </w:rPr>
        <w:t>拟发展下列产品:</w:t>
      </w:r>
    </w:p>
    <w:p>
      <w:pPr>
        <w:widowControl w:val="0"/>
        <w:numPr>
          <w:ilvl w:val="0"/>
          <w:numId w:val="0"/>
        </w:numPr>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试剂和高纯物</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食品和饲料添加剂</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粘合剂</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石油用化学品</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涂料</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造纸用化学品</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染料和颜料</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功能高分子材料</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表面活性剂和合成洗涤剂</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塑料、合成纤维和橡胶用助剂</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催化剂</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生化酶</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感光材料</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无机精细化学品。</w:t>
      </w:r>
    </w:p>
    <w:p>
      <w:pPr>
        <w:widowControl w:val="0"/>
        <w:numPr>
          <w:ilvl w:val="0"/>
          <w:numId w:val="4"/>
        </w:numPr>
        <w:bidi w:val="0"/>
        <w:spacing w:before="20" w:line="360" w:lineRule="auto"/>
        <w:ind w:left="0" w:leftChars="0"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目前重点发展的产品</w:t>
      </w:r>
    </w:p>
    <w:p>
      <w:pPr>
        <w:widowControl w:val="0"/>
        <w:numPr>
          <w:ilvl w:val="0"/>
          <w:numId w:val="0"/>
        </w:numPr>
        <w:bidi w:val="0"/>
        <w:spacing w:before="20" w:line="360" w:lineRule="auto"/>
        <w:ind w:firstLine="480" w:firstLineChars="200"/>
        <w:jc w:val="both"/>
        <w:rPr>
          <w:rFonts w:hint="default" w:ascii="Times New Roman" w:hAnsi="Times New Roman" w:eastAsia="宋体" w:cs="Times New Roman"/>
          <w:color w:val="auto"/>
          <w:kern w:val="2"/>
          <w:sz w:val="24"/>
          <w:szCs w:val="20"/>
          <w:u w:val="none"/>
          <w:lang w:val="en-US" w:eastAsia="zh-CN" w:bidi="ar-SA"/>
        </w:rPr>
      </w:pPr>
      <w:r>
        <w:rPr>
          <w:rFonts w:hint="default" w:ascii="Times New Roman" w:hAnsi="Times New Roman" w:eastAsia="宋体" w:cs="Times New Roman"/>
          <w:color w:val="auto"/>
          <w:kern w:val="2"/>
          <w:sz w:val="24"/>
          <w:szCs w:val="20"/>
          <w:u w:val="none"/>
          <w:lang w:val="en-US" w:eastAsia="zh-CN" w:bidi="ar-SA"/>
        </w:rPr>
        <w:t>丙醛及其系列产品</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甲乙酮产品</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醋酸异丙酯及醋酸丁酯产品</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特种环氧树脂</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邻仲丁基酚</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甲基异氰酸酯</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表面活性剂</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生物酶制剂</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特种分子筛</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高纯度SB粉</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炼油生产专用催化剂和助剂</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固体酸催化剂</w:t>
      </w:r>
      <w:r>
        <w:rPr>
          <w:rFonts w:hint="eastAsia" w:ascii="Times New Roman" w:hAnsi="Times New Roman" w:eastAsia="宋体" w:cs="Times New Roman"/>
          <w:color w:val="auto"/>
          <w:kern w:val="2"/>
          <w:sz w:val="24"/>
          <w:szCs w:val="20"/>
          <w:u w:val="none"/>
          <w:lang w:val="en-US" w:eastAsia="zh-CN" w:bidi="ar-SA"/>
        </w:rPr>
        <w:t>、</w:t>
      </w:r>
      <w:r>
        <w:rPr>
          <w:rFonts w:hint="default" w:ascii="Times New Roman" w:hAnsi="Times New Roman" w:eastAsia="宋体" w:cs="Times New Roman"/>
          <w:color w:val="auto"/>
          <w:kern w:val="2"/>
          <w:sz w:val="24"/>
          <w:szCs w:val="20"/>
          <w:u w:val="none"/>
          <w:lang w:val="en-US" w:eastAsia="zh-CN" w:bidi="ar-SA"/>
        </w:rPr>
        <w:t>环保催化剂</w:t>
      </w:r>
      <w:r>
        <w:rPr>
          <w:rFonts w:hint="eastAsia" w:ascii="Times New Roman" w:hAnsi="Times New Roman" w:eastAsia="宋体" w:cs="Times New Roman"/>
          <w:color w:val="auto"/>
          <w:kern w:val="2"/>
          <w:sz w:val="24"/>
          <w:szCs w:val="20"/>
          <w:u w:val="none"/>
          <w:lang w:val="en-US" w:eastAsia="zh-CN" w:bidi="ar-SA"/>
        </w:rPr>
        <w:t>、非晶态镍合金、双峰聚丙稀和特种聚丙烯:聚丙烯共混改性及其产品、尼龙工程塑料合金、SBS、MC尼龙、特种增塑剂、差别化锦纶纤维、新型复合锦纶纤维、尼龙渔网丝、有机一元酸系列产品。</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ascii="Times New Roman" w:hAnsi="Times New Roman" w:eastAsia="宋体" w:cs="Times New Roman"/>
          <w:b/>
          <w:color w:val="auto"/>
          <w:kern w:val="2"/>
          <w:sz w:val="28"/>
          <w:szCs w:val="28"/>
          <w:lang w:val="en-US" w:eastAsia="zh-CN" w:bidi="ar-SA"/>
        </w:rPr>
      </w:pPr>
      <w:bookmarkStart w:id="130" w:name="_Toc30150"/>
      <w:r>
        <w:rPr>
          <w:rFonts w:hint="eastAsia" w:ascii="Times New Roman" w:hAnsi="Times New Roman" w:eastAsia="宋体" w:cs="Times New Roman"/>
          <w:b/>
          <w:color w:val="auto"/>
          <w:kern w:val="2"/>
          <w:sz w:val="28"/>
          <w:szCs w:val="28"/>
          <w:lang w:val="en-US" w:eastAsia="zh-CN" w:bidi="ar-SA"/>
        </w:rPr>
        <w:t>6</w:t>
      </w:r>
      <w:r>
        <w:rPr>
          <w:rFonts w:ascii="Times New Roman" w:hAnsi="Times New Roman" w:eastAsia="宋体" w:cs="Times New Roman"/>
          <w:b/>
          <w:color w:val="auto"/>
          <w:kern w:val="2"/>
          <w:sz w:val="28"/>
          <w:szCs w:val="28"/>
          <w:lang w:val="en-US" w:eastAsia="zh-CN" w:bidi="ar-SA"/>
        </w:rPr>
        <w:t>.</w:t>
      </w:r>
      <w:r>
        <w:rPr>
          <w:rFonts w:hint="eastAsia" w:ascii="Times New Roman" w:hAnsi="Times New Roman" w:eastAsia="宋体" w:cs="Times New Roman"/>
          <w:b/>
          <w:color w:val="auto"/>
          <w:kern w:val="2"/>
          <w:sz w:val="28"/>
          <w:szCs w:val="28"/>
          <w:lang w:val="en-US" w:eastAsia="zh-CN" w:bidi="ar-SA"/>
        </w:rPr>
        <w:t>3</w:t>
      </w:r>
      <w:r>
        <w:rPr>
          <w:rFonts w:ascii="Times New Roman" w:hAnsi="宋体" w:eastAsia="宋体" w:cs="Times New Roman"/>
          <w:b/>
          <w:color w:val="auto"/>
          <w:kern w:val="2"/>
          <w:sz w:val="28"/>
          <w:szCs w:val="28"/>
          <w:lang w:val="en-US" w:eastAsia="zh-CN" w:bidi="ar-SA"/>
        </w:rPr>
        <w:t>地表水环境质量现状与评价</w:t>
      </w:r>
      <w:bookmarkEnd w:id="126"/>
      <w:bookmarkEnd w:id="127"/>
      <w:bookmarkEnd w:id="128"/>
      <w:bookmarkEnd w:id="130"/>
    </w:p>
    <w:p>
      <w:pPr>
        <w:widowControl w:val="0"/>
        <w:bidi w:val="0"/>
        <w:spacing w:before="20"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kern w:val="2"/>
          <w:sz w:val="24"/>
          <w:szCs w:val="20"/>
          <w:u w:val="none"/>
          <w:lang w:val="en-US" w:eastAsia="zh-CN" w:bidi="ar-SA"/>
        </w:rPr>
        <w:t>本项目位于云溪工业园区，项目周边地表水体主要为长江（距离4500m）和松阳湖（距离500m）为了了解项目纳污水体水质现状，本项目引用</w:t>
      </w:r>
      <w:r>
        <w:rPr>
          <w:rFonts w:hint="eastAsia" w:ascii="Times New Roman" w:hAnsi="Times New Roman" w:cs="Times New Roman"/>
          <w:caps w:val="0"/>
          <w:smallCaps w:val="0"/>
          <w:color w:val="auto"/>
          <w:kern w:val="2"/>
          <w:sz w:val="24"/>
          <w:szCs w:val="20"/>
          <w:u w:val="none"/>
          <w:lang w:val="en-US" w:eastAsia="zh-CN" w:bidi="ar-SA"/>
        </w:rPr>
        <w:t>岳阳市2018年环境质量公报</w:t>
      </w:r>
      <w:r>
        <w:rPr>
          <w:rFonts w:hint="eastAsia" w:ascii="Times New Roman" w:hAnsi="Times New Roman" w:eastAsia="宋体" w:cs="Times New Roman"/>
          <w:caps w:val="0"/>
          <w:smallCaps w:val="0"/>
          <w:color w:val="auto"/>
          <w:kern w:val="2"/>
          <w:sz w:val="24"/>
          <w:szCs w:val="20"/>
          <w:u w:val="none"/>
          <w:lang w:val="en-US" w:eastAsia="zh-CN" w:bidi="ar-SA"/>
        </w:rPr>
        <w:t>中</w:t>
      </w:r>
      <w:r>
        <w:rPr>
          <w:rFonts w:hint="eastAsia" w:ascii="Times New Roman" w:hAnsi="Times New Roman" w:eastAsia="宋体" w:cs="Times New Roman"/>
          <w:color w:val="auto"/>
          <w:kern w:val="2"/>
          <w:sz w:val="24"/>
          <w:szCs w:val="20"/>
          <w:u w:val="none"/>
          <w:lang w:val="en-US" w:eastAsia="zh-CN" w:bidi="ar-SA"/>
        </w:rPr>
        <w:t>的监测数据。</w:t>
      </w:r>
      <w:r>
        <w:rPr>
          <w:rFonts w:hint="default" w:ascii="Times New Roman" w:hAnsi="Times New Roman" w:eastAsia="宋体" w:cs="Times New Roman"/>
          <w:color w:val="auto"/>
          <w:sz w:val="24"/>
          <w:szCs w:val="24"/>
        </w:rPr>
        <w:t>：长江干流岳阳段共布设5个监测断面，分别为天字一号、君山长江取水口、荆江口、城陵矶、陆城断面。本文选取项目废水排放点附近</w:t>
      </w:r>
      <w:r>
        <w:rPr>
          <w:rFonts w:hint="eastAsia" w:ascii="Times New Roman" w:hAnsi="Times New Roman" w:eastAsia="宋体" w:cs="Times New Roman"/>
          <w:color w:val="auto"/>
          <w:sz w:val="24"/>
          <w:szCs w:val="24"/>
          <w:lang w:eastAsia="zh-CN"/>
        </w:rPr>
        <w:t>城陵矶、陆城</w:t>
      </w:r>
      <w:r>
        <w:rPr>
          <w:rFonts w:hint="default" w:ascii="Times New Roman" w:hAnsi="Times New Roman" w:eastAsia="宋体" w:cs="Times New Roman"/>
          <w:color w:val="auto"/>
          <w:sz w:val="24"/>
          <w:szCs w:val="24"/>
        </w:rPr>
        <w:t>监测断面的监测数据</w:t>
      </w:r>
      <w:r>
        <w:rPr>
          <w:rFonts w:hint="eastAsia" w:ascii="Times New Roman" w:hAnsi="Times New Roman" w:eastAsia="宋体" w:cs="Times New Roman"/>
          <w:color w:val="auto"/>
          <w:sz w:val="24"/>
          <w:szCs w:val="24"/>
          <w:lang w:eastAsia="zh-CN"/>
        </w:rPr>
        <w:t>。</w:t>
      </w:r>
    </w:p>
    <w:p>
      <w:pPr>
        <w:widowControl w:val="0"/>
        <w:bidi w:val="0"/>
        <w:spacing w:line="360" w:lineRule="auto"/>
        <w:jc w:val="center"/>
        <w:rPr>
          <w:rFonts w:hint="eastAsia"/>
          <w:color w:val="auto"/>
          <w:sz w:val="24"/>
          <w:szCs w:val="24"/>
          <w:lang w:eastAsia="zh-CN"/>
        </w:rPr>
      </w:pPr>
      <w:r>
        <w:rPr>
          <w:rFonts w:hint="eastAsia" w:ascii="Times New Roman" w:hAnsi="Times New Roman" w:eastAsia="宋体" w:cs="Times New Roman"/>
          <w:b/>
          <w:color w:val="auto"/>
          <w:kern w:val="2"/>
          <w:sz w:val="24"/>
          <w:szCs w:val="24"/>
          <w:lang w:val="en-US" w:eastAsia="zh-CN" w:bidi="ar-SA"/>
        </w:rPr>
        <w:t>表6.3-1  长江城陵矶、陆城断面监测评价结果统计表  单位：mg/L（pH无量纲）</w:t>
      </w:r>
    </w:p>
    <w:tbl>
      <w:tblPr>
        <w:tblStyle w:val="28"/>
        <w:tblW w:w="90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014"/>
        <w:gridCol w:w="1217"/>
        <w:gridCol w:w="1217"/>
        <w:gridCol w:w="1218"/>
        <w:gridCol w:w="1218"/>
        <w:gridCol w:w="17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101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最小值</w:t>
            </w:r>
          </w:p>
        </w:tc>
        <w:tc>
          <w:tcPr>
            <w:tcW w:w="121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最大值</w:t>
            </w:r>
          </w:p>
        </w:tc>
        <w:tc>
          <w:tcPr>
            <w:tcW w:w="121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平均值</w:t>
            </w:r>
          </w:p>
        </w:tc>
        <w:tc>
          <w:tcPr>
            <w:tcW w:w="121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超标率</w:t>
            </w:r>
          </w:p>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w:t>
            </w:r>
          </w:p>
        </w:tc>
        <w:tc>
          <w:tcPr>
            <w:tcW w:w="121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最大超标倍数</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101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12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12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12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12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9036"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城陵矶断面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p</w:t>
            </w:r>
            <w:r>
              <w:rPr>
                <w:rFonts w:hint="default" w:ascii="Times New Roman" w:hAnsi="Times New Roman" w:eastAsia="宋体" w:cs="Times New Roman"/>
                <w:color w:val="auto"/>
                <w:sz w:val="21"/>
                <w:szCs w:val="21"/>
              </w:rPr>
              <w:t>H</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7.51</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8.07</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7.63</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高锰酸盐指数</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1.77</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2.16</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0.43</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0.249</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挥发酚</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0.0004</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0.0017</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0.0009</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0.00002</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0.000018</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0.0011</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4.31</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10.36</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8.23</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0.069</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0.168</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0.0036</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氟化物</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0.657</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0.302</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0.0022</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0.0011</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0.0011</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0.0004</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0.0127</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0.0054</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硫化物</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9036"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陆城断面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p</w:t>
            </w:r>
            <w:r>
              <w:rPr>
                <w:rFonts w:hint="default" w:ascii="Times New Roman" w:hAnsi="Times New Roman" w:eastAsia="宋体" w:cs="Times New Roman"/>
                <w:color w:val="auto"/>
                <w:sz w:val="21"/>
                <w:szCs w:val="21"/>
              </w:rPr>
              <w:t>H</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7.61</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8.13</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1.74</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高锰酸盐指数</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1.83</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2.86</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2.41</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0.47</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0.439</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0.215</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挥发酚</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0.00002</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0.000018</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0.0011</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4.08</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9.18</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0.061</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0.176</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0.105</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0.0038</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0.0043</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0.0052</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氟化物</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0.123</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0.0147</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0.0018</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0.00021</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0.025</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14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硫化物</w:t>
            </w:r>
          </w:p>
        </w:tc>
        <w:tc>
          <w:tcPr>
            <w:tcW w:w="10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2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由上表可知，长江城陵矶断面和陆城断面所有监测因子均满足《地表水环境质量标准》（GB3838-2002）中的Ⅲ类标准。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8"/>
          <w:u w:val="none"/>
        </w:rPr>
      </w:pPr>
      <w:r>
        <w:rPr>
          <w:rFonts w:hint="default" w:ascii="Times New Roman" w:hAnsi="Times New Roman" w:eastAsia="宋体" w:cs="Times New Roman"/>
          <w:color w:val="auto"/>
          <w:kern w:val="2"/>
          <w:sz w:val="24"/>
          <w:szCs w:val="28"/>
          <w:u w:val="none"/>
        </w:rPr>
        <w:t>本项目收集了</w:t>
      </w:r>
      <w:r>
        <w:rPr>
          <w:rFonts w:hint="default" w:ascii="Times New Roman" w:hAnsi="Times New Roman" w:eastAsia="宋体" w:cs="Times New Roman"/>
          <w:color w:val="auto"/>
          <w:kern w:val="2"/>
          <w:sz w:val="24"/>
          <w:szCs w:val="28"/>
          <w:u w:val="none"/>
          <w:lang w:val="en-US" w:eastAsia="zh-CN"/>
        </w:rPr>
        <w:t>松杨湖</w:t>
      </w:r>
      <w:r>
        <w:rPr>
          <w:rFonts w:hint="default" w:ascii="Times New Roman" w:hAnsi="Times New Roman" w:eastAsia="宋体" w:cs="Times New Roman"/>
          <w:color w:val="auto"/>
          <w:kern w:val="2"/>
          <w:sz w:val="24"/>
          <w:szCs w:val="28"/>
          <w:u w:val="none"/>
        </w:rPr>
        <w:t>2019年1月和2月的常规监测数据，具体监测结果见表</w:t>
      </w:r>
      <w:r>
        <w:rPr>
          <w:rFonts w:hint="default" w:ascii="Times New Roman" w:hAnsi="Times New Roman" w:eastAsia="宋体" w:cs="Times New Roman"/>
          <w:color w:val="auto"/>
          <w:kern w:val="2"/>
          <w:sz w:val="24"/>
          <w:szCs w:val="28"/>
          <w:u w:val="none"/>
          <w:lang w:val="en-US" w:eastAsia="zh-CN"/>
        </w:rPr>
        <w:t>6.3-2</w:t>
      </w:r>
      <w:r>
        <w:rPr>
          <w:rFonts w:hint="default" w:ascii="Times New Roman" w:hAnsi="Times New Roman" w:eastAsia="宋体" w:cs="Times New Roman"/>
          <w:color w:val="auto"/>
          <w:kern w:val="2"/>
          <w:sz w:val="24"/>
          <w:szCs w:val="28"/>
          <w:u w:val="none"/>
        </w:rPr>
        <w:t>。</w:t>
      </w:r>
    </w:p>
    <w:p>
      <w:pPr>
        <w:widowControl w:val="0"/>
        <w:adjustRightInd w:val="0"/>
        <w:snapToGrid w:val="0"/>
        <w:spacing w:line="240" w:lineRule="auto"/>
        <w:ind w:firstLine="0" w:firstLineChars="0"/>
        <w:jc w:val="center"/>
        <w:rPr>
          <w:rFonts w:hint="default" w:ascii="Times New Roman" w:hAnsi="Times New Roman" w:eastAsia="宋体" w:cs="Times New Roman"/>
          <w:b w:val="0"/>
          <w:bCs w:val="0"/>
          <w:snapToGrid w:val="0"/>
          <w:color w:val="auto"/>
          <w:sz w:val="24"/>
          <w:szCs w:val="24"/>
          <w:u w:val="single"/>
        </w:rPr>
      </w:pPr>
      <w:r>
        <w:rPr>
          <w:rFonts w:hint="default" w:ascii="Times New Roman" w:hAnsi="Times New Roman" w:eastAsia="宋体" w:cs="Times New Roman"/>
          <w:b/>
          <w:bCs/>
          <w:snapToGrid w:val="0"/>
          <w:color w:val="auto"/>
          <w:sz w:val="24"/>
          <w:szCs w:val="24"/>
          <w:u w:val="single"/>
        </w:rPr>
        <w:t>表</w:t>
      </w:r>
      <w:r>
        <w:rPr>
          <w:rFonts w:hint="eastAsia" w:ascii="Times New Roman" w:hAnsi="Times New Roman" w:eastAsia="宋体" w:cs="Times New Roman"/>
          <w:b/>
          <w:bCs/>
          <w:snapToGrid w:val="0"/>
          <w:color w:val="auto"/>
          <w:sz w:val="24"/>
          <w:szCs w:val="24"/>
          <w:u w:val="single"/>
          <w:lang w:val="en-US" w:eastAsia="zh-CN"/>
        </w:rPr>
        <w:t>6.3</w:t>
      </w:r>
      <w:r>
        <w:rPr>
          <w:rFonts w:hint="default" w:ascii="Times New Roman" w:hAnsi="Times New Roman" w:eastAsia="宋体" w:cs="Times New Roman"/>
          <w:b/>
          <w:bCs/>
          <w:snapToGrid w:val="0"/>
          <w:color w:val="auto"/>
          <w:sz w:val="24"/>
          <w:szCs w:val="24"/>
          <w:u w:val="single"/>
        </w:rPr>
        <w:t xml:space="preserve">-2  </w:t>
      </w:r>
      <w:r>
        <w:rPr>
          <w:rFonts w:hint="default" w:ascii="Times New Roman" w:hAnsi="Times New Roman" w:eastAsia="宋体" w:cs="Times New Roman"/>
          <w:b/>
          <w:bCs/>
          <w:color w:val="auto"/>
          <w:kern w:val="2"/>
          <w:sz w:val="24"/>
          <w:szCs w:val="24"/>
          <w:u w:val="single"/>
          <w:lang w:val="en-US" w:eastAsia="zh-CN"/>
        </w:rPr>
        <w:t>松杨湖</w:t>
      </w:r>
      <w:r>
        <w:rPr>
          <w:rFonts w:hint="default" w:ascii="Times New Roman" w:hAnsi="Times New Roman" w:eastAsia="宋体" w:cs="Times New Roman"/>
          <w:b/>
          <w:bCs/>
          <w:snapToGrid w:val="0"/>
          <w:color w:val="auto"/>
          <w:sz w:val="24"/>
          <w:szCs w:val="24"/>
          <w:u w:val="single"/>
        </w:rPr>
        <w:t>水环境质量现状监测结果统计表</w:t>
      </w:r>
      <w:r>
        <w:rPr>
          <w:rFonts w:hint="default" w:ascii="Times New Roman" w:hAnsi="Times New Roman" w:eastAsia="宋体" w:cs="Times New Roman"/>
          <w:b/>
          <w:bCs/>
          <w:snapToGrid w:val="0"/>
          <w:color w:val="auto"/>
          <w:sz w:val="24"/>
          <w:szCs w:val="24"/>
          <w:u w:val="single"/>
          <w:lang w:val="en-US" w:eastAsia="zh-CN"/>
        </w:rPr>
        <w:t xml:space="preserve">  </w:t>
      </w:r>
      <w:r>
        <w:rPr>
          <w:rFonts w:hint="default" w:ascii="Times New Roman" w:hAnsi="Times New Roman" w:eastAsia="宋体" w:cs="Times New Roman"/>
          <w:b/>
          <w:bCs/>
          <w:snapToGrid w:val="0"/>
          <w:color w:val="auto"/>
          <w:sz w:val="24"/>
          <w:szCs w:val="24"/>
          <w:u w:val="single"/>
        </w:rPr>
        <w:t>单位：mg/L，pH无量纲</w:t>
      </w:r>
    </w:p>
    <w:tbl>
      <w:tblPr>
        <w:tblStyle w:val="27"/>
        <w:tblW w:w="9077" w:type="dxa"/>
        <w:tblInd w:w="9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1134"/>
        <w:gridCol w:w="709"/>
        <w:gridCol w:w="778"/>
        <w:gridCol w:w="1114"/>
        <w:gridCol w:w="1114"/>
        <w:gridCol w:w="1114"/>
        <w:gridCol w:w="1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5"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监测因子</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1月监测结果</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水质指数</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超标倍数</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2月监测结果</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水质指数</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超标倍数</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Ⅳ类标准限值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水温（℃）</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5</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8</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pH</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7.65</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0.65</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7.45</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0.45</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溶解氧</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11.2</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0.27</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9.6</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0.31</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5"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高锰酸盐指数</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3.5</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0.35</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3.6</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0.36</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化学需氧量</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16</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0.53</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13</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0.43</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五日生化需氧量</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7.2</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1.20</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0.2</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3.7</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0.62</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氨氮</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0.15</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0.10</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0.27</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0.18</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总磷</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0.05</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0.50</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0.08</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0.80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铜</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0.006</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0.01</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0.001L</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锌</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0.05L</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0.05L</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氟化物</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1.39</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0.93</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1.3</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0.87</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硒</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0.0004L</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0.0004L</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砷</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0.0003L</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0.0005</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0.01</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汞</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0.00004L</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0.00004L</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镉</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0.0001L</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0.0001L</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六价铬</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0.004L</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0.004L</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铅</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0.002L</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0.002L</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氰化物</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0.001L</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0.001L</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挥发酚</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0.0003L</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0.0003L</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石油类</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0.01L</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0.01L</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5"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阴离子表面活性剂</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0.05L</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0.05L</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2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硫化物</w:t>
            </w:r>
          </w:p>
        </w:tc>
        <w:tc>
          <w:tcPr>
            <w:tcW w:w="11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0.005L</w:t>
            </w:r>
          </w:p>
        </w:tc>
        <w:tc>
          <w:tcPr>
            <w:tcW w:w="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0.005L</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w:t>
            </w:r>
          </w:p>
        </w:tc>
        <w:tc>
          <w:tcPr>
            <w:tcW w:w="11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0.5</w:t>
            </w:r>
          </w:p>
        </w:tc>
      </w:tr>
    </w:tbl>
    <w:p>
      <w:pPr>
        <w:widowControl w:val="0"/>
        <w:ind w:firstLine="422"/>
        <w:rPr>
          <w:rFonts w:hint="default" w:ascii="Times New Roman" w:hAnsi="Times New Roman" w:eastAsia="宋体" w:cs="Times New Roman"/>
          <w:b w:val="0"/>
          <w:bCs w:val="0"/>
          <w:snapToGrid w:val="0"/>
          <w:color w:val="auto"/>
          <w:sz w:val="21"/>
          <w:szCs w:val="21"/>
          <w:u w:val="none"/>
        </w:rPr>
      </w:pPr>
      <w:r>
        <w:rPr>
          <w:rFonts w:hint="default" w:ascii="Times New Roman" w:hAnsi="Times New Roman" w:eastAsia="宋体" w:cs="Times New Roman"/>
          <w:b w:val="0"/>
          <w:bCs w:val="0"/>
          <w:snapToGrid w:val="0"/>
          <w:color w:val="auto"/>
          <w:sz w:val="21"/>
          <w:szCs w:val="21"/>
          <w:u w:val="none"/>
        </w:rPr>
        <w:t>注：对于监测结果低于检出限的，不计算水质指数。</w:t>
      </w:r>
    </w:p>
    <w:p>
      <w:pPr>
        <w:widowControl w:val="0"/>
        <w:bidi w:val="0"/>
        <w:spacing w:before="20" w:line="360" w:lineRule="auto"/>
        <w:ind w:firstLine="480" w:firstLineChars="200"/>
        <w:jc w:val="both"/>
        <w:rPr>
          <w:rFonts w:hint="eastAsia" w:ascii="Times New Roman" w:hAnsi="Times New Roman" w:eastAsia="宋体" w:cs="Times New Roman"/>
          <w:caps w:val="0"/>
          <w:smallCaps w:val="0"/>
          <w:color w:val="auto"/>
          <w:kern w:val="2"/>
          <w:sz w:val="24"/>
          <w:szCs w:val="24"/>
          <w:u w:val="none"/>
          <w:lang w:val="en-US" w:eastAsia="zh-CN" w:bidi="ar-SA"/>
        </w:rPr>
      </w:pPr>
      <w:r>
        <w:rPr>
          <w:rFonts w:hint="default" w:ascii="Times New Roman" w:hAnsi="Times New Roman" w:eastAsia="宋体" w:cs="Times New Roman"/>
          <w:color w:val="auto"/>
          <w:sz w:val="24"/>
          <w:szCs w:val="24"/>
          <w:u w:val="none"/>
        </w:rPr>
        <w:t>根据监测结果可知，</w:t>
      </w:r>
      <w:r>
        <w:rPr>
          <w:rFonts w:hint="default" w:ascii="Times New Roman" w:hAnsi="Times New Roman" w:eastAsia="宋体" w:cs="Times New Roman"/>
          <w:color w:val="auto"/>
          <w:kern w:val="2"/>
          <w:sz w:val="24"/>
          <w:szCs w:val="24"/>
          <w:u w:val="none"/>
          <w:lang w:val="en-US" w:eastAsia="zh-CN"/>
        </w:rPr>
        <w:t>松杨湖</w:t>
      </w:r>
      <w:r>
        <w:rPr>
          <w:rFonts w:hint="default" w:ascii="Times New Roman" w:hAnsi="Times New Roman" w:eastAsia="宋体" w:cs="Times New Roman"/>
          <w:color w:val="auto"/>
          <w:sz w:val="24"/>
          <w:szCs w:val="24"/>
          <w:u w:val="none"/>
        </w:rPr>
        <w:t>五日生化需氧量存在超标现象，其余指标满足《地表水环境质量标准》（GB3838-2002）中的Ⅳ类标准要求。</w:t>
      </w:r>
      <w:r>
        <w:rPr>
          <w:rFonts w:hint="eastAsia" w:cs="Times New Roman"/>
          <w:color w:val="auto"/>
          <w:sz w:val="24"/>
          <w:szCs w:val="24"/>
          <w:u w:val="none"/>
          <w:lang w:val="en-US" w:eastAsia="zh-CN"/>
        </w:rPr>
        <w:t>五日生化需氧量超标的原因，是因为园区及周边存在部分雨污水未经收集直排松杨湖，</w:t>
      </w:r>
      <w:r>
        <w:rPr>
          <w:rFonts w:hint="default" w:ascii="Times New Roman" w:hAnsi="Times New Roman" w:eastAsia="宋体" w:cs="Times New Roman"/>
          <w:color w:val="auto"/>
          <w:sz w:val="24"/>
          <w:szCs w:val="24"/>
          <w:u w:val="none"/>
        </w:rPr>
        <w:t>待区域配套雨污管网全面建成后，</w:t>
      </w:r>
      <w:r>
        <w:rPr>
          <w:rFonts w:hint="default" w:ascii="Times New Roman" w:hAnsi="Times New Roman" w:eastAsia="宋体" w:cs="Times New Roman"/>
          <w:color w:val="auto"/>
          <w:sz w:val="24"/>
          <w:szCs w:val="24"/>
          <w:u w:val="none"/>
          <w:lang w:val="en-US" w:eastAsia="zh-CN"/>
        </w:rPr>
        <w:t>松杨湖</w:t>
      </w:r>
      <w:r>
        <w:rPr>
          <w:rFonts w:hint="default" w:ascii="Times New Roman" w:hAnsi="Times New Roman" w:eastAsia="宋体" w:cs="Times New Roman"/>
          <w:color w:val="auto"/>
          <w:sz w:val="24"/>
          <w:szCs w:val="24"/>
          <w:u w:val="none"/>
        </w:rPr>
        <w:t>水质将得以改善。</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hint="eastAsia" w:ascii="Times New Roman" w:hAnsi="Times New Roman" w:eastAsia="宋体" w:cs="Times New Roman"/>
          <w:b/>
          <w:color w:val="auto"/>
          <w:kern w:val="2"/>
          <w:sz w:val="30"/>
          <w:szCs w:val="22"/>
          <w:lang w:val="en-US" w:eastAsia="zh-CN" w:bidi="ar-SA"/>
        </w:rPr>
      </w:pPr>
      <w:bookmarkStart w:id="131" w:name="_Toc22174"/>
      <w:bookmarkStart w:id="132" w:name="_Toc18432"/>
      <w:bookmarkStart w:id="133" w:name="_Toc345063558"/>
      <w:bookmarkStart w:id="134" w:name="_Toc40549349"/>
      <w:bookmarkStart w:id="135" w:name="_Toc18412"/>
      <w:r>
        <w:rPr>
          <w:rFonts w:hint="eastAsia" w:ascii="Times New Roman" w:hAnsi="Times New Roman" w:eastAsia="宋体" w:cs="Times New Roman"/>
          <w:b/>
          <w:color w:val="auto"/>
          <w:kern w:val="2"/>
          <w:sz w:val="30"/>
          <w:szCs w:val="22"/>
          <w:lang w:val="en-US" w:eastAsia="zh-CN" w:bidi="ar-SA"/>
        </w:rPr>
        <w:t>6.4地下水环境质量现状与评价</w:t>
      </w:r>
      <w:bookmarkEnd w:id="131"/>
      <w:bookmarkEnd w:id="132"/>
    </w:p>
    <w:p>
      <w:pPr>
        <w:pStyle w:val="33"/>
        <w:ind w:firstLine="480"/>
        <w:rPr>
          <w:color w:val="auto"/>
        </w:rPr>
      </w:pPr>
      <w:r>
        <w:rPr>
          <w:color w:val="auto"/>
        </w:rPr>
        <w:t>本项目地下水评价引用《湖南岳阳绿色化工产业园规划环境影响跟踪评价报告书》中对于地下水的监测内容。</w:t>
      </w:r>
    </w:p>
    <w:p>
      <w:pPr>
        <w:pStyle w:val="33"/>
        <w:ind w:firstLine="480"/>
        <w:rPr>
          <w:color w:val="auto"/>
        </w:rPr>
      </w:pPr>
      <w:r>
        <w:rPr>
          <w:color w:val="auto"/>
        </w:rPr>
        <w:t>（1）监测断面</w:t>
      </w:r>
    </w:p>
    <w:p>
      <w:pPr>
        <w:pStyle w:val="33"/>
        <w:ind w:firstLine="480"/>
        <w:rPr>
          <w:color w:val="auto"/>
        </w:rPr>
      </w:pPr>
      <w:r>
        <w:rPr>
          <w:color w:val="auto"/>
        </w:rPr>
        <w:t>布设13个地下水水质监测点位，监测点位信息见下表</w:t>
      </w:r>
      <w:r>
        <w:rPr>
          <w:rFonts w:hint="eastAsia"/>
          <w:color w:val="auto"/>
          <w:lang w:val="en-US" w:eastAsia="zh-CN"/>
        </w:rPr>
        <w:t>6.4</w:t>
      </w:r>
      <w:r>
        <w:rPr>
          <w:color w:val="auto"/>
        </w:rPr>
        <w:t>-</w:t>
      </w:r>
      <w:r>
        <w:rPr>
          <w:rFonts w:hint="eastAsia"/>
          <w:color w:val="auto"/>
          <w:lang w:val="en-US" w:eastAsia="zh-CN"/>
        </w:rPr>
        <w:t>1</w:t>
      </w:r>
      <w:r>
        <w:rPr>
          <w:rFonts w:hint="eastAsia"/>
          <w:color w:val="auto"/>
        </w:rPr>
        <w:t>。</w:t>
      </w:r>
    </w:p>
    <w:p>
      <w:pPr>
        <w:pStyle w:val="36"/>
        <w:keepNext w:val="0"/>
        <w:keepLines w:val="0"/>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表</w:t>
      </w:r>
      <w:r>
        <w:rPr>
          <w:rFonts w:hint="eastAsia"/>
          <w:color w:val="auto"/>
          <w:lang w:val="en-US" w:eastAsia="zh-CN"/>
        </w:rPr>
        <w:t>6.4</w:t>
      </w:r>
      <w:r>
        <w:rPr>
          <w:color w:val="auto"/>
        </w:rPr>
        <w:t>-</w:t>
      </w:r>
      <w:r>
        <w:rPr>
          <w:rFonts w:hint="eastAsia"/>
          <w:color w:val="auto"/>
          <w:lang w:val="en-US" w:eastAsia="zh-CN"/>
        </w:rPr>
        <w:t>1</w:t>
      </w:r>
      <w:r>
        <w:rPr>
          <w:color w:val="auto"/>
        </w:rPr>
        <w:t xml:space="preserve">  地下水环境质量现状监测布点信息表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2737"/>
        <w:gridCol w:w="1613"/>
        <w:gridCol w:w="1712"/>
        <w:gridCol w:w="18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ascii="Times New Roman" w:hAnsi="Times New Roman" w:eastAsia="宋体" w:cs="Times New Roman"/>
                <w:color w:val="auto"/>
              </w:rPr>
            </w:pPr>
            <w:r>
              <w:rPr>
                <w:rFonts w:ascii="Times New Roman" w:hAnsi="Times New Roman" w:eastAsia="宋体" w:cs="Times New Roman"/>
                <w:color w:val="auto"/>
              </w:rPr>
              <w:t>点位编号</w:t>
            </w:r>
          </w:p>
        </w:tc>
        <w:tc>
          <w:tcPr>
            <w:tcW w:w="1473"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ascii="Times New Roman" w:hAnsi="Times New Roman" w:eastAsia="宋体" w:cs="Times New Roman"/>
                <w:color w:val="auto"/>
              </w:rPr>
            </w:pPr>
            <w:r>
              <w:rPr>
                <w:rFonts w:ascii="Times New Roman" w:hAnsi="Times New Roman" w:eastAsia="宋体" w:cs="Times New Roman"/>
                <w:color w:val="auto"/>
              </w:rPr>
              <w:t>点位位置</w:t>
            </w:r>
          </w:p>
        </w:tc>
        <w:tc>
          <w:tcPr>
            <w:tcW w:w="868"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ascii="Times New Roman" w:hAnsi="Times New Roman" w:eastAsia="宋体" w:cs="Times New Roman"/>
                <w:color w:val="auto"/>
              </w:rPr>
            </w:pPr>
            <w:r>
              <w:rPr>
                <w:rFonts w:ascii="Times New Roman" w:hAnsi="Times New Roman" w:eastAsia="宋体" w:cs="Times New Roman"/>
                <w:color w:val="auto"/>
              </w:rPr>
              <w:t>E</w:t>
            </w:r>
          </w:p>
        </w:tc>
        <w:tc>
          <w:tcPr>
            <w:tcW w:w="921"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ascii="Times New Roman" w:hAnsi="Times New Roman" w:eastAsia="宋体" w:cs="Times New Roman"/>
                <w:color w:val="auto"/>
              </w:rPr>
            </w:pPr>
            <w:r>
              <w:rPr>
                <w:rFonts w:ascii="Times New Roman" w:hAnsi="Times New Roman" w:eastAsia="宋体" w:cs="Times New Roman"/>
                <w:color w:val="auto"/>
              </w:rPr>
              <w:t>N</w:t>
            </w:r>
          </w:p>
        </w:tc>
        <w:tc>
          <w:tcPr>
            <w:tcW w:w="1000"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rPr>
              <w:t>水位数据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ascii="Times New Roman" w:hAnsi="Times New Roman" w:eastAsia="宋体" w:cs="Times New Roman"/>
                <w:color w:val="auto"/>
              </w:rPr>
            </w:pPr>
            <w:r>
              <w:rPr>
                <w:rFonts w:ascii="Times New Roman" w:hAnsi="Times New Roman" w:eastAsia="宋体" w:cs="Times New Roman"/>
                <w:color w:val="auto"/>
              </w:rPr>
              <w:t>1#</w:t>
            </w:r>
          </w:p>
        </w:tc>
        <w:tc>
          <w:tcPr>
            <w:tcW w:w="1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杨雪飞家水井(3#水井)</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113°14′54″</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29°28′46″</w:t>
            </w:r>
          </w:p>
        </w:tc>
        <w:tc>
          <w:tcPr>
            <w:tcW w:w="1000" w:type="pct"/>
            <w:tcBorders>
              <w:tl2br w:val="nil"/>
              <w:tr2bl w:val="nil"/>
            </w:tcBorders>
            <w:noWrap w:val="0"/>
            <w:vAlign w:val="center"/>
          </w:tcPr>
          <w:p>
            <w:pPr>
              <w:pStyle w:val="62"/>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20.8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2#</w:t>
            </w:r>
          </w:p>
        </w:tc>
        <w:tc>
          <w:tcPr>
            <w:tcW w:w="1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姚海清家水井（4#水井）</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113°15′38″</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29°28′47″</w:t>
            </w:r>
          </w:p>
        </w:tc>
        <w:tc>
          <w:tcPr>
            <w:tcW w:w="1000" w:type="pct"/>
            <w:tcBorders>
              <w:tl2br w:val="nil"/>
              <w:tr2bl w:val="nil"/>
            </w:tcBorders>
            <w:noWrap w:val="0"/>
            <w:vAlign w:val="center"/>
          </w:tcPr>
          <w:p>
            <w:pPr>
              <w:pStyle w:val="62"/>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30.9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3#</w:t>
            </w:r>
          </w:p>
        </w:tc>
        <w:tc>
          <w:tcPr>
            <w:tcW w:w="1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崔菊香家水井（5#水井）</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113°15′35″</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29°29′18″</w:t>
            </w:r>
          </w:p>
        </w:tc>
        <w:tc>
          <w:tcPr>
            <w:tcW w:w="1000" w:type="pct"/>
            <w:tcBorders>
              <w:tl2br w:val="nil"/>
              <w:tr2bl w:val="nil"/>
            </w:tcBorders>
            <w:noWrap w:val="0"/>
            <w:vAlign w:val="center"/>
          </w:tcPr>
          <w:p>
            <w:pPr>
              <w:pStyle w:val="62"/>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35.2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4#</w:t>
            </w:r>
          </w:p>
        </w:tc>
        <w:tc>
          <w:tcPr>
            <w:tcW w:w="1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梁盛娥家水井（6#水井）</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113°15′59″</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29°30′11″</w:t>
            </w:r>
          </w:p>
        </w:tc>
        <w:tc>
          <w:tcPr>
            <w:tcW w:w="1000" w:type="pct"/>
            <w:tcBorders>
              <w:tl2br w:val="nil"/>
              <w:tr2bl w:val="nil"/>
            </w:tcBorders>
            <w:noWrap w:val="0"/>
            <w:vAlign w:val="center"/>
          </w:tcPr>
          <w:p>
            <w:pPr>
              <w:pStyle w:val="62"/>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43.05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5#</w:t>
            </w:r>
          </w:p>
        </w:tc>
        <w:tc>
          <w:tcPr>
            <w:tcW w:w="1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刘其兵家水井（8#水井）</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113°15′55″</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29°30′33″</w:t>
            </w:r>
          </w:p>
        </w:tc>
        <w:tc>
          <w:tcPr>
            <w:tcW w:w="1000" w:type="pct"/>
            <w:tcBorders>
              <w:tl2br w:val="nil"/>
              <w:tr2bl w:val="nil"/>
            </w:tcBorders>
            <w:noWrap w:val="0"/>
            <w:vAlign w:val="center"/>
          </w:tcPr>
          <w:p>
            <w:pPr>
              <w:pStyle w:val="62"/>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32.83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6#</w:t>
            </w:r>
          </w:p>
        </w:tc>
        <w:tc>
          <w:tcPr>
            <w:tcW w:w="1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基隆村朱户组水井（9#水井）</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113°15′21″</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29°30′33″</w:t>
            </w:r>
          </w:p>
        </w:tc>
        <w:tc>
          <w:tcPr>
            <w:tcW w:w="1000" w:type="pct"/>
            <w:tcBorders>
              <w:tl2br w:val="nil"/>
              <w:tr2bl w:val="nil"/>
            </w:tcBorders>
            <w:noWrap w:val="0"/>
            <w:vAlign w:val="center"/>
          </w:tcPr>
          <w:p>
            <w:pPr>
              <w:pStyle w:val="62"/>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36.94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7#</w:t>
            </w:r>
          </w:p>
        </w:tc>
        <w:tc>
          <w:tcPr>
            <w:tcW w:w="1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李金桂家水井（10#水井）</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113°14′50″</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29°30′08″</w:t>
            </w:r>
          </w:p>
        </w:tc>
        <w:tc>
          <w:tcPr>
            <w:tcW w:w="1000" w:type="pct"/>
            <w:tcBorders>
              <w:tl2br w:val="nil"/>
              <w:tr2bl w:val="nil"/>
            </w:tcBorders>
            <w:noWrap w:val="0"/>
            <w:vAlign w:val="center"/>
          </w:tcPr>
          <w:p>
            <w:pPr>
              <w:pStyle w:val="62"/>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32.98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8#</w:t>
            </w:r>
          </w:p>
        </w:tc>
        <w:tc>
          <w:tcPr>
            <w:tcW w:w="1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孙亚军家水井（11#水井）</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113°14′48″</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29°29′45″</w:t>
            </w:r>
          </w:p>
        </w:tc>
        <w:tc>
          <w:tcPr>
            <w:tcW w:w="1000" w:type="pct"/>
            <w:tcBorders>
              <w:tl2br w:val="nil"/>
              <w:tr2bl w:val="nil"/>
            </w:tcBorders>
            <w:noWrap w:val="0"/>
            <w:vAlign w:val="center"/>
          </w:tcPr>
          <w:p>
            <w:pPr>
              <w:pStyle w:val="62"/>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9#</w:t>
            </w:r>
          </w:p>
        </w:tc>
        <w:tc>
          <w:tcPr>
            <w:tcW w:w="1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已有井</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113°14′55″</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29°30′21″</w:t>
            </w:r>
          </w:p>
        </w:tc>
        <w:tc>
          <w:tcPr>
            <w:tcW w:w="1000" w:type="pct"/>
            <w:tcBorders>
              <w:tl2br w:val="nil"/>
              <w:tr2bl w:val="nil"/>
            </w:tcBorders>
            <w:noWrap w:val="0"/>
            <w:vAlign w:val="center"/>
          </w:tcPr>
          <w:p>
            <w:pPr>
              <w:pStyle w:val="62"/>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40.9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10#</w:t>
            </w:r>
          </w:p>
        </w:tc>
        <w:tc>
          <w:tcPr>
            <w:tcW w:w="1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新建勘探井</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113°15′12″</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29°29′09″</w:t>
            </w:r>
          </w:p>
        </w:tc>
        <w:tc>
          <w:tcPr>
            <w:tcW w:w="1000" w:type="pct"/>
            <w:tcBorders>
              <w:tl2br w:val="nil"/>
              <w:tr2bl w:val="nil"/>
            </w:tcBorders>
            <w:noWrap w:val="0"/>
            <w:vAlign w:val="center"/>
          </w:tcPr>
          <w:p>
            <w:pPr>
              <w:pStyle w:val="62"/>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20.77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11#</w:t>
            </w:r>
          </w:p>
        </w:tc>
        <w:tc>
          <w:tcPr>
            <w:tcW w:w="1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新建勘探井</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113°15′15″</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29°29′25″</w:t>
            </w:r>
          </w:p>
        </w:tc>
        <w:tc>
          <w:tcPr>
            <w:tcW w:w="1000" w:type="pct"/>
            <w:tcBorders>
              <w:tl2br w:val="nil"/>
              <w:tr2bl w:val="nil"/>
            </w:tcBorders>
            <w:noWrap w:val="0"/>
            <w:vAlign w:val="center"/>
          </w:tcPr>
          <w:p>
            <w:pPr>
              <w:pStyle w:val="62"/>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32.78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12#</w:t>
            </w:r>
          </w:p>
        </w:tc>
        <w:tc>
          <w:tcPr>
            <w:tcW w:w="1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新建勘探井</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113°15′10″</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29°29′15″</w:t>
            </w:r>
          </w:p>
        </w:tc>
        <w:tc>
          <w:tcPr>
            <w:tcW w:w="1000" w:type="pct"/>
            <w:tcBorders>
              <w:tl2br w:val="nil"/>
              <w:tr2bl w:val="nil"/>
            </w:tcBorders>
            <w:noWrap w:val="0"/>
            <w:vAlign w:val="center"/>
          </w:tcPr>
          <w:p>
            <w:pPr>
              <w:pStyle w:val="62"/>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26.5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13#</w:t>
            </w:r>
          </w:p>
        </w:tc>
        <w:tc>
          <w:tcPr>
            <w:tcW w:w="1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新建勘探井</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113°15′23″</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kern w:val="0"/>
                <w:szCs w:val="21"/>
                <w:lang w:bidi="ar"/>
              </w:rPr>
              <w:t>29°29′09″</w:t>
            </w:r>
          </w:p>
        </w:tc>
        <w:tc>
          <w:tcPr>
            <w:tcW w:w="1000" w:type="pc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28.5</w:t>
            </w:r>
          </w:p>
        </w:tc>
      </w:tr>
    </w:tbl>
    <w:p>
      <w:pPr>
        <w:pStyle w:val="33"/>
        <w:ind w:firstLine="480"/>
        <w:rPr>
          <w:color w:val="auto"/>
        </w:rPr>
      </w:pPr>
      <w:r>
        <w:rPr>
          <w:color w:val="auto"/>
        </w:rPr>
        <w:t>★点位合理性分析</w:t>
      </w:r>
    </w:p>
    <w:p>
      <w:pPr>
        <w:pStyle w:val="33"/>
        <w:ind w:firstLine="480"/>
        <w:rPr>
          <w:color w:val="auto"/>
        </w:rPr>
      </w:pPr>
      <w:r>
        <w:rPr>
          <w:color w:val="auto"/>
        </w:rPr>
        <w:t>建设项目地下水评级等级为二级。根据《环境影响评价技术导则地下水环境》（HJ610-2016），二级评价项目潜水含水层的水质监测点位不少于5个，建设项目场地上游和两侧的地下水水质监测点位均不得少于1个，建设项目场地及其下游影响区的地下水水质监测点不得少于2个。另外，根据《环境影响评价技术导则 地下水环境》（HJ610-2016），项目地下水水位监测点位不应小于10个（水质监测点位的2倍）。综上所述，项目区域地下水水质评价的水质监测点位引用《湖南岳阳绿色化工产业园规划环境影响跟踪评价报告书》</w:t>
      </w:r>
      <w:r>
        <w:rPr>
          <w:rFonts w:hint="eastAsia"/>
          <w:color w:val="auto"/>
        </w:rPr>
        <w:t>中数据，监测点位</w:t>
      </w:r>
      <w:r>
        <w:rPr>
          <w:color w:val="auto"/>
        </w:rPr>
        <w:t>为</w:t>
      </w:r>
      <w:r>
        <w:rPr>
          <w:rFonts w:hint="eastAsia"/>
          <w:color w:val="auto"/>
        </w:rPr>
        <w:t>13</w:t>
      </w:r>
      <w:r>
        <w:rPr>
          <w:color w:val="auto"/>
        </w:rPr>
        <w:t>个，其点位布设上满足《环境影响评价技术导则 地下水环境》（HJ610-2016）中要求，点位布设较合理。</w:t>
      </w:r>
    </w:p>
    <w:p>
      <w:pPr>
        <w:pStyle w:val="2"/>
        <w:jc w:val="center"/>
        <w:rPr>
          <w:rFonts w:ascii="Times New Roman" w:hAnsi="Times New Roman" w:eastAsia="宋体" w:cs="Times New Roman"/>
          <w:color w:val="auto"/>
          <w:sz w:val="24"/>
        </w:rPr>
      </w:pPr>
      <w:r>
        <w:rPr>
          <w:rFonts w:ascii="Times New Roman" w:hAnsi="Times New Roman" w:eastAsia="宋体" w:cs="Times New Roman"/>
          <w:color w:val="auto"/>
          <w:sz w:val="24"/>
        </w:rPr>
        <w:drawing>
          <wp:inline distT="0" distB="0" distL="114300" distR="114300">
            <wp:extent cx="5478145" cy="4760595"/>
            <wp:effectExtent l="0" t="0" r="8255" b="1905"/>
            <wp:docPr id="15" name="图片 2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3" descr="IMG_256"/>
                    <pic:cNvPicPr>
                      <a:picLocks noChangeAspect="1"/>
                    </pic:cNvPicPr>
                  </pic:nvPicPr>
                  <pic:blipFill>
                    <a:blip r:embed="rId47"/>
                    <a:stretch>
                      <a:fillRect/>
                    </a:stretch>
                  </pic:blipFill>
                  <pic:spPr>
                    <a:xfrm>
                      <a:off x="0" y="0"/>
                      <a:ext cx="5478145" cy="4760595"/>
                    </a:xfrm>
                    <a:prstGeom prst="rect">
                      <a:avLst/>
                    </a:prstGeom>
                    <a:noFill/>
                    <a:ln>
                      <a:noFill/>
                    </a:ln>
                  </pic:spPr>
                </pic:pic>
              </a:graphicData>
            </a:graphic>
          </wp:inline>
        </w:drawing>
      </w:r>
    </w:p>
    <w:p>
      <w:pPr>
        <w:pStyle w:val="36"/>
        <w:rPr>
          <w:color w:val="auto"/>
        </w:rPr>
      </w:pPr>
      <w:r>
        <w:rPr>
          <w:color w:val="auto"/>
        </w:rPr>
        <w:t>图</w:t>
      </w:r>
      <w:r>
        <w:rPr>
          <w:rFonts w:hint="eastAsia"/>
          <w:color w:val="auto"/>
          <w:lang w:val="en-US" w:eastAsia="zh-CN"/>
        </w:rPr>
        <w:t>6.4</w:t>
      </w:r>
      <w:r>
        <w:rPr>
          <w:color w:val="auto"/>
        </w:rPr>
        <w:t>-1   地下水监测点位置图</w:t>
      </w:r>
    </w:p>
    <w:p>
      <w:pPr>
        <w:pStyle w:val="2"/>
        <w:jc w:val="center"/>
        <w:rPr>
          <w:rFonts w:ascii="Times New Roman" w:hAnsi="Times New Roman" w:eastAsia="宋体" w:cs="Times New Roman"/>
          <w:color w:val="auto"/>
          <w:sz w:val="24"/>
        </w:rPr>
      </w:pPr>
      <w:r>
        <w:rPr>
          <w:color w:val="auto"/>
        </w:rPr>
        <w:drawing>
          <wp:inline distT="0" distB="0" distL="114300" distR="114300">
            <wp:extent cx="5757545" cy="5006975"/>
            <wp:effectExtent l="0" t="0" r="14605" b="3175"/>
            <wp:docPr id="17"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4"/>
                    <pic:cNvPicPr>
                      <a:picLocks noChangeAspect="1"/>
                    </pic:cNvPicPr>
                  </pic:nvPicPr>
                  <pic:blipFill>
                    <a:blip r:embed="rId48"/>
                    <a:stretch>
                      <a:fillRect/>
                    </a:stretch>
                  </pic:blipFill>
                  <pic:spPr>
                    <a:xfrm>
                      <a:off x="0" y="0"/>
                      <a:ext cx="5757545" cy="5006975"/>
                    </a:xfrm>
                    <a:prstGeom prst="rect">
                      <a:avLst/>
                    </a:prstGeom>
                    <a:noFill/>
                    <a:ln>
                      <a:noFill/>
                    </a:ln>
                  </pic:spPr>
                </pic:pic>
              </a:graphicData>
            </a:graphic>
          </wp:inline>
        </w:drawing>
      </w:r>
    </w:p>
    <w:p>
      <w:pPr>
        <w:pStyle w:val="36"/>
        <w:rPr>
          <w:color w:val="auto"/>
        </w:rPr>
      </w:pPr>
      <w:r>
        <w:rPr>
          <w:color w:val="auto"/>
        </w:rPr>
        <w:t>图</w:t>
      </w:r>
      <w:r>
        <w:rPr>
          <w:rFonts w:hint="eastAsia"/>
          <w:color w:val="auto"/>
          <w:lang w:val="en-US" w:eastAsia="zh-CN"/>
        </w:rPr>
        <w:t>6.4</w:t>
      </w:r>
      <w:r>
        <w:rPr>
          <w:color w:val="auto"/>
        </w:rPr>
        <w:t>-</w:t>
      </w:r>
      <w:r>
        <w:rPr>
          <w:rFonts w:hint="eastAsia"/>
          <w:color w:val="auto"/>
          <w:lang w:val="en-US" w:eastAsia="zh-CN"/>
        </w:rPr>
        <w:t>2</w:t>
      </w:r>
      <w:r>
        <w:rPr>
          <w:color w:val="auto"/>
        </w:rPr>
        <w:t xml:space="preserve">   地下水</w:t>
      </w:r>
      <w:r>
        <w:rPr>
          <w:rFonts w:hint="eastAsia"/>
          <w:color w:val="auto"/>
          <w:lang w:eastAsia="zh-CN"/>
        </w:rPr>
        <w:t>流向</w:t>
      </w:r>
      <w:r>
        <w:rPr>
          <w:color w:val="auto"/>
        </w:rPr>
        <w:t>图</w:t>
      </w:r>
    </w:p>
    <w:p>
      <w:pPr>
        <w:pStyle w:val="33"/>
        <w:keepNext w:val="0"/>
        <w:keepLines w:val="0"/>
        <w:pageBreakBefore w:val="0"/>
        <w:widowControl w:val="0"/>
        <w:kinsoku/>
        <w:wordWrap/>
        <w:overflowPunct/>
        <w:topLinePunct w:val="0"/>
        <w:autoSpaceDE/>
        <w:autoSpaceDN/>
        <w:bidi w:val="0"/>
        <w:adjustRightInd/>
        <w:snapToGrid/>
        <w:spacing w:before="0"/>
        <w:ind w:left="0" w:leftChars="0" w:firstLine="480" w:firstLineChars="200"/>
        <w:textAlignment w:val="auto"/>
        <w:rPr>
          <w:color w:val="auto"/>
        </w:rPr>
      </w:pPr>
      <w:r>
        <w:rPr>
          <w:color w:val="auto"/>
        </w:rPr>
        <w:t>（2）监测因子</w:t>
      </w:r>
    </w:p>
    <w:p>
      <w:pPr>
        <w:pStyle w:val="33"/>
        <w:ind w:firstLine="480"/>
        <w:rPr>
          <w:color w:val="auto"/>
        </w:rPr>
      </w:pPr>
      <w:r>
        <w:rPr>
          <w:color w:val="auto"/>
          <w:kern w:val="0"/>
          <w:szCs w:val="24"/>
          <w:lang w:bidi="ar"/>
        </w:rPr>
        <w:t>监测项目有：K(钾)、Na(钠)、Ca(钙)、Mg(镁)、CO</w:t>
      </w:r>
      <w:r>
        <w:rPr>
          <w:color w:val="auto"/>
          <w:kern w:val="0"/>
          <w:szCs w:val="24"/>
          <w:vertAlign w:val="subscript"/>
          <w:lang w:bidi="ar"/>
        </w:rPr>
        <w:t>3</w:t>
      </w:r>
      <w:r>
        <w:rPr>
          <w:color w:val="auto"/>
          <w:kern w:val="0"/>
          <w:szCs w:val="24"/>
          <w:vertAlign w:val="superscript"/>
          <w:lang w:bidi="ar"/>
        </w:rPr>
        <w:t>2-</w:t>
      </w:r>
      <w:r>
        <w:rPr>
          <w:color w:val="auto"/>
          <w:kern w:val="0"/>
          <w:szCs w:val="24"/>
          <w:lang w:bidi="ar"/>
        </w:rPr>
        <w:t>(碳酸根)、HCO</w:t>
      </w:r>
      <w:r>
        <w:rPr>
          <w:color w:val="auto"/>
          <w:kern w:val="0"/>
          <w:szCs w:val="24"/>
          <w:vertAlign w:val="subscript"/>
          <w:lang w:bidi="ar"/>
        </w:rPr>
        <w:t>3</w:t>
      </w:r>
      <w:r>
        <w:rPr>
          <w:color w:val="auto"/>
          <w:kern w:val="0"/>
          <w:szCs w:val="24"/>
          <w:vertAlign w:val="superscript"/>
          <w:lang w:bidi="ar"/>
        </w:rPr>
        <w:t>-</w:t>
      </w:r>
      <w:r>
        <w:rPr>
          <w:color w:val="auto"/>
          <w:kern w:val="0"/>
          <w:szCs w:val="24"/>
          <w:lang w:bidi="ar"/>
        </w:rPr>
        <w:t>（</w:t>
      </w:r>
      <w:r>
        <w:rPr>
          <w:rFonts w:hint="eastAsia"/>
          <w:color w:val="auto"/>
          <w:kern w:val="0"/>
          <w:szCs w:val="24"/>
          <w:lang w:eastAsia="zh-CN" w:bidi="ar"/>
        </w:rPr>
        <w:t>碳酸氢根</w:t>
      </w:r>
      <w:r>
        <w:rPr>
          <w:color w:val="auto"/>
          <w:kern w:val="0"/>
          <w:szCs w:val="24"/>
          <w:lang w:bidi="ar"/>
        </w:rPr>
        <w:t>）、Cl</w:t>
      </w:r>
      <w:r>
        <w:rPr>
          <w:color w:val="auto"/>
          <w:kern w:val="0"/>
          <w:szCs w:val="24"/>
          <w:vertAlign w:val="superscript"/>
          <w:lang w:bidi="ar"/>
        </w:rPr>
        <w:t>-</w:t>
      </w:r>
      <w:r>
        <w:rPr>
          <w:color w:val="auto"/>
          <w:kern w:val="0"/>
          <w:szCs w:val="24"/>
          <w:lang w:bidi="ar"/>
        </w:rPr>
        <w:t>(氯化物)、SO</w:t>
      </w:r>
      <w:r>
        <w:rPr>
          <w:color w:val="auto"/>
          <w:kern w:val="0"/>
          <w:szCs w:val="24"/>
          <w:vertAlign w:val="subscript"/>
          <w:lang w:bidi="ar"/>
        </w:rPr>
        <w:t>4</w:t>
      </w:r>
      <w:r>
        <w:rPr>
          <w:color w:val="auto"/>
          <w:kern w:val="0"/>
          <w:szCs w:val="24"/>
          <w:vertAlign w:val="superscript"/>
          <w:lang w:bidi="ar"/>
        </w:rPr>
        <w:t>2-</w:t>
      </w:r>
      <w:r>
        <w:rPr>
          <w:color w:val="auto"/>
          <w:kern w:val="0"/>
          <w:szCs w:val="24"/>
          <w:lang w:bidi="ar"/>
        </w:rPr>
        <w:t>(硫酸盐)、pH、氨氮、NO</w:t>
      </w:r>
      <w:r>
        <w:rPr>
          <w:color w:val="auto"/>
          <w:kern w:val="0"/>
          <w:szCs w:val="24"/>
          <w:vertAlign w:val="subscript"/>
          <w:lang w:bidi="ar"/>
        </w:rPr>
        <w:t>3</w:t>
      </w:r>
      <w:r>
        <w:rPr>
          <w:color w:val="auto"/>
          <w:kern w:val="0"/>
          <w:szCs w:val="24"/>
          <w:vertAlign w:val="superscript"/>
          <w:lang w:bidi="ar"/>
        </w:rPr>
        <w:t>-</w:t>
      </w:r>
      <w:r>
        <w:rPr>
          <w:color w:val="auto"/>
          <w:kern w:val="0"/>
          <w:szCs w:val="24"/>
          <w:lang w:bidi="ar"/>
        </w:rPr>
        <w:t>(硝酸盐)、NO</w:t>
      </w:r>
      <w:r>
        <w:rPr>
          <w:color w:val="auto"/>
          <w:kern w:val="0"/>
          <w:szCs w:val="24"/>
          <w:vertAlign w:val="subscript"/>
          <w:lang w:bidi="ar"/>
        </w:rPr>
        <w:t>2</w:t>
      </w:r>
      <w:r>
        <w:rPr>
          <w:color w:val="auto"/>
          <w:kern w:val="0"/>
          <w:szCs w:val="24"/>
          <w:vertAlign w:val="superscript"/>
          <w:lang w:bidi="ar"/>
        </w:rPr>
        <w:t>-</w:t>
      </w:r>
      <w:r>
        <w:rPr>
          <w:color w:val="auto"/>
          <w:kern w:val="0"/>
          <w:szCs w:val="24"/>
          <w:lang w:bidi="ar"/>
        </w:rPr>
        <w:t>(亚硝酸盐)、挥发性酚类、氰化物、As(砷)、Hg(汞)、Cr6</w:t>
      </w:r>
      <w:r>
        <w:rPr>
          <w:color w:val="auto"/>
          <w:kern w:val="0"/>
          <w:szCs w:val="24"/>
          <w:vertAlign w:val="superscript"/>
          <w:lang w:bidi="ar"/>
        </w:rPr>
        <w:t>+</w:t>
      </w:r>
      <w:r>
        <w:rPr>
          <w:color w:val="auto"/>
          <w:kern w:val="0"/>
          <w:szCs w:val="24"/>
          <w:lang w:bidi="ar"/>
        </w:rPr>
        <w:t>(六价铬)、总硬度、Pb（铅）、F-(氟化物)、镉、Fe(铁)、Mn(锰)、溶解性总固体、高锰酸盐指数、总大肠菌群、细菌总数、石油类、甲苯、苯、二氯丙烷共3</w:t>
      </w:r>
      <w:r>
        <w:rPr>
          <w:rFonts w:hint="eastAsia"/>
          <w:color w:val="auto"/>
          <w:kern w:val="0"/>
          <w:szCs w:val="24"/>
          <w:lang w:val="en-US" w:eastAsia="zh-CN" w:bidi="ar"/>
        </w:rPr>
        <w:t>1</w:t>
      </w:r>
      <w:r>
        <w:rPr>
          <w:color w:val="auto"/>
          <w:kern w:val="0"/>
          <w:szCs w:val="24"/>
          <w:lang w:bidi="ar"/>
        </w:rPr>
        <w:t>项。</w:t>
      </w:r>
    </w:p>
    <w:p>
      <w:pPr>
        <w:pStyle w:val="33"/>
        <w:ind w:firstLine="480"/>
        <w:rPr>
          <w:color w:val="auto"/>
        </w:rPr>
      </w:pPr>
      <w:r>
        <w:rPr>
          <w:color w:val="auto"/>
        </w:rPr>
        <w:t xml:space="preserve">（3）评价标准 </w:t>
      </w:r>
    </w:p>
    <w:p>
      <w:pPr>
        <w:pStyle w:val="33"/>
        <w:ind w:firstLine="480"/>
        <w:rPr>
          <w:color w:val="auto"/>
        </w:rPr>
      </w:pPr>
      <w:r>
        <w:rPr>
          <w:color w:val="auto"/>
        </w:rPr>
        <w:t>项目区域地下水水质执行《地下水质量标准》（GB/T14848-2017）Ⅲ类标准。</w:t>
      </w:r>
    </w:p>
    <w:p>
      <w:pPr>
        <w:pStyle w:val="33"/>
        <w:ind w:firstLine="480"/>
        <w:rPr>
          <w:color w:val="auto"/>
        </w:rPr>
      </w:pPr>
      <w:r>
        <w:rPr>
          <w:color w:val="auto"/>
        </w:rPr>
        <w:t>（4）监测频次和时间</w:t>
      </w:r>
    </w:p>
    <w:p>
      <w:pPr>
        <w:pStyle w:val="33"/>
        <w:ind w:firstLine="480"/>
        <w:rPr>
          <w:rFonts w:hint="eastAsia" w:eastAsia="宋体"/>
          <w:color w:val="auto"/>
          <w:lang w:eastAsia="zh-CN"/>
        </w:rPr>
      </w:pPr>
      <w:r>
        <w:rPr>
          <w:color w:val="auto"/>
        </w:rPr>
        <w:t>监测频次：连续监测一天，采样一次</w:t>
      </w:r>
      <w:r>
        <w:rPr>
          <w:rFonts w:hint="eastAsia"/>
          <w:color w:val="auto"/>
          <w:lang w:eastAsia="zh-CN"/>
        </w:rPr>
        <w:t>。</w:t>
      </w:r>
    </w:p>
    <w:p>
      <w:pPr>
        <w:pStyle w:val="33"/>
        <w:ind w:firstLine="480"/>
        <w:rPr>
          <w:color w:val="auto"/>
        </w:rPr>
      </w:pPr>
      <w:r>
        <w:rPr>
          <w:color w:val="auto"/>
        </w:rPr>
        <w:t>监测日期：2018年9月。</w:t>
      </w:r>
    </w:p>
    <w:p>
      <w:pPr>
        <w:pStyle w:val="33"/>
        <w:ind w:firstLine="480"/>
        <w:rPr>
          <w:color w:val="auto"/>
        </w:rPr>
      </w:pPr>
      <w:r>
        <w:rPr>
          <w:color w:val="auto"/>
        </w:rPr>
        <w:t>（5）监测分析方法和各项目最低检出限</w:t>
      </w:r>
    </w:p>
    <w:p>
      <w:pPr>
        <w:pStyle w:val="33"/>
        <w:ind w:firstLine="480"/>
        <w:rPr>
          <w:color w:val="auto"/>
        </w:rPr>
      </w:pPr>
      <w:r>
        <w:rPr>
          <w:color w:val="auto"/>
        </w:rPr>
        <w:t>采样及分析方法按分析方法按《地下水环境监测技术规范》（HJ/T164-2004）的要求进行。</w:t>
      </w:r>
    </w:p>
    <w:p>
      <w:pPr>
        <w:pStyle w:val="33"/>
        <w:ind w:firstLine="480"/>
        <w:rPr>
          <w:color w:val="auto"/>
        </w:rPr>
      </w:pPr>
      <w:r>
        <w:rPr>
          <w:color w:val="auto"/>
        </w:rPr>
        <w:t>（6）结果统计与评价</w:t>
      </w:r>
    </w:p>
    <w:p>
      <w:pPr>
        <w:pStyle w:val="33"/>
        <w:ind w:firstLine="480"/>
        <w:rPr>
          <w:rFonts w:hint="default" w:eastAsia="宋体"/>
          <w:color w:val="auto"/>
          <w:lang w:val="en-US" w:eastAsia="zh-CN"/>
        </w:rPr>
      </w:pPr>
      <w:r>
        <w:rPr>
          <w:color w:val="auto"/>
        </w:rPr>
        <w:t>各监测点位监测值详见下表</w:t>
      </w:r>
      <w:r>
        <w:rPr>
          <w:rFonts w:hint="eastAsia"/>
          <w:color w:val="auto"/>
          <w:lang w:val="en-US" w:eastAsia="zh-CN"/>
        </w:rPr>
        <w:t>6.4-2和6.4-3。</w:t>
      </w:r>
    </w:p>
    <w:p>
      <w:pPr>
        <w:pStyle w:val="33"/>
        <w:ind w:firstLine="480"/>
        <w:rPr>
          <w:color w:val="auto"/>
        </w:rPr>
      </w:pPr>
      <w:r>
        <w:rPr>
          <w:color w:val="auto"/>
        </w:rPr>
        <w:t>从表</w:t>
      </w:r>
      <w:r>
        <w:rPr>
          <w:rFonts w:hint="eastAsia"/>
          <w:color w:val="auto"/>
          <w:lang w:val="en-US" w:eastAsia="zh-CN"/>
        </w:rPr>
        <w:t>6.4-2和6.4-3</w:t>
      </w:r>
      <w:r>
        <w:rPr>
          <w:color w:val="auto"/>
        </w:rPr>
        <w:t>知，主要为氨氮、高锰酸盐指数、锰、Na、挥发性酚、铁评价指标超过《地下水水质标准》(GB/T14848-2017)中Ⅲ类标准要求，其他监测因子符合《地下水水质标准》(GB/T14848-2017)中Ⅲ类标准要求，评价区地下水质量较差。通过表4.4-9各监测值评价统计后可知，在超标指标中，13眼监测井中1眼井钠离子超标，超标率为7.69%，超标倍数为2.19倍；6 眼井氨氮超标，超标率为46.15%，最大超标倍数为37.4倍；1眼井挥发性酚类超标，超标率为7.69%，最超标倍数为0.15倍；2眼井铁超标，超标率为15.38%，最大超标倍数为8.4倍；6眼井锰超标，超标率为46.15%，最大超标倍数为142.3倍；6眼井高锰酸盐指数超标，超标率为46.15%，最大超标倍数为20倍。</w:t>
      </w:r>
    </w:p>
    <w:p>
      <w:pPr>
        <w:pStyle w:val="33"/>
        <w:ind w:firstLine="480"/>
        <w:rPr>
          <w:color w:val="auto"/>
        </w:rPr>
      </w:pPr>
      <w:r>
        <w:rPr>
          <w:color w:val="auto"/>
        </w:rPr>
        <w:t>（7）地下水超标原因分析</w:t>
      </w:r>
    </w:p>
    <w:p>
      <w:pPr>
        <w:pStyle w:val="33"/>
        <w:ind w:firstLine="480"/>
        <w:rPr>
          <w:color w:val="auto"/>
        </w:rPr>
      </w:pPr>
      <w:r>
        <w:rPr>
          <w:color w:val="auto"/>
        </w:rPr>
        <w:t>根据等水位线图（图</w:t>
      </w:r>
      <w:r>
        <w:rPr>
          <w:rFonts w:hint="eastAsia"/>
          <w:color w:val="auto"/>
          <w:lang w:val="en-US" w:eastAsia="zh-CN"/>
        </w:rPr>
        <w:t>6.4</w:t>
      </w:r>
      <w:r>
        <w:rPr>
          <w:color w:val="auto"/>
        </w:rPr>
        <w:t>-</w:t>
      </w:r>
      <w:r>
        <w:rPr>
          <w:rFonts w:hint="eastAsia"/>
          <w:color w:val="auto"/>
          <w:lang w:val="en-US" w:eastAsia="zh-CN"/>
        </w:rPr>
        <w:t>2</w:t>
      </w:r>
      <w:r>
        <w:rPr>
          <w:color w:val="auto"/>
        </w:rPr>
        <w:t>）可知，老百姓水井位于工业园区上游，地下水流经园区在松杨湖排泄，9眼民井有6眼井水质较好，无超标指标，3眼井超标主要为铁、高锰酸钾指数、氨氮三个常规指标超标，且超标倍数较小，崔菊香家水井是锰和高锰酸钾指数超标，锰超标主要是地层原因，高锰酸钾指数超标倍数0.03倍，主要由于井长期不用，受农村生活污水影响超标；李金桂家水井与崔菊香家水井超标原因一致。孙亚军家水井主要为氨氮超标，主要由于井长期不用，受农村生活污水影响超标。园区内4眼监测井超标指标为氨氮、高锰酸钾指数、锰、Na、挥发性酚、铁评价指标超过《地下水水质标准》(GB 14848-2017)中Ⅲ类标准要求，根据现状调查，其中锰、氨氮和高锰酸钾指数全部超标，根据调查铁、锰超标主要由于地层中含量较高造成的，氨氮、高锰酸钾指数、挥发性酚超标主要由于湖南岳阳绿色化工产业园为化工园区，园区历史防渗不到位，产生的污染物通过泄露进入地下水含水层中，有部分通过大气降水进入土壤和地下水中。</w:t>
      </w:r>
    </w:p>
    <w:p>
      <w:pPr>
        <w:pStyle w:val="33"/>
        <w:ind w:firstLine="480"/>
        <w:rPr>
          <w:color w:val="auto"/>
        </w:rPr>
      </w:pPr>
      <w:r>
        <w:rPr>
          <w:color w:val="auto"/>
        </w:rPr>
        <w:t>①园区所在区域的地质条件分析</w:t>
      </w:r>
    </w:p>
    <w:p>
      <w:pPr>
        <w:pStyle w:val="33"/>
        <w:ind w:firstLine="480"/>
        <w:rPr>
          <w:color w:val="auto"/>
        </w:rPr>
      </w:pPr>
      <w:r>
        <w:rPr>
          <w:color w:val="auto"/>
        </w:rPr>
        <w:t>湖南岳阳绿色化工产业园（前身云溪工业园）成立于2003年，根据区域地质条件分析，其下伏地层为前震旦系冷家溪群崔家坳组板岩（Ptlnc），富水性弱，且风化层厚度小于20m，中风化板岩为天然的隔水层，根据2005-2016年园区遥感图像对比可知，园区在所在区域平整基础上对周围局部湖区进行了填方平整，根据勘探结果，局部区域填埋厚度15-20m，填埋材料主要为山体挖方的板岩等。由于填埋材料的松散结构，在填埋区域形成了松散孔隙含水层，根据水位测量，其水位埋深4-10m。富水性变化较大。由于填方区域材料变化不一致，在自然沉降作用下产生一些不均匀沉降，对建筑物特别是各种罐区稳定性造成影响。</w:t>
      </w:r>
    </w:p>
    <w:p>
      <w:pPr>
        <w:pStyle w:val="33"/>
        <w:ind w:firstLine="480"/>
        <w:rPr>
          <w:color w:val="auto"/>
        </w:rPr>
      </w:pPr>
      <w:r>
        <w:rPr>
          <w:color w:val="auto"/>
        </w:rPr>
        <w:t>②地下水导则实施情况</w:t>
      </w:r>
    </w:p>
    <w:p>
      <w:pPr>
        <w:pStyle w:val="33"/>
        <w:ind w:firstLine="480"/>
        <w:rPr>
          <w:color w:val="auto"/>
        </w:rPr>
      </w:pPr>
      <w:r>
        <w:rPr>
          <w:color w:val="auto"/>
        </w:rPr>
        <w:t>园区2003年开始建设，由于《环境影响评价技术导则 地下水环境》2011年才颁布实施，而且根据2015-2018年收集的环评报告可知，新建建设项目环境影响评价未严格按照《环境影响评价技术导则 地下水环境》提出进行分区防渗及采取监测措施的要求。各种废水池、罐区和污水管网等实际建设过程存在泄漏的风险。根据调查在松杨湖存在2个相对较大的渗漏水点。</w:t>
      </w:r>
    </w:p>
    <w:p>
      <w:pPr>
        <w:pStyle w:val="33"/>
        <w:ind w:firstLine="480"/>
        <w:rPr>
          <w:color w:val="auto"/>
        </w:rPr>
      </w:pPr>
      <w:r>
        <w:rPr>
          <w:color w:val="auto"/>
        </w:rPr>
        <w:t>③园区内部分企业存在向地下水环境偷排问题</w:t>
      </w:r>
    </w:p>
    <w:p>
      <w:pPr>
        <w:pStyle w:val="33"/>
        <w:ind w:firstLine="480"/>
        <w:rPr>
          <w:color w:val="auto"/>
        </w:rPr>
      </w:pPr>
      <w:r>
        <w:rPr>
          <w:color w:val="auto"/>
        </w:rPr>
        <w:t>2018年11月园区和环保部门对云溪片区所有正常生产的企业进行雨污系统整改专项督导。重点对雨水未分流前雨水排口是否断流并收集处理；初期雨水、冷却水、冷凝水、生活水是否进行了收集处理；初期雨水收集池、污水预处理设施、雨水管网截流设施是否建设到位等方面问题进行督查，并要求企业迅速制定整改方案。目前，已对云溪片区48家企业完成督查，已有32家企业提交整改方案。检查发现32家企业存在环评执行不到位情况，查出问题147个，包括雨污分流不到位、初期雨水池未建、雨水排放口未装切换阀门等等。偷排造成污水进入地下水环境中污染地下水。</w:t>
      </w:r>
    </w:p>
    <w:p>
      <w:pPr>
        <w:pStyle w:val="33"/>
        <w:ind w:firstLine="480"/>
        <w:rPr>
          <w:color w:val="auto"/>
        </w:rPr>
      </w:pPr>
      <w:r>
        <w:rPr>
          <w:color w:val="auto"/>
        </w:rPr>
        <w:t>根据现状调查及对园区建园相关资料调阅了解到，超标主要原因为如下原因：</w:t>
      </w:r>
    </w:p>
    <w:p>
      <w:pPr>
        <w:pStyle w:val="33"/>
        <w:ind w:firstLine="480"/>
        <w:rPr>
          <w:color w:val="auto"/>
        </w:rPr>
      </w:pPr>
      <w:r>
        <w:rPr>
          <w:color w:val="auto"/>
        </w:rPr>
        <w:t>①从上世纪80年代初园区就已成为化工企业较为集中的区域，当时受历史、国家基础建设条件有限以及当时历史背景等原因，存在环保设施不全、企业环保意识淡薄等，污水随意排放致使地下水收到污染；</w:t>
      </w:r>
    </w:p>
    <w:p>
      <w:pPr>
        <w:pStyle w:val="33"/>
        <w:ind w:firstLine="480"/>
        <w:rPr>
          <w:color w:val="auto"/>
        </w:rPr>
      </w:pPr>
      <w:r>
        <w:rPr>
          <w:color w:val="auto"/>
        </w:rPr>
        <w:t>②园区内企业有组织、无组织排放的废气，经雨水冲刷后，进入土壤进而渗入地下水中。</w:t>
      </w:r>
    </w:p>
    <w:p>
      <w:pPr>
        <w:pStyle w:val="33"/>
        <w:ind w:firstLine="480"/>
        <w:rPr>
          <w:color w:val="auto"/>
          <w:kern w:val="0"/>
          <w:szCs w:val="24"/>
          <w:lang w:bidi="ar"/>
        </w:rPr>
        <w:sectPr>
          <w:pgSz w:w="11906" w:h="16838"/>
          <w:pgMar w:top="1417" w:right="1417" w:bottom="1134" w:left="141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color w:val="auto"/>
        </w:rPr>
        <w:t>综上所述，由于园区地下水环境质量不容乐观，建议园区管委会一方面加强对园区已入住企业废水排放的监管力度，另一方面建议开展相关地下水环境治理工程措施，如采取抽提技术、气提技术、空气吹脱技术、生物修复技术、渗透反应墙技术、原位化学修复等技术。</w:t>
      </w:r>
    </w:p>
    <w:p>
      <w:pPr>
        <w:widowControl/>
        <w:spacing w:line="360" w:lineRule="auto"/>
        <w:jc w:val="center"/>
        <w:rPr>
          <w:rFonts w:ascii="Times New Roman" w:hAnsi="Times New Roman" w:eastAsia="宋体" w:cs="Times New Roman"/>
          <w:color w:val="auto"/>
          <w:sz w:val="24"/>
          <w:szCs w:val="32"/>
        </w:rPr>
      </w:pPr>
      <w:r>
        <w:rPr>
          <w:rFonts w:ascii="Times New Roman" w:hAnsi="Times New Roman" w:eastAsia="宋体" w:cs="Times New Roman"/>
          <w:b/>
          <w:color w:val="auto"/>
          <w:kern w:val="0"/>
          <w:sz w:val="24"/>
          <w:szCs w:val="24"/>
          <w:lang w:bidi="ar"/>
        </w:rPr>
        <w:t>表</w:t>
      </w:r>
      <w:r>
        <w:rPr>
          <w:rFonts w:hint="eastAsia" w:ascii="Times New Roman" w:hAnsi="Times New Roman" w:cs="Times New Roman"/>
          <w:b/>
          <w:color w:val="auto"/>
          <w:kern w:val="0"/>
          <w:sz w:val="24"/>
          <w:szCs w:val="24"/>
          <w:lang w:val="en-US" w:eastAsia="zh-CN" w:bidi="ar"/>
        </w:rPr>
        <w:t>6.4-2</w:t>
      </w:r>
      <w:r>
        <w:rPr>
          <w:rFonts w:ascii="Times New Roman" w:hAnsi="Times New Roman" w:eastAsia="宋体" w:cs="Times New Roman"/>
          <w:b/>
          <w:color w:val="auto"/>
          <w:kern w:val="0"/>
          <w:sz w:val="24"/>
          <w:szCs w:val="24"/>
          <w:lang w:bidi="ar"/>
        </w:rPr>
        <w:t xml:space="preserve">   地下水水质现状监测结果一览表</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945"/>
        <w:gridCol w:w="950"/>
        <w:gridCol w:w="951"/>
        <w:gridCol w:w="951"/>
        <w:gridCol w:w="951"/>
        <w:gridCol w:w="951"/>
        <w:gridCol w:w="951"/>
        <w:gridCol w:w="951"/>
        <w:gridCol w:w="951"/>
        <w:gridCol w:w="951"/>
        <w:gridCol w:w="951"/>
        <w:gridCol w:w="951"/>
        <w:gridCol w:w="951"/>
        <w:gridCol w:w="951"/>
      </w:tblGrid>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检测项目</w:t>
            </w:r>
          </w:p>
        </w:tc>
        <w:tc>
          <w:tcPr>
            <w:tcW w:w="966"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单位</w:t>
            </w:r>
          </w:p>
        </w:tc>
        <w:tc>
          <w:tcPr>
            <w:tcW w:w="967"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杨雪飞家水井1#</w:t>
            </w:r>
          </w:p>
        </w:tc>
        <w:tc>
          <w:tcPr>
            <w:tcW w:w="967"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姚海清家水井2#</w:t>
            </w:r>
          </w:p>
        </w:tc>
        <w:tc>
          <w:tcPr>
            <w:tcW w:w="967"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崔菊香家水井3#</w:t>
            </w:r>
          </w:p>
        </w:tc>
        <w:tc>
          <w:tcPr>
            <w:tcW w:w="967"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梁盛娥家水井4#</w:t>
            </w:r>
          </w:p>
        </w:tc>
        <w:tc>
          <w:tcPr>
            <w:tcW w:w="967"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刘其兵家水井5#</w:t>
            </w:r>
          </w:p>
        </w:tc>
        <w:tc>
          <w:tcPr>
            <w:tcW w:w="967"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汤国雄家水井6#</w:t>
            </w:r>
          </w:p>
        </w:tc>
        <w:tc>
          <w:tcPr>
            <w:tcW w:w="967"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李金桂家水井7#</w:t>
            </w:r>
          </w:p>
        </w:tc>
        <w:tc>
          <w:tcPr>
            <w:tcW w:w="967"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孙亚军家水井8#</w:t>
            </w:r>
          </w:p>
        </w:tc>
        <w:tc>
          <w:tcPr>
            <w:tcW w:w="967"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已有井9#</w:t>
            </w:r>
          </w:p>
        </w:tc>
        <w:tc>
          <w:tcPr>
            <w:tcW w:w="967"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新建勘测井10#</w:t>
            </w:r>
          </w:p>
        </w:tc>
        <w:tc>
          <w:tcPr>
            <w:tcW w:w="967"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新建勘测井11#</w:t>
            </w:r>
          </w:p>
        </w:tc>
        <w:tc>
          <w:tcPr>
            <w:tcW w:w="967"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新建勘测井12#</w:t>
            </w:r>
          </w:p>
        </w:tc>
        <w:tc>
          <w:tcPr>
            <w:tcW w:w="967" w:type="dxa"/>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新建勘测井13#</w:t>
            </w:r>
          </w:p>
        </w:tc>
      </w:tr>
      <w:tr>
        <w:trPr>
          <w:trHeight w:val="90" w:hRule="atLeast"/>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lang w:bidi="ar"/>
              </w:rPr>
              <w:t>pH</w:t>
            </w:r>
          </w:p>
        </w:tc>
        <w:tc>
          <w:tcPr>
            <w:tcW w:w="966"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无量纲</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6.57</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6.57</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6.53</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6.65</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6.56</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6.52</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6.51</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6.58</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6.52</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6.51</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6.56</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6.5</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lang w:bidi="ar"/>
              </w:rPr>
              <w:t>溶解性总固体</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244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183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305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337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101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128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210</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143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170</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505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437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209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lang w:bidi="ar"/>
              </w:rPr>
              <w:t>溶解氧</w:t>
            </w:r>
          </w:p>
        </w:tc>
        <w:tc>
          <w:tcPr>
            <w:tcW w:w="966"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mg/L</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6.5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lang w:bidi="ar"/>
              </w:rPr>
              <w:t>氧化还原电位</w:t>
            </w:r>
          </w:p>
        </w:tc>
        <w:tc>
          <w:tcPr>
            <w:tcW w:w="966"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mV</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83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80</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74</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70</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lang w:bidi="ar"/>
              </w:rPr>
              <w:t>电导率</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μS/cm</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88.6</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89.4</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91.3</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94.3</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92.9</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90.4</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91.3</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94.5</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92.8</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125</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116</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98.6</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lang w:bidi="ar"/>
              </w:rPr>
              <w:t>钾离子</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25.1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15.9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27.6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38.4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7.11</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13.3</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19.1</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21.3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21.2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70.2</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50.5</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17.8</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40.3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51" w:hRule="atLeast"/>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钙离子</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30.4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17.9</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42.5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41.1</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20.6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13.8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29.7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25.8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17.2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48.2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48.3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28.4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43.2</w:t>
            </w:r>
          </w:p>
        </w:tc>
      </w:tr>
      <w:tr>
        <w:trPr>
          <w:trHeight w:val="151" w:hRule="atLeast"/>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钠离子</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0"/>
                <w:sz w:val="18"/>
                <w:szCs w:val="18"/>
                <w:lang w:bidi="ar"/>
              </w:rPr>
              <w:t>83.4</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sz w:val="18"/>
                <w:szCs w:val="18"/>
                <w:lang w:bidi="ar"/>
              </w:rPr>
              <w:t>103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0"/>
                <w:sz w:val="18"/>
                <w:szCs w:val="18"/>
                <w:lang w:bidi="ar"/>
              </w:rPr>
              <w:t>12.3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0"/>
                <w:sz w:val="18"/>
                <w:szCs w:val="18"/>
                <w:lang w:bidi="ar"/>
              </w:rPr>
              <w:t>25.1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0"/>
                <w:sz w:val="18"/>
                <w:szCs w:val="18"/>
                <w:lang w:bidi="ar"/>
              </w:rPr>
              <w:t>2.23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0"/>
                <w:sz w:val="18"/>
                <w:szCs w:val="18"/>
                <w:lang w:bidi="ar"/>
              </w:rPr>
              <w:t>13.8</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sz w:val="18"/>
                <w:szCs w:val="18"/>
                <w:lang w:bidi="ar"/>
              </w:rPr>
              <w:t>16.6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0"/>
                <w:sz w:val="18"/>
                <w:szCs w:val="18"/>
                <w:lang w:bidi="ar"/>
              </w:rPr>
              <w:t>85.9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0"/>
                <w:sz w:val="18"/>
                <w:szCs w:val="18"/>
                <w:lang w:bidi="ar"/>
              </w:rPr>
              <w:t>16.9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0"/>
                <w:sz w:val="18"/>
                <w:szCs w:val="18"/>
                <w:lang w:bidi="ar"/>
              </w:rPr>
              <w:t>637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0"/>
                <w:sz w:val="18"/>
                <w:szCs w:val="18"/>
                <w:lang w:bidi="ar"/>
              </w:rPr>
              <w:t>105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0"/>
                <w:sz w:val="18"/>
                <w:szCs w:val="18"/>
                <w:lang w:bidi="ar"/>
              </w:rPr>
              <w:t>92.9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0"/>
                <w:sz w:val="18"/>
                <w:szCs w:val="18"/>
                <w:lang w:bidi="ar"/>
              </w:rPr>
              <w:t>177</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镁离子</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9.75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11.24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15.17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2.73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5.1</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7.91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8.48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7.68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27.9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20.7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7.25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16.2</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碳酸根</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27.8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22.1</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17.2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14.5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26.5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25.9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24.6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26.7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23.7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21.3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24.2</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19.9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23.2</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碳酸氢根</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53.7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47.3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41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43.1</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37.2</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51.1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52.7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45.7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43.5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144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34.7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99.04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硫酸盐</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60</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70</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80</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氯化物</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60</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60</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60</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65</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氨氮</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0.227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0.062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0.342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0.045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0.13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0.862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0.744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0.102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19.2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3.64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1.44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6.18</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硝酸盐</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0.72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0.33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0.79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0.26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0.31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0.68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1.16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1.09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0.62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1.19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1.17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1.14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1.16</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亚硝酸盐氮</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0.023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0.017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0.024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0.023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0.015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0.027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0.025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0.025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0.024</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挥发性酚类</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0.0023</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0.0015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0.0006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0.0009</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氰化物</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0.004</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ND</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砷</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0.0007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0.0012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0.0019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0.0028</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0.0006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0.0018</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汞</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0.00033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0.00032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0.00031</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0.00028</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0.00027</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0.00031</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0.00029</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0.00031</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0.00035</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0.00096</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0.00067</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0.00059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19" w:hRule="atLeast"/>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六价铬</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sz w:val="18"/>
                <w:szCs w:val="18"/>
                <w:lang w:bidi="ar"/>
              </w:rPr>
              <w:t>0.004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0.01</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总硬度</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145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109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182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200</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60</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76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125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85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101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301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259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124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182</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铅</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镉</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氟化物</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0.12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0.16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0.13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0.19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0.15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0.11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0.14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0.21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0.26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0.24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20</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0.26</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铁</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0.11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0.36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2.82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0.05</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锰</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0.0.10</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0.027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0.142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0.032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0.026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4.593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0.016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0.006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11.97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14.33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3.085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5.174</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高锰酸盐指数</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1.8</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5.2</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63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10.1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23.</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总大肠菌群</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MPN/L</w:t>
            </w:r>
          </w:p>
        </w:tc>
        <w:tc>
          <w:tcPr>
            <w:tcW w:w="967" w:type="dxa"/>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ND</w:t>
            </w:r>
          </w:p>
        </w:tc>
      </w:tr>
      <w:tr>
        <w:trPr>
          <w:trHeight w:val="579" w:hRule="atLeast"/>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细菌总数</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个/mL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26</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30</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21</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33</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27</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39</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24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35</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36</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石油类</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0.24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0.14</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0.29</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甲苯</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苯</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r>
      <w:tr>
        <w:trPr>
          <w:jc w:val="center"/>
        </w:trPr>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二氯丙烷</w:t>
            </w:r>
          </w:p>
        </w:tc>
        <w:tc>
          <w:tcPr>
            <w:tcW w:w="966"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c>
          <w:tcPr>
            <w:tcW w:w="967" w:type="dxa"/>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ND</w:t>
            </w:r>
          </w:p>
        </w:tc>
      </w:tr>
    </w:tbl>
    <w:p>
      <w:pPr>
        <w:widowControl/>
        <w:spacing w:line="360" w:lineRule="auto"/>
        <w:jc w:val="center"/>
        <w:rPr>
          <w:rFonts w:ascii="Times New Roman" w:hAnsi="Times New Roman" w:eastAsia="宋体" w:cs="Times New Roman"/>
          <w:color w:val="auto"/>
          <w:sz w:val="24"/>
          <w:szCs w:val="24"/>
        </w:rPr>
      </w:pPr>
      <w:r>
        <w:rPr>
          <w:rFonts w:ascii="Times New Roman" w:hAnsi="Times New Roman" w:eastAsia="宋体" w:cs="Times New Roman"/>
          <w:b/>
          <w:color w:val="auto"/>
          <w:kern w:val="0"/>
          <w:sz w:val="24"/>
          <w:szCs w:val="24"/>
          <w:lang w:bidi="ar"/>
        </w:rPr>
        <w:t>表</w:t>
      </w:r>
      <w:r>
        <w:rPr>
          <w:rFonts w:hint="eastAsia" w:ascii="Times New Roman" w:hAnsi="Times New Roman" w:cs="Times New Roman"/>
          <w:b/>
          <w:color w:val="auto"/>
          <w:kern w:val="0"/>
          <w:sz w:val="24"/>
          <w:szCs w:val="24"/>
          <w:lang w:val="en-US" w:eastAsia="zh-CN" w:bidi="ar"/>
        </w:rPr>
        <w:t>6.4-3</w:t>
      </w:r>
      <w:r>
        <w:rPr>
          <w:rFonts w:hint="eastAsia" w:ascii="Times New Roman" w:hAnsi="Times New Roman" w:eastAsia="宋体" w:cs="Times New Roman"/>
          <w:b/>
          <w:color w:val="auto"/>
          <w:kern w:val="0"/>
          <w:sz w:val="24"/>
          <w:szCs w:val="24"/>
          <w:lang w:val="en-US" w:eastAsia="zh-CN" w:bidi="ar"/>
        </w:rPr>
        <w:t xml:space="preserve">   </w:t>
      </w:r>
      <w:r>
        <w:rPr>
          <w:rFonts w:ascii="Times New Roman" w:hAnsi="Times New Roman" w:eastAsia="宋体" w:cs="Times New Roman"/>
          <w:b/>
          <w:color w:val="auto"/>
          <w:kern w:val="0"/>
          <w:sz w:val="24"/>
          <w:szCs w:val="24"/>
          <w:lang w:bidi="ar"/>
        </w:rPr>
        <w:t>地下水水质现状评价结果一览表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948"/>
        <w:gridCol w:w="948"/>
        <w:gridCol w:w="948"/>
        <w:gridCol w:w="948"/>
        <w:gridCol w:w="948"/>
        <w:gridCol w:w="948"/>
        <w:gridCol w:w="948"/>
        <w:gridCol w:w="948"/>
        <w:gridCol w:w="948"/>
        <w:gridCol w:w="948"/>
        <w:gridCol w:w="948"/>
        <w:gridCol w:w="948"/>
        <w:gridCol w:w="948"/>
        <w:gridCol w:w="948"/>
      </w:tblGrid>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检测项目</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单位</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杨雪飞家水井1#</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姚海清家水井2#</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崔菊香家水井3#</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梁盛娥家水井4#</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刘其兵家水井5#</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汤国雄家水井6#</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李金桂家水井7#</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孙亚军家水井8#</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已有井9#</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新建勘测井10#</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新建勘测井11#</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新建勘测井12#</w:t>
            </w:r>
          </w:p>
        </w:tc>
        <w:tc>
          <w:tcPr>
            <w:tcW w:w="333" w:type="pct"/>
            <w:tcBorders>
              <w:tl2br w:val="nil"/>
              <w:tr2bl w:val="nil"/>
            </w:tcBorders>
            <w:noWrap w:val="0"/>
            <w:vAlign w:val="center"/>
          </w:tcPr>
          <w:p>
            <w:pPr>
              <w:widowControl/>
              <w:jc w:val="center"/>
              <w:rPr>
                <w:rFonts w:ascii="Times New Roman" w:hAnsi="Times New Roman" w:eastAsia="宋体" w:cs="Times New Roman"/>
                <w:b w:val="0"/>
                <w:bCs/>
                <w:color w:val="auto"/>
                <w:kern w:val="21"/>
                <w:sz w:val="18"/>
                <w:szCs w:val="18"/>
              </w:rPr>
            </w:pPr>
            <w:r>
              <w:rPr>
                <w:rFonts w:ascii="Times New Roman" w:hAnsi="Times New Roman" w:eastAsia="宋体" w:cs="Times New Roman"/>
                <w:b w:val="0"/>
                <w:bCs/>
                <w:color w:val="auto"/>
                <w:kern w:val="21"/>
                <w:sz w:val="18"/>
                <w:szCs w:val="18"/>
                <w:lang w:bidi="ar"/>
              </w:rPr>
              <w:t>新建勘测井13#</w:t>
            </w:r>
          </w:p>
        </w:tc>
      </w:tr>
      <w:tr>
        <w:trPr>
          <w:trHeight w:val="90" w:hRule="atLeast"/>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lang w:bidi="ar"/>
              </w:rPr>
              <w:t>pH</w:t>
            </w:r>
          </w:p>
        </w:tc>
        <w:tc>
          <w:tcPr>
            <w:tcW w:w="333" w:type="pct"/>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无量纲</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0.86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0.86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0.94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0.70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0.88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0.96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0.98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0.84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0.96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0.98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0.88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1.00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0.92</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lang w:bidi="ar"/>
              </w:rPr>
              <w:t>溶解性总固体</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0.51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0.44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0.31</w:t>
            </w:r>
          </w:p>
        </w:tc>
      </w:tr>
      <w:tr>
        <w:trPr>
          <w:trHeight w:val="151" w:hRule="atLeast"/>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钠离子</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color w:val="auto"/>
                <w:kern w:val="0"/>
                <w:szCs w:val="21"/>
                <w:lang w:bidi="ar"/>
              </w:rPr>
              <w:t>0.42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color w:val="auto"/>
                <w:kern w:val="0"/>
                <w:szCs w:val="21"/>
                <w:lang w:bidi="ar"/>
              </w:rPr>
              <w:t>0.52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color w:val="auto"/>
                <w:kern w:val="0"/>
                <w:szCs w:val="21"/>
                <w:lang w:bidi="ar"/>
              </w:rPr>
              <w:t>0.06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color w:val="auto"/>
                <w:kern w:val="0"/>
                <w:szCs w:val="21"/>
                <w:lang w:bidi="ar"/>
              </w:rPr>
              <w:t>0.13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color w:val="auto"/>
                <w:kern w:val="0"/>
                <w:szCs w:val="21"/>
                <w:lang w:bidi="ar"/>
              </w:rPr>
              <w:t>0.01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color w:val="auto"/>
                <w:kern w:val="0"/>
                <w:szCs w:val="21"/>
                <w:lang w:bidi="ar"/>
              </w:rPr>
              <w:t>0.07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color w:val="auto"/>
                <w:kern w:val="0"/>
                <w:szCs w:val="21"/>
                <w:lang w:bidi="ar"/>
              </w:rPr>
              <w:t>0.08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color w:val="auto"/>
                <w:kern w:val="0"/>
                <w:szCs w:val="21"/>
                <w:lang w:bidi="ar"/>
              </w:rPr>
              <w:t>0.43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color w:val="auto"/>
                <w:kern w:val="0"/>
                <w:szCs w:val="21"/>
                <w:lang w:bidi="ar"/>
              </w:rPr>
              <w:t>0.08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
                <w:color w:val="auto"/>
                <w:kern w:val="0"/>
                <w:szCs w:val="21"/>
                <w:lang w:bidi="ar"/>
              </w:rPr>
              <w:t>3.19</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color w:val="auto"/>
                <w:kern w:val="0"/>
                <w:szCs w:val="21"/>
                <w:lang w:bidi="ar"/>
              </w:rPr>
              <w:t>0.53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color w:val="auto"/>
                <w:kern w:val="0"/>
                <w:szCs w:val="21"/>
                <w:lang w:bidi="ar"/>
              </w:rPr>
              <w:t>0.46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color w:val="auto"/>
                <w:kern w:val="0"/>
                <w:szCs w:val="21"/>
                <w:lang w:bidi="ar"/>
              </w:rPr>
              <w:t>0.89</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硫酸盐</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0.25</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0.32</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氯化物</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0.25</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0.26</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氨氮</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0.45</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0.68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0.09</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1.72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1.49</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38.40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7.28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2.88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12.36</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硝酸盐</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0.05</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0.06</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亚硝酸盐氮</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0.02</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挥发性酚类</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1.15</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0.75</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0.45</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氰化物</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砷</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0.19</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0.18</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汞</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0.31</w:t>
            </w:r>
          </w:p>
        </w:tc>
        <w:tc>
          <w:tcPr>
            <w:tcW w:w="333" w:type="pct"/>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color w:val="auto"/>
                <w:szCs w:val="21"/>
                <w:lang w:bidi="ar"/>
              </w:rPr>
              <w:t>0.28</w:t>
            </w:r>
          </w:p>
        </w:tc>
        <w:tc>
          <w:tcPr>
            <w:tcW w:w="333" w:type="pct"/>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color w:val="auto"/>
                <w:szCs w:val="21"/>
                <w:lang w:bidi="ar"/>
              </w:rPr>
              <w:t>0.27</w:t>
            </w:r>
          </w:p>
        </w:tc>
        <w:tc>
          <w:tcPr>
            <w:tcW w:w="333" w:type="pct"/>
            <w:tcBorders>
              <w:tl2br w:val="nil"/>
              <w:tr2bl w:val="nil"/>
            </w:tcBorders>
            <w:noWrap w:val="0"/>
            <w:vAlign w:val="center"/>
          </w:tcPr>
          <w:p>
            <w:pPr>
              <w:pStyle w:val="60"/>
              <w:pBdr>
                <w:top w:val="none" w:color="auto" w:sz="0" w:space="0"/>
                <w:left w:val="none" w:color="auto" w:sz="0" w:space="0"/>
                <w:bottom w:val="none" w:color="auto" w:sz="0" w:space="0"/>
                <w:right w:val="none" w:color="auto" w:sz="0" w:space="0"/>
              </w:pBdr>
              <w:spacing w:before="0" w:beforeAutospacing="0" w:after="0" w:afterAutospacing="0"/>
              <w:rPr>
                <w:rFonts w:ascii="Times New Roman" w:hAnsi="Times New Roman" w:eastAsia="宋体" w:cs="Times New Roman"/>
                <w:bCs/>
                <w:color w:val="auto"/>
                <w:kern w:val="21"/>
                <w:sz w:val="18"/>
                <w:szCs w:val="18"/>
              </w:rPr>
            </w:pPr>
            <w:r>
              <w:rPr>
                <w:rFonts w:ascii="Times New Roman" w:hAnsi="Times New Roman" w:eastAsia="宋体" w:cs="Times New Roman"/>
                <w:color w:val="auto"/>
                <w:szCs w:val="21"/>
                <w:lang w:bidi="ar"/>
              </w:rPr>
              <w:t>0.31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0.29</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0.35</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0.96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0.67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0.59</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19" w:hRule="atLeast"/>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六价铬</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21"/>
                <w:sz w:val="18"/>
                <w:szCs w:val="18"/>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0.20</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总硬度</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0.40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0.44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0.19</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0.67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0.58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0.28</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0.40</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铅</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镉</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氟化物</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0.19</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0.15</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0.09</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20.00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0.26</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铁</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1.20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color w:val="auto"/>
              </w:rPr>
            </w:pPr>
            <w:r>
              <w:rPr>
                <w:rFonts w:ascii="Times New Roman" w:hAnsi="Times New Roman" w:eastAsia="宋体" w:cs="Times New Roman"/>
                <w:b/>
                <w:color w:val="auto"/>
                <w:kern w:val="0"/>
                <w:szCs w:val="21"/>
                <w:lang w:bidi="ar"/>
              </w:rPr>
              <w:t>9.40</w:t>
            </w:r>
          </w:p>
          <w:p>
            <w:pPr>
              <w:widowControl/>
              <w:jc w:val="center"/>
              <w:rPr>
                <w:rFonts w:ascii="Times New Roman" w:hAnsi="Times New Roman" w:eastAsia="宋体" w:cs="Times New Roman"/>
                <w:bCs/>
                <w:color w:val="auto"/>
                <w:kern w:val="21"/>
                <w:sz w:val="18"/>
                <w:szCs w:val="18"/>
              </w:rPr>
            </w:pP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0.17</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锰</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1.42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0.05</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0.32</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45.93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0.16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0.06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119.70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143.30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30.85</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51.74</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高锰酸盐指数</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0.60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0.67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1.03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0.67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0.57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0.87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1.73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1.00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0.70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1.10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21.00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3.37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
                <w:color w:val="auto"/>
                <w:kern w:val="0"/>
                <w:szCs w:val="21"/>
                <w:lang w:bidi="ar"/>
              </w:rPr>
              <w:t>7.87</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总大肠菌群</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MPN/L</w:t>
            </w:r>
          </w:p>
        </w:tc>
        <w:tc>
          <w:tcPr>
            <w:tcW w:w="333" w:type="pct"/>
            <w:tcBorders>
              <w:tl2br w:val="nil"/>
              <w:tr2bl w:val="nil"/>
            </w:tcBorders>
            <w:noWrap w:val="0"/>
            <w:vAlign w:val="center"/>
          </w:tcPr>
          <w:p>
            <w:pPr>
              <w:widowControl/>
              <w:jc w:val="center"/>
              <w:rPr>
                <w:rFonts w:ascii="Times New Roman" w:hAnsi="Times New Roman" w:eastAsia="宋体" w:cs="Times New Roman"/>
                <w:b/>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
                <w:color w:val="auto"/>
                <w:kern w:val="21"/>
                <w:sz w:val="18"/>
                <w:szCs w:val="18"/>
              </w:rPr>
            </w:pPr>
            <w:r>
              <w:rPr>
                <w:rFonts w:ascii="Times New Roman" w:hAnsi="Times New Roman" w:eastAsia="宋体" w:cs="Times New Roman"/>
                <w:color w:val="auto"/>
                <w:kern w:val="0"/>
                <w:szCs w:val="21"/>
                <w:lang w:bidi="ar"/>
              </w:rPr>
              <w:t>--</w:t>
            </w:r>
          </w:p>
        </w:tc>
      </w:tr>
      <w:tr>
        <w:trPr>
          <w:trHeight w:val="579" w:hRule="atLeast"/>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细菌总数</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个/mL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0.26</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0.25</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0.21</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0.33</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0.39</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0.39</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0.24</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0.35</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0.36</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石油类</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0.80</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0.47</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0.97</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甲苯</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苯</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r>
      <w:tr>
        <w:trPr>
          <w:jc w:val="center"/>
        </w:trPr>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lang w:bidi="ar"/>
              </w:rPr>
            </w:pPr>
            <w:r>
              <w:rPr>
                <w:rFonts w:ascii="Times New Roman" w:hAnsi="Times New Roman" w:eastAsia="宋体" w:cs="Times New Roman"/>
                <w:bCs/>
                <w:color w:val="auto"/>
                <w:kern w:val="21"/>
                <w:sz w:val="18"/>
                <w:szCs w:val="18"/>
                <w:lang w:bidi="ar"/>
              </w:rPr>
              <w:t>二氯丙烷</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bCs/>
                <w:color w:val="auto"/>
                <w:kern w:val="0"/>
                <w:sz w:val="18"/>
                <w:szCs w:val="18"/>
                <w:lang w:bidi="ar"/>
              </w:rPr>
              <w:t>mg/L</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c>
          <w:tcPr>
            <w:tcW w:w="333" w:type="pct"/>
            <w:tcBorders>
              <w:tl2br w:val="nil"/>
              <w:tr2bl w:val="nil"/>
            </w:tcBorders>
            <w:noWrap w:val="0"/>
            <w:vAlign w:val="center"/>
          </w:tcPr>
          <w:p>
            <w:pPr>
              <w:widowControl/>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0"/>
                <w:szCs w:val="21"/>
                <w:lang w:bidi="ar"/>
              </w:rPr>
              <w:t>--</w:t>
            </w:r>
          </w:p>
        </w:tc>
      </w:tr>
    </w:tbl>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sectPr>
          <w:pgSz w:w="16838" w:h="11906" w:orient="landscape"/>
          <w:pgMar w:top="1304" w:right="1417" w:bottom="1304" w:left="141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2"/>
        <w:rPr>
          <w:color w:val="auto"/>
          <w:lang w:val="en-US" w:eastAsia="zh-CN"/>
        </w:rPr>
      </w:pPr>
    </w:p>
    <w:p>
      <w:pPr>
        <w:widowControl w:val="0"/>
        <w:bidi w:val="0"/>
        <w:spacing w:before="20" w:line="360" w:lineRule="auto"/>
        <w:ind w:firstLine="561" w:firstLineChars="200"/>
        <w:jc w:val="both"/>
        <w:rPr>
          <w:rFonts w:hint="eastAsia" w:ascii="Times New Roman" w:hAnsi="Times New Roman" w:eastAsia="宋体" w:cs="Times New Roman"/>
          <w:b/>
          <w:bCs/>
          <w:color w:val="auto"/>
          <w:kern w:val="2"/>
          <w:sz w:val="28"/>
          <w:szCs w:val="21"/>
          <w:lang w:val="en-US" w:eastAsia="zh-CN" w:bidi="ar-SA"/>
        </w:rPr>
      </w:pPr>
      <w:r>
        <w:rPr>
          <w:rFonts w:hint="eastAsia" w:ascii="Times New Roman" w:hAnsi="Times New Roman" w:eastAsia="宋体" w:cs="Times New Roman"/>
          <w:b/>
          <w:bCs/>
          <w:color w:val="auto"/>
          <w:kern w:val="2"/>
          <w:sz w:val="28"/>
          <w:szCs w:val="21"/>
          <w:lang w:val="en-US" w:eastAsia="zh-CN" w:bidi="ar-SA"/>
        </w:rPr>
        <w:t>6.4.1包气带监测</w:t>
      </w:r>
    </w:p>
    <w:p>
      <w:pPr>
        <w:widowControl w:val="0"/>
        <w:bidi w:val="0"/>
        <w:spacing w:before="20" w:line="360" w:lineRule="auto"/>
        <w:ind w:firstLine="480" w:firstLineChars="200"/>
        <w:jc w:val="both"/>
        <w:rPr>
          <w:rFonts w:hint="eastAsia" w:ascii="Times New Roman" w:hAnsi="Times New Roman" w:eastAsia="宋体" w:cs="Times New Roman"/>
          <w:b w:val="0"/>
          <w:bCs w:val="0"/>
          <w:color w:val="auto"/>
          <w:kern w:val="2"/>
          <w:sz w:val="24"/>
          <w:szCs w:val="20"/>
          <w:lang w:val="en-US" w:eastAsia="zh-CN" w:bidi="ar-SA"/>
        </w:rPr>
      </w:pPr>
      <w:r>
        <w:rPr>
          <w:rFonts w:hint="eastAsia" w:ascii="Times New Roman" w:hAnsi="Times New Roman" w:eastAsia="宋体" w:cs="Times New Roman"/>
          <w:b w:val="0"/>
          <w:bCs w:val="0"/>
          <w:color w:val="auto"/>
          <w:kern w:val="2"/>
          <w:sz w:val="24"/>
          <w:szCs w:val="20"/>
          <w:lang w:val="en-US" w:eastAsia="zh-CN" w:bidi="ar-SA"/>
        </w:rPr>
        <w:t>为了解本项目区域内包气带污染情况，本次包气带监测由湖南衡润科技有限公司进行监测。</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（1）监测点位及监测因子</w:t>
      </w:r>
    </w:p>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bCs/>
          <w:color w:val="auto"/>
          <w:kern w:val="2"/>
          <w:sz w:val="24"/>
          <w:szCs w:val="20"/>
          <w:lang w:val="en-US" w:eastAsia="zh-CN" w:bidi="ar-SA"/>
        </w:rPr>
      </w:pPr>
      <w:r>
        <w:rPr>
          <w:rFonts w:hint="eastAsia" w:ascii="宋体" w:hAnsi="宋体" w:eastAsia="宋体" w:cs="宋体"/>
          <w:bCs/>
          <w:color w:val="auto"/>
          <w:kern w:val="2"/>
          <w:sz w:val="24"/>
          <w:szCs w:val="20"/>
          <w:lang w:val="en-US" w:eastAsia="zh-CN" w:bidi="ar-SA"/>
        </w:rPr>
        <w:t>根据《环境影响评价技术导则地下水环境》（HJ610-2016），在该项目占地范围内包气带检测布点4个，详见表</w:t>
      </w:r>
      <w:r>
        <w:rPr>
          <w:rFonts w:hint="eastAsia" w:ascii="宋体" w:hAnsi="宋体" w:cs="宋体"/>
          <w:bCs/>
          <w:color w:val="auto"/>
          <w:kern w:val="2"/>
          <w:sz w:val="24"/>
          <w:szCs w:val="20"/>
          <w:lang w:val="en-US" w:eastAsia="zh-CN" w:bidi="ar-SA"/>
        </w:rPr>
        <w:t>6.4-4</w:t>
      </w:r>
      <w:r>
        <w:rPr>
          <w:rFonts w:hint="eastAsia" w:ascii="宋体" w:hAnsi="宋体" w:eastAsia="宋体" w:cs="宋体"/>
          <w:bCs/>
          <w:color w:val="auto"/>
          <w:kern w:val="2"/>
          <w:sz w:val="24"/>
          <w:szCs w:val="20"/>
          <w:lang w:val="en-US" w:eastAsia="zh-CN" w:bidi="ar-SA"/>
        </w:rPr>
        <w:t>。</w:t>
      </w:r>
    </w:p>
    <w:p>
      <w:pPr>
        <w:spacing w:line="360" w:lineRule="auto"/>
        <w:jc w:val="center"/>
        <w:rPr>
          <w:rFonts w:ascii="Calibri" w:hAnsi="Calibri" w:eastAsia="宋体" w:cs="Times New Roman"/>
          <w:b/>
          <w:color w:val="auto"/>
          <w:sz w:val="24"/>
          <w:szCs w:val="24"/>
        </w:rPr>
      </w:pPr>
      <w:r>
        <w:rPr>
          <w:rFonts w:ascii="Calibri" w:hAnsi="Calibri" w:eastAsia="宋体" w:cs="Times New Roman"/>
          <w:b/>
          <w:color w:val="auto"/>
          <w:sz w:val="24"/>
          <w:szCs w:val="24"/>
        </w:rPr>
        <w:t>表</w:t>
      </w:r>
      <w:r>
        <w:rPr>
          <w:rFonts w:hint="eastAsia" w:ascii="Calibri" w:hAnsi="Calibri" w:eastAsia="宋体" w:cs="Times New Roman"/>
          <w:b/>
          <w:color w:val="auto"/>
          <w:sz w:val="24"/>
          <w:szCs w:val="24"/>
          <w:lang w:val="en-US" w:eastAsia="zh-CN"/>
        </w:rPr>
        <w:t>6.4-</w:t>
      </w:r>
      <w:r>
        <w:rPr>
          <w:rFonts w:hint="eastAsia" w:cs="Times New Roman"/>
          <w:b/>
          <w:color w:val="auto"/>
          <w:sz w:val="24"/>
          <w:szCs w:val="24"/>
          <w:lang w:val="en-US" w:eastAsia="zh-CN"/>
        </w:rPr>
        <w:t>4</w:t>
      </w:r>
      <w:r>
        <w:rPr>
          <w:rFonts w:hint="eastAsia" w:ascii="Calibri" w:hAnsi="Calibri" w:eastAsia="宋体" w:cs="Times New Roman"/>
          <w:b/>
          <w:color w:val="auto"/>
          <w:sz w:val="24"/>
          <w:szCs w:val="24"/>
          <w:lang w:eastAsia="zh-CN"/>
        </w:rPr>
        <w:t>包气带</w:t>
      </w:r>
      <w:r>
        <w:rPr>
          <w:rFonts w:ascii="Calibri" w:hAnsi="Calibri" w:eastAsia="宋体" w:cs="Times New Roman"/>
          <w:b/>
          <w:color w:val="auto"/>
          <w:sz w:val="24"/>
          <w:szCs w:val="24"/>
        </w:rPr>
        <w:t>环境质量现状监测布点一览表</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4"/>
        <w:gridCol w:w="3997"/>
        <w:gridCol w:w="3331"/>
      </w:tblGrid>
      <w:tr>
        <w:trPr>
          <w:cantSplit/>
          <w:trHeight w:val="365" w:hRule="atLeast"/>
        </w:trPr>
        <w:tc>
          <w:tcPr>
            <w:tcW w:w="893" w:type="pct"/>
            <w:tcBorders>
              <w:top w:val="single" w:color="auto" w:sz="12" w:space="0"/>
              <w:left w:val="single" w:color="auto" w:sz="12" w:space="0"/>
            </w:tcBorders>
            <w:noWrap w:val="0"/>
            <w:tcMar>
              <w:left w:w="28" w:type="dxa"/>
              <w:right w:w="28" w:type="dxa"/>
            </w:tcMar>
            <w:vAlign w:val="center"/>
          </w:tcPr>
          <w:p>
            <w:pPr>
              <w:widowControl w:val="0"/>
              <w:jc w:val="center"/>
              <w:rPr>
                <w:rFonts w:hint="default" w:ascii="Times New Roman" w:hAnsi="Times New Roman" w:eastAsia="宋体" w:cs="Times New Roman"/>
                <w:b/>
                <w:color w:val="auto"/>
                <w:kern w:val="2"/>
                <w:sz w:val="20"/>
                <w:szCs w:val="21"/>
                <w:lang w:val="en-US" w:eastAsia="zh-CN" w:bidi="ar-SA"/>
              </w:rPr>
            </w:pPr>
            <w:r>
              <w:rPr>
                <w:rFonts w:hint="default" w:ascii="Times New Roman" w:hAnsi="Times New Roman" w:eastAsia="宋体" w:cs="Times New Roman"/>
                <w:b/>
                <w:color w:val="auto"/>
                <w:kern w:val="2"/>
                <w:sz w:val="20"/>
                <w:szCs w:val="21"/>
                <w:lang w:val="en-US" w:eastAsia="zh-CN" w:bidi="ar-SA"/>
              </w:rPr>
              <w:t>编号</w:t>
            </w:r>
          </w:p>
        </w:tc>
        <w:tc>
          <w:tcPr>
            <w:tcW w:w="2239" w:type="pct"/>
            <w:tcBorders>
              <w:top w:val="single" w:color="auto" w:sz="12" w:space="0"/>
            </w:tcBorders>
            <w:noWrap w:val="0"/>
            <w:vAlign w:val="center"/>
          </w:tcPr>
          <w:p>
            <w:pPr>
              <w:widowControl w:val="0"/>
              <w:jc w:val="center"/>
              <w:rPr>
                <w:rFonts w:hint="default" w:ascii="Times New Roman" w:hAnsi="Times New Roman" w:eastAsia="宋体" w:cs="Times New Roman"/>
                <w:b/>
                <w:color w:val="auto"/>
                <w:kern w:val="2"/>
                <w:sz w:val="20"/>
                <w:szCs w:val="21"/>
                <w:lang w:val="en-US" w:eastAsia="zh-CN" w:bidi="ar-SA"/>
              </w:rPr>
            </w:pPr>
            <w:r>
              <w:rPr>
                <w:rFonts w:hint="default" w:ascii="Times New Roman" w:hAnsi="Times New Roman" w:eastAsia="宋体" w:cs="Times New Roman"/>
                <w:b/>
                <w:color w:val="auto"/>
                <w:kern w:val="2"/>
                <w:sz w:val="20"/>
                <w:szCs w:val="21"/>
                <w:lang w:val="en-US" w:eastAsia="zh-CN" w:bidi="ar-SA"/>
              </w:rPr>
              <w:t>布点位置</w:t>
            </w:r>
          </w:p>
        </w:tc>
        <w:tc>
          <w:tcPr>
            <w:tcW w:w="1866" w:type="pct"/>
            <w:tcBorders>
              <w:top w:val="single" w:color="auto" w:sz="12" w:space="0"/>
              <w:right w:val="single" w:color="auto" w:sz="12" w:space="0"/>
            </w:tcBorders>
            <w:noWrap w:val="0"/>
            <w:vAlign w:val="center"/>
          </w:tcPr>
          <w:p>
            <w:pPr>
              <w:widowControl w:val="0"/>
              <w:jc w:val="center"/>
              <w:rPr>
                <w:rFonts w:hint="default" w:ascii="Times New Roman" w:hAnsi="Times New Roman" w:eastAsia="宋体" w:cs="Times New Roman"/>
                <w:b/>
                <w:color w:val="auto"/>
                <w:kern w:val="2"/>
                <w:sz w:val="20"/>
                <w:szCs w:val="21"/>
                <w:lang w:val="en-US" w:eastAsia="zh-CN" w:bidi="ar-SA"/>
              </w:rPr>
            </w:pPr>
            <w:r>
              <w:rPr>
                <w:rFonts w:hint="default" w:ascii="Times New Roman" w:hAnsi="Times New Roman" w:eastAsia="宋体" w:cs="Times New Roman"/>
                <w:b/>
                <w:color w:val="auto"/>
                <w:kern w:val="2"/>
                <w:sz w:val="20"/>
                <w:szCs w:val="21"/>
                <w:lang w:val="en-US" w:eastAsia="zh-CN" w:bidi="ar-SA"/>
              </w:rPr>
              <w:t>取样分层</w:t>
            </w:r>
          </w:p>
        </w:tc>
      </w:tr>
      <w:tr>
        <w:trPr>
          <w:cantSplit/>
          <w:trHeight w:val="365" w:hRule="atLeast"/>
        </w:trPr>
        <w:tc>
          <w:tcPr>
            <w:tcW w:w="893" w:type="pct"/>
            <w:tcBorders>
              <w:left w:val="single" w:color="auto" w:sz="12" w:space="0"/>
            </w:tcBorders>
            <w:noWrap w:val="0"/>
            <w:tcMar>
              <w:left w:w="28" w:type="dxa"/>
              <w:right w:w="28" w:type="dxa"/>
            </w:tcMar>
            <w:vAlign w:val="center"/>
          </w:tcPr>
          <w:p>
            <w:pPr>
              <w:spacing w:line="28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DW0</w:t>
            </w:r>
            <w:r>
              <w:rPr>
                <w:rFonts w:hint="default" w:ascii="Times New Roman" w:hAnsi="Times New Roman" w:eastAsia="宋体" w:cs="Times New Roman"/>
                <w:color w:val="auto"/>
                <w:lang w:val="en-US" w:eastAsia="zh-CN"/>
              </w:rPr>
              <w:t>4</w:t>
            </w:r>
          </w:p>
        </w:tc>
        <w:tc>
          <w:tcPr>
            <w:tcW w:w="2239" w:type="pct"/>
            <w:noWrap w:val="0"/>
            <w:vAlign w:val="center"/>
          </w:tcPr>
          <w:p>
            <w:pPr>
              <w:spacing w:line="28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项目区域内储罐区</w:t>
            </w:r>
          </w:p>
        </w:tc>
        <w:tc>
          <w:tcPr>
            <w:tcW w:w="1866" w:type="pct"/>
            <w:tcBorders>
              <w:right w:val="single" w:color="auto" w:sz="12" w:space="0"/>
            </w:tcBorders>
            <w:noWrap w:val="0"/>
            <w:vAlign w:val="center"/>
          </w:tcPr>
          <w:p>
            <w:pPr>
              <w:widowControl w:val="0"/>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0-20cm 1个样80-100cm1个样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63" w:hRule="exact"/>
        </w:trPr>
        <w:tc>
          <w:tcPr>
            <w:tcW w:w="893" w:type="pct"/>
            <w:tcBorders>
              <w:left w:val="single" w:color="auto" w:sz="12" w:space="0"/>
            </w:tcBorders>
            <w:noWrap w:val="0"/>
            <w:tcMar>
              <w:left w:w="28" w:type="dxa"/>
              <w:right w:w="28" w:type="dxa"/>
            </w:tcMar>
            <w:vAlign w:val="center"/>
          </w:tcPr>
          <w:p>
            <w:pPr>
              <w:spacing w:line="28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DW0</w:t>
            </w:r>
            <w:r>
              <w:rPr>
                <w:rFonts w:hint="default" w:ascii="Times New Roman" w:hAnsi="Times New Roman" w:eastAsia="宋体" w:cs="Times New Roman"/>
                <w:color w:val="auto"/>
                <w:lang w:val="en-US" w:eastAsia="zh-CN"/>
              </w:rPr>
              <w:t>5</w:t>
            </w:r>
          </w:p>
        </w:tc>
        <w:tc>
          <w:tcPr>
            <w:tcW w:w="2239" w:type="pct"/>
            <w:noWrap w:val="0"/>
            <w:vAlign w:val="center"/>
          </w:tcPr>
          <w:p>
            <w:pPr>
              <w:spacing w:line="28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项目区域内二期车间旁</w:t>
            </w:r>
          </w:p>
        </w:tc>
        <w:tc>
          <w:tcPr>
            <w:tcW w:w="1866" w:type="pct"/>
            <w:tcBorders>
              <w:right w:val="single" w:color="auto" w:sz="12" w:space="0"/>
            </w:tcBorders>
            <w:noWrap w:val="0"/>
            <w:vAlign w:val="center"/>
          </w:tcPr>
          <w:p>
            <w:pPr>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0-20cm 1个样80-100cm1个样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54" w:hRule="exact"/>
        </w:trPr>
        <w:tc>
          <w:tcPr>
            <w:tcW w:w="893" w:type="pct"/>
            <w:tcBorders>
              <w:left w:val="single" w:color="auto" w:sz="12" w:space="0"/>
            </w:tcBorders>
            <w:noWrap w:val="0"/>
            <w:tcMar>
              <w:left w:w="28" w:type="dxa"/>
              <w:right w:w="28" w:type="dxa"/>
            </w:tcMar>
            <w:vAlign w:val="center"/>
          </w:tcPr>
          <w:p>
            <w:pPr>
              <w:spacing w:line="28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DW0</w:t>
            </w:r>
            <w:r>
              <w:rPr>
                <w:rFonts w:hint="default" w:ascii="Times New Roman" w:hAnsi="Times New Roman" w:eastAsia="宋体" w:cs="Times New Roman"/>
                <w:color w:val="auto"/>
                <w:lang w:val="en-US" w:eastAsia="zh-CN"/>
              </w:rPr>
              <w:t>6</w:t>
            </w:r>
          </w:p>
        </w:tc>
        <w:tc>
          <w:tcPr>
            <w:tcW w:w="2239" w:type="pct"/>
            <w:noWrap w:val="0"/>
            <w:vAlign w:val="center"/>
          </w:tcPr>
          <w:p>
            <w:pPr>
              <w:spacing w:line="28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项目区域内本次改建设备旁（污染可能性较大点）</w:t>
            </w:r>
          </w:p>
        </w:tc>
        <w:tc>
          <w:tcPr>
            <w:tcW w:w="1866" w:type="pct"/>
            <w:tcBorders>
              <w:right w:val="single" w:color="auto" w:sz="12" w:space="0"/>
            </w:tcBorders>
            <w:noWrap w:val="0"/>
            <w:vAlign w:val="center"/>
          </w:tcPr>
          <w:p>
            <w:pPr>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0-20cm 1个样80-100cm1个样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92" w:hRule="exact"/>
        </w:trPr>
        <w:tc>
          <w:tcPr>
            <w:tcW w:w="893" w:type="pct"/>
            <w:tcBorders>
              <w:left w:val="single" w:color="auto" w:sz="12" w:space="0"/>
              <w:bottom w:val="single" w:color="auto" w:sz="12" w:space="0"/>
            </w:tcBorders>
            <w:noWrap w:val="0"/>
            <w:tcMar>
              <w:left w:w="28" w:type="dxa"/>
              <w:right w:w="28" w:type="dxa"/>
            </w:tcMar>
            <w:vAlign w:val="center"/>
          </w:tcPr>
          <w:p>
            <w:pPr>
              <w:spacing w:line="280" w:lineRule="exac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DW07</w:t>
            </w:r>
          </w:p>
        </w:tc>
        <w:tc>
          <w:tcPr>
            <w:tcW w:w="2239" w:type="pct"/>
            <w:tcBorders>
              <w:bottom w:val="single" w:color="auto" w:sz="12" w:space="0"/>
            </w:tcBorders>
            <w:noWrap w:val="0"/>
            <w:vAlign w:val="center"/>
          </w:tcPr>
          <w:p>
            <w:pPr>
              <w:spacing w:line="280" w:lineRule="exac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本项目范围西侧</w:t>
            </w:r>
          </w:p>
        </w:tc>
        <w:tc>
          <w:tcPr>
            <w:tcW w:w="1866" w:type="pct"/>
            <w:tcBorders>
              <w:bottom w:val="single" w:color="auto" w:sz="12" w:space="0"/>
              <w:right w:val="single" w:color="auto" w:sz="12" w:space="0"/>
            </w:tcBorders>
            <w:noWrap w:val="0"/>
            <w:vAlign w:val="center"/>
          </w:tcPr>
          <w:p>
            <w:pPr>
              <w:spacing w:line="28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0-20cm 1个样80-100cm1个样</w:t>
            </w:r>
          </w:p>
        </w:tc>
      </w:tr>
    </w:tbl>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（2）监测时间</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监测时间为</w:t>
      </w:r>
      <w:r>
        <w:rPr>
          <w:rFonts w:hint="eastAsia" w:ascii="Times New Roman" w:hAnsi="Times New Roman" w:eastAsia="宋体" w:cs="Times New Roman"/>
          <w:color w:val="auto"/>
          <w:kern w:val="2"/>
          <w:sz w:val="24"/>
          <w:szCs w:val="20"/>
          <w:lang w:val="en-US" w:eastAsia="zh-CN" w:bidi="ar-SA"/>
        </w:rPr>
        <w:t>2020</w:t>
      </w:r>
      <w:r>
        <w:rPr>
          <w:rFonts w:ascii="Times New Roman" w:hAnsi="Times New Roman" w:eastAsia="宋体" w:cs="Times New Roman"/>
          <w:color w:val="auto"/>
          <w:kern w:val="2"/>
          <w:sz w:val="24"/>
          <w:szCs w:val="20"/>
          <w:lang w:val="en-US" w:eastAsia="zh-CN" w:bidi="ar-SA"/>
        </w:rPr>
        <w:t>年</w:t>
      </w:r>
      <w:r>
        <w:rPr>
          <w:rFonts w:hint="eastAsia" w:ascii="Times New Roman" w:hAnsi="Times New Roman" w:eastAsia="宋体" w:cs="Times New Roman"/>
          <w:color w:val="auto"/>
          <w:kern w:val="2"/>
          <w:sz w:val="24"/>
          <w:szCs w:val="20"/>
          <w:lang w:val="en-US" w:eastAsia="zh-CN" w:bidi="ar-SA"/>
        </w:rPr>
        <w:t>9</w:t>
      </w:r>
      <w:r>
        <w:rPr>
          <w:rFonts w:ascii="Times New Roman" w:hAnsi="Times New Roman" w:eastAsia="宋体" w:cs="Times New Roman"/>
          <w:color w:val="auto"/>
          <w:kern w:val="2"/>
          <w:sz w:val="24"/>
          <w:szCs w:val="20"/>
          <w:lang w:val="en-US" w:eastAsia="zh-CN" w:bidi="ar-SA"/>
        </w:rPr>
        <w:t>月</w:t>
      </w:r>
      <w:r>
        <w:rPr>
          <w:rFonts w:hint="eastAsia" w:ascii="Times New Roman" w:hAnsi="Times New Roman" w:eastAsia="宋体" w:cs="Times New Roman"/>
          <w:color w:val="auto"/>
          <w:kern w:val="2"/>
          <w:sz w:val="24"/>
          <w:szCs w:val="20"/>
          <w:lang w:val="en-US" w:eastAsia="zh-CN" w:bidi="ar-SA"/>
        </w:rPr>
        <w:t>2</w:t>
      </w:r>
      <w:r>
        <w:rPr>
          <w:rFonts w:ascii="Times New Roman" w:hAnsi="Times New Roman" w:eastAsia="宋体" w:cs="Times New Roman"/>
          <w:color w:val="auto"/>
          <w:kern w:val="2"/>
          <w:sz w:val="24"/>
          <w:szCs w:val="20"/>
          <w:lang w:val="en-US" w:eastAsia="zh-CN" w:bidi="ar-SA"/>
        </w:rPr>
        <w:t>日</w:t>
      </w:r>
      <w:r>
        <w:rPr>
          <w:rFonts w:hint="eastAsia" w:ascii="Times New Roman" w:hAnsi="Times New Roman" w:eastAsia="宋体" w:cs="Times New Roman"/>
          <w:color w:val="auto"/>
          <w:kern w:val="2"/>
          <w:sz w:val="24"/>
          <w:szCs w:val="20"/>
          <w:lang w:val="en-US" w:eastAsia="zh-CN" w:bidi="ar-SA"/>
        </w:rPr>
        <w:t>至2020年9月5日</w:t>
      </w:r>
      <w:r>
        <w:rPr>
          <w:rFonts w:ascii="Times New Roman" w:hAnsi="Times New Roman" w:eastAsia="宋体" w:cs="Times New Roman"/>
          <w:color w:val="auto"/>
          <w:kern w:val="2"/>
          <w:sz w:val="24"/>
          <w:szCs w:val="20"/>
          <w:lang w:val="en-US" w:eastAsia="zh-CN" w:bidi="ar-SA"/>
        </w:rPr>
        <w:t>。</w:t>
      </w:r>
    </w:p>
    <w:p>
      <w:pPr>
        <w:widowControl w:val="0"/>
        <w:numPr>
          <w:ilvl w:val="0"/>
          <w:numId w:val="0"/>
        </w:numPr>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（3）</w:t>
      </w:r>
      <w:r>
        <w:rPr>
          <w:rFonts w:ascii="Times New Roman" w:hAnsi="Times New Roman" w:eastAsia="宋体" w:cs="Times New Roman"/>
          <w:color w:val="auto"/>
          <w:kern w:val="2"/>
          <w:sz w:val="24"/>
          <w:szCs w:val="20"/>
          <w:lang w:val="en-US" w:eastAsia="zh-CN" w:bidi="ar-SA"/>
        </w:rPr>
        <w:t>评价标准</w:t>
      </w:r>
      <w:r>
        <w:rPr>
          <w:rFonts w:hint="eastAsia" w:ascii="Times New Roman" w:hAnsi="Times New Roman" w:eastAsia="宋体" w:cs="Times New Roman"/>
          <w:color w:val="auto"/>
          <w:kern w:val="2"/>
          <w:sz w:val="24"/>
          <w:szCs w:val="20"/>
          <w:lang w:val="en-US" w:eastAsia="zh-CN" w:bidi="ar-SA"/>
        </w:rPr>
        <w:t>：</w:t>
      </w:r>
      <w:r>
        <w:rPr>
          <w:rFonts w:hint="eastAsia" w:ascii="宋体" w:hAnsi="宋体" w:eastAsia="宋体" w:cs="宋体"/>
          <w:bCs/>
          <w:color w:val="auto"/>
          <w:kern w:val="2"/>
          <w:sz w:val="24"/>
          <w:szCs w:val="20"/>
          <w:lang w:val="en-US" w:eastAsia="zh-CN" w:bidi="ar-SA"/>
        </w:rPr>
        <w:t>根据《环境影响评价技术导则地下水环境》（HJ610-2016）监测结果为</w:t>
      </w:r>
      <w:r>
        <w:rPr>
          <w:rFonts w:hint="eastAsia" w:ascii="Times New Roman" w:hAnsi="Times New Roman" w:eastAsia="宋体" w:cs="Times New Roman"/>
          <w:color w:val="auto"/>
          <w:kern w:val="2"/>
          <w:sz w:val="24"/>
          <w:szCs w:val="20"/>
          <w:lang w:val="en-US" w:eastAsia="zh-CN" w:bidi="ar-SA"/>
        </w:rPr>
        <w:t>环境背景值对比，无参照标准。</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（4）监测结果及分析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both"/>
        <w:textAlignment w:val="auto"/>
        <w:rPr>
          <w:color w:val="auto"/>
        </w:rPr>
      </w:pPr>
      <w:r>
        <w:rPr>
          <w:rFonts w:hint="eastAsia" w:ascii="Times New Roman" w:hAnsi="Times New Roman" w:eastAsia="宋体" w:cs="Times New Roman"/>
          <w:color w:val="auto"/>
          <w:kern w:val="2"/>
          <w:sz w:val="24"/>
          <w:szCs w:val="20"/>
          <w:lang w:val="en-US" w:eastAsia="zh-CN" w:bidi="ar-SA"/>
        </w:rPr>
        <w:t>包气带监测结果</w:t>
      </w:r>
      <w:r>
        <w:rPr>
          <w:rFonts w:ascii="Times New Roman" w:hAnsi="Times New Roman" w:eastAsia="宋体" w:cs="Times New Roman"/>
          <w:color w:val="auto"/>
          <w:kern w:val="2"/>
          <w:sz w:val="24"/>
          <w:szCs w:val="20"/>
          <w:lang w:val="en-US" w:eastAsia="zh-CN" w:bidi="ar-SA"/>
        </w:rPr>
        <w:t>情况见下表。</w:t>
      </w:r>
    </w:p>
    <w:p>
      <w:pPr>
        <w:spacing w:line="360" w:lineRule="auto"/>
        <w:jc w:val="center"/>
        <w:rPr>
          <w:color w:val="auto"/>
          <w:lang w:val="en-US" w:eastAsia="zh-CN"/>
        </w:rPr>
      </w:pPr>
      <w:r>
        <w:rPr>
          <w:rFonts w:ascii="Calibri" w:hAnsi="Calibri" w:eastAsia="宋体" w:cs="Times New Roman"/>
          <w:b/>
          <w:color w:val="auto"/>
          <w:sz w:val="24"/>
          <w:szCs w:val="24"/>
        </w:rPr>
        <w:t>表</w:t>
      </w:r>
      <w:r>
        <w:rPr>
          <w:rFonts w:hint="eastAsia" w:ascii="Calibri" w:hAnsi="Calibri" w:eastAsia="宋体" w:cs="Times New Roman"/>
          <w:b/>
          <w:color w:val="auto"/>
          <w:sz w:val="24"/>
          <w:szCs w:val="24"/>
          <w:lang w:val="en-US" w:eastAsia="zh-CN"/>
        </w:rPr>
        <w:t>6.4-</w:t>
      </w:r>
      <w:r>
        <w:rPr>
          <w:rFonts w:hint="eastAsia" w:cs="Times New Roman"/>
          <w:b/>
          <w:color w:val="auto"/>
          <w:sz w:val="24"/>
          <w:szCs w:val="24"/>
          <w:lang w:val="en-US" w:eastAsia="zh-CN"/>
        </w:rPr>
        <w:t>5</w:t>
      </w:r>
      <w:r>
        <w:rPr>
          <w:rFonts w:hint="eastAsia" w:ascii="Calibri" w:hAnsi="Calibri" w:eastAsia="宋体" w:cs="Times New Roman"/>
          <w:b/>
          <w:color w:val="auto"/>
          <w:sz w:val="24"/>
          <w:szCs w:val="24"/>
          <w:lang w:eastAsia="zh-CN"/>
        </w:rPr>
        <w:t>包气带</w:t>
      </w:r>
      <w:r>
        <w:rPr>
          <w:rFonts w:ascii="Calibri" w:hAnsi="Calibri" w:eastAsia="宋体" w:cs="Times New Roman"/>
          <w:b/>
          <w:color w:val="auto"/>
          <w:sz w:val="24"/>
          <w:szCs w:val="24"/>
        </w:rPr>
        <w:t>环境质量现状监测</w:t>
      </w:r>
      <w:r>
        <w:rPr>
          <w:rFonts w:hint="eastAsia" w:ascii="Calibri" w:hAnsi="Calibri" w:eastAsia="宋体" w:cs="Times New Roman"/>
          <w:b/>
          <w:color w:val="auto"/>
          <w:sz w:val="24"/>
          <w:szCs w:val="24"/>
          <w:lang w:eastAsia="zh-CN"/>
        </w:rPr>
        <w:t>结果</w:t>
      </w:r>
      <w:r>
        <w:rPr>
          <w:rFonts w:ascii="Calibri" w:hAnsi="Calibri" w:eastAsia="宋体" w:cs="Times New Roman"/>
          <w:b/>
          <w:color w:val="auto"/>
          <w:sz w:val="24"/>
          <w:szCs w:val="24"/>
        </w:rPr>
        <w:t>一览表</w:t>
      </w:r>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914"/>
        <w:gridCol w:w="1806"/>
        <w:gridCol w:w="1083"/>
        <w:gridCol w:w="881"/>
        <w:gridCol w:w="1866"/>
        <w:gridCol w:w="1373"/>
        <w:gridCol w:w="9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565"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采样</w:t>
            </w:r>
          </w:p>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点位</w:t>
            </w:r>
          </w:p>
        </w:tc>
        <w:tc>
          <w:tcPr>
            <w:tcW w:w="708"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样品</w:t>
            </w:r>
          </w:p>
          <w:p>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编号</w:t>
            </w:r>
          </w:p>
        </w:tc>
        <w:tc>
          <w:tcPr>
            <w:tcW w:w="66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样品</w:t>
            </w:r>
          </w:p>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状态</w:t>
            </w:r>
          </w:p>
        </w:tc>
        <w:tc>
          <w:tcPr>
            <w:tcW w:w="546"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采样</w:t>
            </w:r>
          </w:p>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深度</w:t>
            </w: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检测项目</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检测结果</w:t>
            </w:r>
          </w:p>
        </w:tc>
        <w:tc>
          <w:tcPr>
            <w:tcW w:w="595"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restar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DW06</w:t>
            </w:r>
          </w:p>
        </w:tc>
        <w:tc>
          <w:tcPr>
            <w:tcW w:w="708" w:type="pct"/>
            <w:vMerge w:val="restar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HR200901</w:t>
            </w:r>
          </w:p>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TRJ1001</w:t>
            </w:r>
          </w:p>
        </w:tc>
        <w:tc>
          <w:tcPr>
            <w:tcW w:w="660"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浅灰色、湿土、轻壤土</w:t>
            </w:r>
          </w:p>
        </w:tc>
        <w:tc>
          <w:tcPr>
            <w:tcW w:w="546"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0--0.2m</w:t>
            </w: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pH</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5.09</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石油烃</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四氯化碳</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0.07</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三氯乙烯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0.10</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甲苯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0.025</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乙苯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0.17</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HR200901TRJ1002</w:t>
            </w:r>
          </w:p>
        </w:tc>
        <w:tc>
          <w:tcPr>
            <w:tcW w:w="660"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淡灰色、干土、轻壤土</w:t>
            </w:r>
          </w:p>
        </w:tc>
        <w:tc>
          <w:tcPr>
            <w:tcW w:w="546"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0.2-0.8m</w:t>
            </w: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pH</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5.10</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石油烃</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四氯化碳</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三氯乙烯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0.14</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甲苯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0.103</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乙苯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0.24</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restar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DW05</w:t>
            </w:r>
          </w:p>
        </w:tc>
        <w:tc>
          <w:tcPr>
            <w:tcW w:w="708"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HR200901TRJ1003</w:t>
            </w:r>
          </w:p>
        </w:tc>
        <w:tc>
          <w:tcPr>
            <w:tcW w:w="660"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黄棕色、湿土、轻壤土</w:t>
            </w:r>
          </w:p>
        </w:tc>
        <w:tc>
          <w:tcPr>
            <w:tcW w:w="546"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0--0.2m</w:t>
            </w: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pH</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5.22</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石油烃</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四氯化碳</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三氯乙烯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0.22</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甲苯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乙苯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HR200901TRJ1004</w:t>
            </w:r>
          </w:p>
        </w:tc>
        <w:tc>
          <w:tcPr>
            <w:tcW w:w="660"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黄棕色、湿土、轻壤土</w:t>
            </w:r>
          </w:p>
        </w:tc>
        <w:tc>
          <w:tcPr>
            <w:tcW w:w="546"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0.2-0.8m</w:t>
            </w: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pH</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5.28</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石油烃</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四氯化碳</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三氯乙烯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0.14</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甲苯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1,4-二氯苯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1,2-二氯苯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restart"/>
            <w:tcBorders>
              <w:tl2br w:val="nil"/>
              <w:tr2bl w:val="nil"/>
            </w:tcBorders>
            <w:noWrap w:val="0"/>
            <w:tcMar>
              <w:top w:w="0" w:type="dxa"/>
              <w:left w:w="57" w:type="dxa"/>
              <w:bottom w:w="0" w:type="dxa"/>
              <w:right w:w="57" w:type="dxa"/>
            </w:tcMar>
            <w:vAlign w:val="center"/>
          </w:tcPr>
          <w:p>
            <w:pPr>
              <w:jc w:val="center"/>
              <w:rPr>
                <w:rFonts w:hint="default" w:ascii="Calibri" w:hAnsi="Calibri"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DW04</w:t>
            </w:r>
          </w:p>
        </w:tc>
        <w:tc>
          <w:tcPr>
            <w:tcW w:w="708"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HR200901TRJ1005</w:t>
            </w:r>
          </w:p>
        </w:tc>
        <w:tc>
          <w:tcPr>
            <w:tcW w:w="660"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黄棕色、湿土、轻壤土</w:t>
            </w:r>
          </w:p>
        </w:tc>
        <w:tc>
          <w:tcPr>
            <w:tcW w:w="546"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0--0.2m</w:t>
            </w: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pH</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5.72</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石油烃</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四氯化碳</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三氯乙烯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0.14</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甲苯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乙苯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HR200901TRJ1006</w:t>
            </w:r>
          </w:p>
        </w:tc>
        <w:tc>
          <w:tcPr>
            <w:tcW w:w="660"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黄棕色、湿土、轻壤土</w:t>
            </w:r>
          </w:p>
        </w:tc>
        <w:tc>
          <w:tcPr>
            <w:tcW w:w="546"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0.2-0.8m</w:t>
            </w: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pH</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5.63</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石油烃</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四氯化碳</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三氯乙烯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甲苯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乙苯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1" w:hRule="atLeast"/>
        </w:trPr>
        <w:tc>
          <w:tcPr>
            <w:tcW w:w="565" w:type="pct"/>
            <w:vMerge w:val="restart"/>
            <w:tcBorders>
              <w:tl2br w:val="nil"/>
              <w:tr2bl w:val="nil"/>
            </w:tcBorders>
            <w:noWrap w:val="0"/>
            <w:tcMar>
              <w:top w:w="0" w:type="dxa"/>
              <w:left w:w="57" w:type="dxa"/>
              <w:bottom w:w="0" w:type="dxa"/>
              <w:right w:w="57" w:type="dxa"/>
            </w:tcMar>
            <w:vAlign w:val="center"/>
          </w:tcPr>
          <w:p>
            <w:pPr>
              <w:jc w:val="center"/>
              <w:rPr>
                <w:rFonts w:hint="default" w:ascii="Calibri" w:hAnsi="Calibri"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DW07</w:t>
            </w:r>
          </w:p>
        </w:tc>
        <w:tc>
          <w:tcPr>
            <w:tcW w:w="708"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HR200901TRJ1007</w:t>
            </w:r>
          </w:p>
        </w:tc>
        <w:tc>
          <w:tcPr>
            <w:tcW w:w="660"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黄棕色、干土、砂壤土</w:t>
            </w:r>
          </w:p>
        </w:tc>
        <w:tc>
          <w:tcPr>
            <w:tcW w:w="546"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0--0.2m</w:t>
            </w: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pH</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4.97</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1"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ind w:firstLine="420" w:firstLineChars="200"/>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石油烃</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四氯化碳</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三氯乙烯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甲苯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乙苯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ind w:firstLine="420" w:firstLineChars="200"/>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HR200901TRJ1008</w:t>
            </w:r>
          </w:p>
        </w:tc>
        <w:tc>
          <w:tcPr>
            <w:tcW w:w="660"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灰色、干土、砂土</w:t>
            </w:r>
          </w:p>
        </w:tc>
        <w:tc>
          <w:tcPr>
            <w:tcW w:w="546"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0.2-0.8m</w:t>
            </w: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pH</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5.73</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ind w:firstLine="420" w:firstLineChars="200"/>
              <w:jc w:val="center"/>
              <w:rPr>
                <w:rFonts w:hint="default" w:ascii="Times New Roman" w:hAnsi="Times New Roman" w:eastAsia="宋体" w:cs="Times New Roman"/>
                <w:color w:val="auto"/>
                <w:kern w:val="0"/>
                <w:sz w:val="21"/>
                <w:szCs w:val="21"/>
                <w:highlight w:val="none"/>
                <w:lang w:val="en-US" w:eastAsia="zh-CN"/>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rPr>
            </w:pPr>
          </w:p>
        </w:tc>
        <w:tc>
          <w:tcPr>
            <w:tcW w:w="1100"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石油烃</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四氯化碳</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三氯乙烯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甲苯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乙苯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65" w:type="pct"/>
            <w:vMerge w:val="continue"/>
            <w:tcBorders>
              <w:tl2br w:val="nil"/>
              <w:tr2bl w:val="nil"/>
            </w:tcBorders>
            <w:noWrap w:val="0"/>
            <w:tcMar>
              <w:top w:w="0" w:type="dxa"/>
              <w:left w:w="57" w:type="dxa"/>
              <w:bottom w:w="0" w:type="dxa"/>
              <w:right w:w="57" w:type="dxa"/>
            </w:tcMar>
            <w:vAlign w:val="center"/>
          </w:tcPr>
          <w:p>
            <w:pPr>
              <w:widowControl/>
              <w:jc w:val="center"/>
              <w:rPr>
                <w:rFonts w:hint="default" w:ascii="Times New Roman" w:hAnsi="Times New Roman" w:eastAsia="宋体" w:cs="Times New Roman"/>
                <w:color w:val="auto"/>
                <w:kern w:val="0"/>
                <w:sz w:val="21"/>
                <w:szCs w:val="21"/>
                <w:highlight w:val="none"/>
              </w:rPr>
            </w:pPr>
          </w:p>
        </w:tc>
        <w:tc>
          <w:tcPr>
            <w:tcW w:w="70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lang w:eastAsia="zh-CN"/>
              </w:rPr>
            </w:pPr>
          </w:p>
        </w:tc>
        <w:tc>
          <w:tcPr>
            <w:tcW w:w="660"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0"/>
                <w:sz w:val="21"/>
                <w:szCs w:val="21"/>
                <w:highlight w:val="none"/>
              </w:rPr>
            </w:pPr>
          </w:p>
        </w:tc>
        <w:tc>
          <w:tcPr>
            <w:tcW w:w="1100"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1,2-二氯苯</w:t>
            </w:r>
          </w:p>
        </w:tc>
        <w:tc>
          <w:tcPr>
            <w:tcW w:w="823" w:type="pct"/>
            <w:tcBorders>
              <w:tl2br w:val="nil"/>
              <w:tr2bl w:val="nil"/>
            </w:tcBorders>
            <w:noWrap w:val="0"/>
            <w:tcMar>
              <w:top w:w="0" w:type="dxa"/>
              <w:left w:w="57" w:type="dxa"/>
              <w:bottom w:w="0" w:type="dxa"/>
              <w:right w:w="57" w:type="dxa"/>
            </w:tcMar>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ND</w:t>
            </w:r>
          </w:p>
        </w:tc>
        <w:tc>
          <w:tcPr>
            <w:tcW w:w="595" w:type="pct"/>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9" w:hRule="atLeast"/>
        </w:trPr>
        <w:tc>
          <w:tcPr>
            <w:tcW w:w="5000" w:type="pct"/>
            <w:gridSpan w:val="7"/>
            <w:tcBorders>
              <w:tl2br w:val="nil"/>
              <w:tr2bl w:val="nil"/>
            </w:tcBorders>
            <w:noWrap w:val="0"/>
            <w:tcMar>
              <w:top w:w="0" w:type="dxa"/>
              <w:left w:w="57" w:type="dxa"/>
              <w:bottom w:w="0" w:type="dxa"/>
              <w:right w:w="57"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注：采样点位DW04-DW06情况为水泥地，DW07为草地。</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按</w:t>
      </w:r>
      <w:r>
        <w:rPr>
          <w:rFonts w:hint="eastAsia" w:ascii="宋体" w:hAnsi="宋体" w:eastAsia="宋体" w:cs="宋体"/>
          <w:bCs/>
          <w:color w:val="auto"/>
          <w:kern w:val="2"/>
          <w:sz w:val="24"/>
          <w:szCs w:val="20"/>
          <w:lang w:val="en-US" w:eastAsia="zh-CN" w:bidi="ar-SA"/>
        </w:rPr>
        <w:t>《环境影响评价技术导则地下水环境》（HJ610-2016）中要求，包气带监测结果无对照标准。包气带的污染情况主要是通过监测点位数据结果与环境背景值点位数据对比得出结论。</w:t>
      </w:r>
      <w:r>
        <w:rPr>
          <w:rFonts w:hint="eastAsia" w:ascii="Times New Roman" w:hAnsi="Times New Roman" w:eastAsia="宋体" w:cs="Times New Roman"/>
          <w:color w:val="auto"/>
          <w:kern w:val="2"/>
          <w:sz w:val="24"/>
          <w:szCs w:val="20"/>
          <w:lang w:val="en-US" w:eastAsia="zh-CN" w:bidi="ar-SA"/>
        </w:rPr>
        <w:t>检测结果DW04-DW06点位检测数值与DW07点位做对比各污染因子没有明显浓度没有明显超出的情况，所以本项目地下包气带未发现有明显污染。</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ascii="Times New Roman" w:hAnsi="Times New Roman" w:eastAsia="宋体" w:cs="Times New Roman"/>
          <w:b/>
          <w:color w:val="auto"/>
          <w:kern w:val="2"/>
          <w:sz w:val="30"/>
          <w:szCs w:val="22"/>
          <w:lang w:val="en-US" w:eastAsia="zh-CN" w:bidi="ar-SA"/>
        </w:rPr>
      </w:pPr>
      <w:bookmarkStart w:id="136" w:name="_Toc2797"/>
      <w:r>
        <w:rPr>
          <w:rFonts w:hint="eastAsia" w:ascii="Times New Roman" w:hAnsi="Times New Roman" w:eastAsia="宋体" w:cs="Times New Roman"/>
          <w:b/>
          <w:color w:val="auto"/>
          <w:kern w:val="2"/>
          <w:sz w:val="30"/>
          <w:szCs w:val="22"/>
          <w:lang w:val="en-US" w:eastAsia="zh-CN" w:bidi="ar-SA"/>
        </w:rPr>
        <w:t>6.5</w:t>
      </w:r>
      <w:r>
        <w:rPr>
          <w:rFonts w:ascii="Times New Roman" w:hAnsi="Times New Roman" w:eastAsia="宋体" w:cs="Times New Roman"/>
          <w:b/>
          <w:color w:val="auto"/>
          <w:kern w:val="2"/>
          <w:sz w:val="30"/>
          <w:szCs w:val="22"/>
          <w:lang w:val="en-US" w:eastAsia="zh-CN" w:bidi="ar-SA"/>
        </w:rPr>
        <w:t>环境</w:t>
      </w:r>
      <w:r>
        <w:rPr>
          <w:rFonts w:hint="eastAsia" w:ascii="Times New Roman" w:hAnsi="Times New Roman" w:eastAsia="宋体" w:cs="Times New Roman"/>
          <w:b/>
          <w:color w:val="auto"/>
          <w:kern w:val="2"/>
          <w:sz w:val="30"/>
          <w:szCs w:val="22"/>
          <w:lang w:val="en-US" w:eastAsia="zh-CN" w:bidi="ar-SA"/>
        </w:rPr>
        <w:t>空气</w:t>
      </w:r>
      <w:r>
        <w:rPr>
          <w:rFonts w:ascii="Times New Roman" w:hAnsi="Times New Roman" w:eastAsia="宋体" w:cs="Times New Roman"/>
          <w:b/>
          <w:color w:val="auto"/>
          <w:kern w:val="2"/>
          <w:sz w:val="30"/>
          <w:szCs w:val="22"/>
          <w:lang w:val="en-US" w:eastAsia="zh-CN" w:bidi="ar-SA"/>
        </w:rPr>
        <w:t>质量现状与评价</w:t>
      </w:r>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Calibri" w:hAnsi="Calibri" w:eastAsia="宋体"/>
          <w:color w:val="auto"/>
        </w:rPr>
      </w:pPr>
      <w:r>
        <w:rPr>
          <w:rFonts w:hint="eastAsia" w:ascii="Times New Roman" w:hAnsi="Times New Roman" w:eastAsia="宋体" w:cs="Times New Roman"/>
          <w:color w:val="auto"/>
          <w:kern w:val="2"/>
          <w:sz w:val="24"/>
          <w:szCs w:val="20"/>
          <w:u w:val="none"/>
          <w:lang w:val="en-US" w:eastAsia="zh-CN" w:bidi="ar-SA"/>
        </w:rPr>
        <w:t>本项目位于云溪工业园区，根据</w:t>
      </w:r>
      <w:r>
        <w:rPr>
          <w:rFonts w:hint="eastAsia" w:ascii="宋体" w:hAnsi="宋体" w:eastAsia="宋体" w:cs="宋体"/>
          <w:bCs/>
          <w:color w:val="auto"/>
          <w:kern w:val="2"/>
          <w:sz w:val="24"/>
          <w:szCs w:val="20"/>
          <w:lang w:val="en-US" w:eastAsia="zh-CN" w:bidi="ar-SA"/>
        </w:rPr>
        <w:t>《环境影响评价技术导则大气环境》（</w:t>
      </w:r>
      <w:r>
        <w:rPr>
          <w:rFonts w:hint="eastAsia" w:ascii="Times New Roman" w:hAnsi="Times New Roman" w:eastAsia="宋体" w:cs="Times New Roman"/>
          <w:color w:val="auto"/>
          <w:kern w:val="2"/>
          <w:sz w:val="24"/>
          <w:szCs w:val="20"/>
          <w:lang w:val="en-US" w:eastAsia="zh-CN" w:bidi="ar-SA"/>
        </w:rPr>
        <w:t>HJ2.2</w:t>
      </w:r>
      <w:r>
        <w:rPr>
          <w:rFonts w:hint="eastAsia" w:ascii="宋体" w:hAnsi="宋体" w:eastAsia="宋体" w:cs="宋体"/>
          <w:bCs/>
          <w:color w:val="auto"/>
          <w:kern w:val="2"/>
          <w:sz w:val="24"/>
          <w:szCs w:val="20"/>
          <w:lang w:val="en-US" w:eastAsia="zh-CN" w:bidi="ar-SA"/>
        </w:rPr>
        <w:t>-2016）要求，本项目大气污染物必须对基准污染物和其他污染物进行监测。其中基准污染物需符合城市环境空气质量标准。其他污染物满足地方标准。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本项目所在区域达标判定数据来源于岳阳市环境保护局发布的《岳阳市2019年度环境质量公报》，根据该公报，岳阳市2019年区域环境空气质量数据见下表：</w:t>
      </w:r>
    </w:p>
    <w:p>
      <w:pPr>
        <w:widowControl w:val="0"/>
        <w:bidi w:val="0"/>
        <w:spacing w:line="360" w:lineRule="auto"/>
        <w:jc w:val="center"/>
        <w:rPr>
          <w:rFonts w:hint="eastAsia" w:ascii="Times New Roman" w:hAnsi="Times New Roman" w:eastAsia="宋体" w:cs="Times New Roman"/>
          <w:b/>
          <w:color w:val="auto"/>
          <w:kern w:val="2"/>
          <w:sz w:val="24"/>
          <w:szCs w:val="22"/>
          <w:lang w:val="en-US" w:eastAsia="zh-CN" w:bidi="ar-SA"/>
        </w:rPr>
      </w:pPr>
      <w:r>
        <w:rPr>
          <w:rFonts w:hint="eastAsia" w:ascii="Times New Roman" w:hAnsi="Times New Roman" w:eastAsia="宋体" w:cs="Times New Roman"/>
          <w:b/>
          <w:color w:val="auto"/>
          <w:kern w:val="2"/>
          <w:sz w:val="24"/>
          <w:szCs w:val="22"/>
          <w:lang w:val="en-US" w:eastAsia="zh-CN" w:bidi="ar-SA"/>
        </w:rPr>
        <w:t>表6</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5</w:t>
      </w:r>
      <w:r>
        <w:rPr>
          <w:rFonts w:ascii="Times New Roman" w:hAnsi="Times New Roman" w:eastAsia="宋体" w:cs="Times New Roman"/>
          <w:b/>
          <w:color w:val="auto"/>
          <w:kern w:val="2"/>
          <w:sz w:val="24"/>
          <w:szCs w:val="22"/>
          <w:lang w:val="en-US" w:eastAsia="zh-CN" w:bidi="ar-SA"/>
        </w:rPr>
        <w:t>-</w:t>
      </w:r>
      <w:r>
        <w:rPr>
          <w:rFonts w:hint="eastAsia" w:ascii="Times New Roman" w:hAnsi="Times New Roman" w:eastAsia="宋体" w:cs="Times New Roman"/>
          <w:b/>
          <w:color w:val="auto"/>
          <w:kern w:val="2"/>
          <w:sz w:val="24"/>
          <w:szCs w:val="22"/>
          <w:lang w:val="en-US" w:eastAsia="zh-CN" w:bidi="ar-SA"/>
        </w:rPr>
        <w:t>1  岳阳市空气质量现状评价表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426"/>
        <w:gridCol w:w="1795"/>
        <w:gridCol w:w="1795"/>
        <w:gridCol w:w="1258"/>
        <w:gridCol w:w="9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5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污染物</w:t>
            </w:r>
          </w:p>
        </w:tc>
        <w:tc>
          <w:tcPr>
            <w:tcW w:w="134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年评价指标</w:t>
            </w:r>
          </w:p>
        </w:tc>
        <w:tc>
          <w:tcPr>
            <w:tcW w:w="99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现状浓度（ug/m</w:t>
            </w:r>
            <w:r>
              <w:rPr>
                <w:rFonts w:hint="eastAsia" w:ascii="Times New Roman" w:hAnsi="Times New Roman" w:eastAsia="宋体" w:cs="Times New Roman"/>
                <w:color w:val="auto"/>
                <w:kern w:val="2"/>
                <w:sz w:val="21"/>
                <w:szCs w:val="20"/>
                <w:vertAlign w:val="superscript"/>
                <w:lang w:val="en-US" w:eastAsia="zh-CN" w:bidi="ar-SA"/>
              </w:rPr>
              <w:t>3</w:t>
            </w:r>
            <w:r>
              <w:rPr>
                <w:rFonts w:hint="eastAsia" w:ascii="Times New Roman" w:hAnsi="Times New Roman" w:eastAsia="宋体" w:cs="Times New Roman"/>
                <w:color w:val="auto"/>
                <w:kern w:val="2"/>
                <w:sz w:val="21"/>
                <w:szCs w:val="20"/>
                <w:lang w:val="en-US" w:eastAsia="zh-CN" w:bidi="ar-SA"/>
              </w:rPr>
              <w:t>）</w:t>
            </w:r>
          </w:p>
        </w:tc>
        <w:tc>
          <w:tcPr>
            <w:tcW w:w="99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现状浓度（ug/m3）</w:t>
            </w:r>
          </w:p>
        </w:tc>
        <w:tc>
          <w:tcPr>
            <w:tcW w:w="698"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占标率/100%</w:t>
            </w:r>
          </w:p>
        </w:tc>
        <w:tc>
          <w:tcPr>
            <w:tcW w:w="50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5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SO</w:t>
            </w:r>
            <w:r>
              <w:rPr>
                <w:rFonts w:hint="eastAsia" w:ascii="Times New Roman" w:hAnsi="Times New Roman" w:eastAsia="宋体" w:cs="Times New Roman"/>
                <w:color w:val="auto"/>
                <w:kern w:val="2"/>
                <w:sz w:val="21"/>
                <w:szCs w:val="20"/>
                <w:vertAlign w:val="subscript"/>
                <w:lang w:val="en-US" w:eastAsia="zh-CN" w:bidi="ar-SA"/>
              </w:rPr>
              <w:t>2</w:t>
            </w:r>
          </w:p>
        </w:tc>
        <w:tc>
          <w:tcPr>
            <w:tcW w:w="134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年平均质量浓度</w:t>
            </w:r>
          </w:p>
        </w:tc>
        <w:tc>
          <w:tcPr>
            <w:tcW w:w="99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9</w:t>
            </w:r>
          </w:p>
        </w:tc>
        <w:tc>
          <w:tcPr>
            <w:tcW w:w="99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60</w:t>
            </w:r>
          </w:p>
        </w:tc>
        <w:tc>
          <w:tcPr>
            <w:tcW w:w="698"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15.0</w:t>
            </w:r>
          </w:p>
        </w:tc>
        <w:tc>
          <w:tcPr>
            <w:tcW w:w="50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5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NO</w:t>
            </w:r>
            <w:r>
              <w:rPr>
                <w:rFonts w:hint="eastAsia" w:ascii="Times New Roman" w:hAnsi="Times New Roman" w:eastAsia="宋体" w:cs="Times New Roman"/>
                <w:color w:val="auto"/>
                <w:kern w:val="2"/>
                <w:sz w:val="21"/>
                <w:szCs w:val="20"/>
                <w:vertAlign w:val="subscript"/>
                <w:lang w:val="en-US" w:eastAsia="zh-CN" w:bidi="ar-SA"/>
              </w:rPr>
              <w:t>2</w:t>
            </w:r>
          </w:p>
        </w:tc>
        <w:tc>
          <w:tcPr>
            <w:tcW w:w="134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年平均质量浓度</w:t>
            </w:r>
          </w:p>
        </w:tc>
        <w:tc>
          <w:tcPr>
            <w:tcW w:w="99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27</w:t>
            </w:r>
          </w:p>
        </w:tc>
        <w:tc>
          <w:tcPr>
            <w:tcW w:w="99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40</w:t>
            </w:r>
          </w:p>
        </w:tc>
        <w:tc>
          <w:tcPr>
            <w:tcW w:w="698"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67.5</w:t>
            </w:r>
          </w:p>
        </w:tc>
        <w:tc>
          <w:tcPr>
            <w:tcW w:w="50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5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PM</w:t>
            </w:r>
            <w:r>
              <w:rPr>
                <w:rFonts w:hint="eastAsia" w:ascii="Times New Roman" w:hAnsi="Times New Roman" w:eastAsia="宋体" w:cs="Times New Roman"/>
                <w:color w:val="auto"/>
                <w:kern w:val="2"/>
                <w:sz w:val="21"/>
                <w:szCs w:val="20"/>
                <w:vertAlign w:val="subscript"/>
                <w:lang w:val="en-US" w:eastAsia="zh-CN" w:bidi="ar-SA"/>
              </w:rPr>
              <w:t>10</w:t>
            </w:r>
          </w:p>
        </w:tc>
        <w:tc>
          <w:tcPr>
            <w:tcW w:w="134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年平均质量浓度</w:t>
            </w:r>
          </w:p>
        </w:tc>
        <w:tc>
          <w:tcPr>
            <w:tcW w:w="99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68</w:t>
            </w:r>
          </w:p>
        </w:tc>
        <w:tc>
          <w:tcPr>
            <w:tcW w:w="99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70</w:t>
            </w:r>
          </w:p>
        </w:tc>
        <w:tc>
          <w:tcPr>
            <w:tcW w:w="698"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97.1</w:t>
            </w:r>
          </w:p>
        </w:tc>
        <w:tc>
          <w:tcPr>
            <w:tcW w:w="50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5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PM</w:t>
            </w:r>
            <w:r>
              <w:rPr>
                <w:rFonts w:hint="eastAsia" w:ascii="Times New Roman" w:hAnsi="Times New Roman" w:eastAsia="宋体" w:cs="Times New Roman"/>
                <w:color w:val="auto"/>
                <w:kern w:val="2"/>
                <w:sz w:val="21"/>
                <w:szCs w:val="20"/>
                <w:vertAlign w:val="subscript"/>
                <w:lang w:val="en-US" w:eastAsia="zh-CN" w:bidi="ar-SA"/>
              </w:rPr>
              <w:t>2.5</w:t>
            </w:r>
          </w:p>
        </w:tc>
        <w:tc>
          <w:tcPr>
            <w:tcW w:w="134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年平均质量浓度</w:t>
            </w:r>
          </w:p>
        </w:tc>
        <w:tc>
          <w:tcPr>
            <w:tcW w:w="99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43</w:t>
            </w:r>
          </w:p>
        </w:tc>
        <w:tc>
          <w:tcPr>
            <w:tcW w:w="99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35</w:t>
            </w:r>
          </w:p>
        </w:tc>
        <w:tc>
          <w:tcPr>
            <w:tcW w:w="698"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122.8</w:t>
            </w:r>
          </w:p>
        </w:tc>
        <w:tc>
          <w:tcPr>
            <w:tcW w:w="50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5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CO</w:t>
            </w:r>
          </w:p>
        </w:tc>
        <w:tc>
          <w:tcPr>
            <w:tcW w:w="134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第95百分位数日平均质量浓度</w:t>
            </w:r>
          </w:p>
        </w:tc>
        <w:tc>
          <w:tcPr>
            <w:tcW w:w="99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1400</w:t>
            </w:r>
          </w:p>
        </w:tc>
        <w:tc>
          <w:tcPr>
            <w:tcW w:w="99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4000</w:t>
            </w:r>
          </w:p>
        </w:tc>
        <w:tc>
          <w:tcPr>
            <w:tcW w:w="698"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35.0</w:t>
            </w:r>
          </w:p>
        </w:tc>
        <w:tc>
          <w:tcPr>
            <w:tcW w:w="50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5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O</w:t>
            </w:r>
            <w:r>
              <w:rPr>
                <w:rFonts w:hint="eastAsia" w:ascii="Times New Roman" w:hAnsi="Times New Roman" w:eastAsia="宋体" w:cs="Times New Roman"/>
                <w:color w:val="auto"/>
                <w:kern w:val="2"/>
                <w:sz w:val="21"/>
                <w:szCs w:val="20"/>
                <w:vertAlign w:val="subscript"/>
                <w:lang w:val="en-US" w:eastAsia="zh-CN" w:bidi="ar-SA"/>
              </w:rPr>
              <w:t>3</w:t>
            </w:r>
          </w:p>
        </w:tc>
        <w:tc>
          <w:tcPr>
            <w:tcW w:w="134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第90百分位数日平均质量浓度</w:t>
            </w:r>
          </w:p>
        </w:tc>
        <w:tc>
          <w:tcPr>
            <w:tcW w:w="99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164</w:t>
            </w:r>
          </w:p>
        </w:tc>
        <w:tc>
          <w:tcPr>
            <w:tcW w:w="99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160</w:t>
            </w:r>
          </w:p>
        </w:tc>
        <w:tc>
          <w:tcPr>
            <w:tcW w:w="698"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102.5</w:t>
            </w:r>
          </w:p>
        </w:tc>
        <w:tc>
          <w:tcPr>
            <w:tcW w:w="50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不达标</w:t>
            </w:r>
          </w:p>
        </w:tc>
      </w:tr>
    </w:tbl>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根据《环境影响评价技术导则大气环境》(HJ2.2-2018) 第6.4.1.1条“城市环境空气质量达标情况评价指标为SO</w:t>
      </w:r>
      <w:r>
        <w:rPr>
          <w:rFonts w:hint="eastAsia" w:ascii="Times New Roman" w:hAnsi="Times New Roman" w:eastAsia="宋体" w:cs="Times New Roman"/>
          <w:color w:val="auto"/>
          <w:kern w:val="2"/>
          <w:sz w:val="24"/>
          <w:szCs w:val="20"/>
          <w:vertAlign w:val="subscript"/>
          <w:lang w:val="en-US" w:eastAsia="zh-CN" w:bidi="ar-SA"/>
        </w:rPr>
        <w:t>2</w:t>
      </w:r>
      <w:r>
        <w:rPr>
          <w:rFonts w:hint="eastAsia" w:ascii="Times New Roman" w:hAnsi="Times New Roman" w:eastAsia="宋体" w:cs="Times New Roman"/>
          <w:color w:val="auto"/>
          <w:kern w:val="2"/>
          <w:sz w:val="24"/>
          <w:szCs w:val="20"/>
          <w:lang w:val="en-US" w:eastAsia="zh-CN" w:bidi="ar-SA"/>
        </w:rPr>
        <w:t>、NO</w:t>
      </w:r>
      <w:r>
        <w:rPr>
          <w:rFonts w:hint="eastAsia" w:ascii="Times New Roman" w:hAnsi="Times New Roman" w:eastAsia="宋体" w:cs="Times New Roman"/>
          <w:color w:val="auto"/>
          <w:kern w:val="2"/>
          <w:sz w:val="24"/>
          <w:szCs w:val="20"/>
          <w:vertAlign w:val="subscript"/>
          <w:lang w:val="en-US" w:eastAsia="zh-CN" w:bidi="ar-SA"/>
        </w:rPr>
        <w:t>2</w:t>
      </w:r>
      <w:r>
        <w:rPr>
          <w:rFonts w:hint="eastAsia" w:ascii="Times New Roman" w:hAnsi="Times New Roman" w:eastAsia="宋体" w:cs="Times New Roman"/>
          <w:color w:val="auto"/>
          <w:kern w:val="2"/>
          <w:sz w:val="24"/>
          <w:szCs w:val="20"/>
          <w:lang w:val="en-US" w:eastAsia="zh-CN" w:bidi="ar-SA"/>
        </w:rPr>
        <w:t>、PM</w:t>
      </w:r>
      <w:r>
        <w:rPr>
          <w:rFonts w:hint="eastAsia" w:ascii="Times New Roman" w:hAnsi="Times New Roman" w:eastAsia="宋体" w:cs="Times New Roman"/>
          <w:color w:val="auto"/>
          <w:kern w:val="2"/>
          <w:sz w:val="24"/>
          <w:szCs w:val="20"/>
          <w:vertAlign w:val="subscript"/>
          <w:lang w:val="en-US" w:eastAsia="zh-CN" w:bidi="ar-SA"/>
        </w:rPr>
        <w:t>10</w:t>
      </w:r>
      <w:r>
        <w:rPr>
          <w:rFonts w:hint="eastAsia" w:ascii="Times New Roman" w:hAnsi="Times New Roman" w:eastAsia="宋体" w:cs="Times New Roman"/>
          <w:color w:val="auto"/>
          <w:kern w:val="2"/>
          <w:sz w:val="24"/>
          <w:szCs w:val="20"/>
          <w:lang w:val="en-US" w:eastAsia="zh-CN" w:bidi="ar-SA"/>
        </w:rPr>
        <w:t>、PM</w:t>
      </w:r>
      <w:r>
        <w:rPr>
          <w:rFonts w:hint="eastAsia" w:ascii="Times New Roman" w:hAnsi="Times New Roman" w:eastAsia="宋体" w:cs="Times New Roman"/>
          <w:color w:val="auto"/>
          <w:kern w:val="2"/>
          <w:sz w:val="24"/>
          <w:szCs w:val="20"/>
          <w:vertAlign w:val="subscript"/>
          <w:lang w:val="en-US" w:eastAsia="zh-CN" w:bidi="ar-SA"/>
        </w:rPr>
        <w:t>2.5</w:t>
      </w:r>
      <w:r>
        <w:rPr>
          <w:rFonts w:hint="eastAsia" w:ascii="Times New Roman" w:hAnsi="Times New Roman" w:eastAsia="宋体" w:cs="Times New Roman"/>
          <w:color w:val="auto"/>
          <w:kern w:val="2"/>
          <w:sz w:val="24"/>
          <w:szCs w:val="20"/>
          <w:lang w:val="en-US" w:eastAsia="zh-CN" w:bidi="ar-SA"/>
        </w:rPr>
        <w:t>、CO和O</w:t>
      </w:r>
      <w:r>
        <w:rPr>
          <w:rFonts w:hint="eastAsia" w:ascii="Times New Roman" w:hAnsi="Times New Roman" w:eastAsia="宋体" w:cs="Times New Roman"/>
          <w:color w:val="auto"/>
          <w:kern w:val="2"/>
          <w:sz w:val="24"/>
          <w:szCs w:val="20"/>
          <w:vertAlign w:val="subscript"/>
          <w:lang w:val="en-US" w:eastAsia="zh-CN" w:bidi="ar-SA"/>
        </w:rPr>
        <w:t>3</w:t>
      </w:r>
      <w:r>
        <w:rPr>
          <w:rFonts w:hint="eastAsia" w:ascii="Times New Roman" w:hAnsi="Times New Roman" w:eastAsia="宋体" w:cs="Times New Roman"/>
          <w:color w:val="auto"/>
          <w:kern w:val="2"/>
          <w:sz w:val="24"/>
          <w:szCs w:val="20"/>
          <w:lang w:val="en-US" w:eastAsia="zh-CN" w:bidi="ar-SA"/>
        </w:rPr>
        <w:t>，六项污染物全部达标即为“城市环境空气质量达标”。故本项目所在区域岳阳市2019年为环境空气质量不达标区。</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根据《湖南省污染防治攻坚战三年行动计划(2018-2020年)》、《湖南省“蓝天保卫战"实施方案》(2018-2020年)文件内容要求，湖南省人民政府持续深入开展大气污染治理，采取的主要措施如下:</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①积极推动转型升级</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促进产业结构调整、推进“散乱污”企业整治、优化能源结构调整。加快清沽能源替代利用、推动交通结构调整、加快绿色交通体系建设、推进油品提质升级。</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②加大污染治理力度</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推动工业污染源稳定达标排放、加强工业企业无组织排放管控、加强工业园区大气污染防治、推动重点地区和重点行业执行大气污染物特别排放限值、推进火电钢铁行业超低排放改造、全面推进工业VOCs综合治理、打好柴油货车污染治理攻坚战、加强非道路移动机械和船舶污染管控、加强扬尘污染治理、严禁秸秆露天焚烧、加强生活面源整治。</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vertAlign w:val="baseline"/>
          <w:lang w:val="en-US" w:eastAsia="zh-CN" w:bidi="ar-SA"/>
        </w:rPr>
      </w:pPr>
      <w:r>
        <w:rPr>
          <w:rFonts w:hint="eastAsia" w:ascii="Times New Roman" w:hAnsi="Times New Roman" w:eastAsia="宋体" w:cs="Times New Roman"/>
          <w:color w:val="auto"/>
          <w:kern w:val="2"/>
          <w:sz w:val="24"/>
          <w:szCs w:val="20"/>
          <w:lang w:val="en-US" w:eastAsia="zh-CN" w:bidi="ar-SA"/>
        </w:rPr>
        <w:t>根据《湖南省污染防治攻坚战三年行动计划(2018-2020年)》，岳阳市2020年O</w:t>
      </w:r>
      <w:r>
        <w:rPr>
          <w:rFonts w:hint="eastAsia" w:ascii="Times New Roman" w:hAnsi="Times New Roman" w:eastAsia="宋体" w:cs="Times New Roman"/>
          <w:color w:val="auto"/>
          <w:kern w:val="2"/>
          <w:sz w:val="24"/>
          <w:szCs w:val="20"/>
          <w:vertAlign w:val="subscript"/>
          <w:lang w:val="en-US" w:eastAsia="zh-CN" w:bidi="ar-SA"/>
        </w:rPr>
        <w:t>3</w:t>
      </w:r>
      <w:r>
        <w:rPr>
          <w:rFonts w:hint="eastAsia" w:ascii="Times New Roman" w:hAnsi="Times New Roman" w:eastAsia="宋体" w:cs="Times New Roman"/>
          <w:color w:val="auto"/>
          <w:kern w:val="2"/>
          <w:sz w:val="24"/>
          <w:szCs w:val="20"/>
          <w:lang w:val="en-US" w:eastAsia="zh-CN" w:bidi="ar-SA"/>
        </w:rPr>
        <w:t>、PM</w:t>
      </w:r>
      <w:r>
        <w:rPr>
          <w:rFonts w:hint="eastAsia" w:ascii="Times New Roman" w:hAnsi="Times New Roman" w:eastAsia="宋体" w:cs="Times New Roman"/>
          <w:color w:val="auto"/>
          <w:kern w:val="2"/>
          <w:sz w:val="24"/>
          <w:szCs w:val="20"/>
          <w:vertAlign w:val="subscript"/>
          <w:lang w:val="en-US" w:eastAsia="zh-CN" w:bidi="ar-SA"/>
        </w:rPr>
        <w:t>2.5</w:t>
      </w:r>
      <w:r>
        <w:rPr>
          <w:rFonts w:hint="eastAsia" w:ascii="Times New Roman" w:hAnsi="Times New Roman" w:eastAsia="宋体" w:cs="Times New Roman"/>
          <w:color w:val="auto"/>
          <w:kern w:val="2"/>
          <w:sz w:val="24"/>
          <w:szCs w:val="20"/>
          <w:lang w:val="en-US" w:eastAsia="zh-CN" w:bidi="ar-SA"/>
        </w:rPr>
        <w:t>的浓度改善目标分别为152μg/m</w:t>
      </w:r>
      <w:r>
        <w:rPr>
          <w:rFonts w:hint="eastAsia" w:ascii="Times New Roman" w:hAnsi="Times New Roman" w:eastAsia="宋体" w:cs="Times New Roman"/>
          <w:color w:val="auto"/>
          <w:kern w:val="2"/>
          <w:sz w:val="24"/>
          <w:szCs w:val="20"/>
          <w:vertAlign w:val="superscript"/>
          <w:lang w:val="en-US" w:eastAsia="zh-CN" w:bidi="ar-SA"/>
        </w:rPr>
        <w:t>3</w:t>
      </w:r>
      <w:r>
        <w:rPr>
          <w:rFonts w:hint="eastAsia" w:ascii="Times New Roman" w:hAnsi="Times New Roman" w:eastAsia="宋体" w:cs="Times New Roman"/>
          <w:color w:val="auto"/>
          <w:kern w:val="2"/>
          <w:sz w:val="24"/>
          <w:szCs w:val="20"/>
          <w:lang w:val="en-US" w:eastAsia="zh-CN" w:bidi="ar-SA"/>
        </w:rPr>
        <w:t>和42μg/m</w:t>
      </w:r>
      <w:r>
        <w:rPr>
          <w:rFonts w:hint="eastAsia" w:ascii="Times New Roman" w:hAnsi="Times New Roman" w:eastAsia="宋体" w:cs="Times New Roman"/>
          <w:color w:val="auto"/>
          <w:kern w:val="2"/>
          <w:sz w:val="24"/>
          <w:szCs w:val="20"/>
          <w:vertAlign w:val="superscript"/>
          <w:lang w:val="en-US" w:eastAsia="zh-CN" w:bidi="ar-SA"/>
        </w:rPr>
        <w:t>3</w:t>
      </w:r>
      <w:r>
        <w:rPr>
          <w:rFonts w:hint="eastAsia" w:ascii="Times New Roman" w:hAnsi="Times New Roman" w:cs="Times New Roman"/>
          <w:color w:val="auto"/>
          <w:kern w:val="2"/>
          <w:sz w:val="24"/>
          <w:szCs w:val="20"/>
          <w:vertAlign w:val="baseline"/>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b/>
          <w:bCs/>
          <w:color w:val="auto"/>
          <w:kern w:val="2"/>
          <w:sz w:val="24"/>
          <w:szCs w:val="20"/>
          <w:lang w:val="en-US" w:eastAsia="zh-CN" w:bidi="ar-SA"/>
        </w:rPr>
      </w:pPr>
      <w:r>
        <w:rPr>
          <w:rFonts w:hint="eastAsia" w:ascii="Times New Roman" w:hAnsi="Times New Roman" w:eastAsia="宋体" w:cs="Times New Roman"/>
          <w:b/>
          <w:bCs/>
          <w:color w:val="auto"/>
          <w:kern w:val="2"/>
          <w:sz w:val="24"/>
          <w:szCs w:val="20"/>
          <w:lang w:val="en-US" w:eastAsia="zh-CN" w:bidi="ar-SA"/>
        </w:rPr>
        <w:t>特征污染物</w:t>
      </w:r>
    </w:p>
    <w:p>
      <w:pPr>
        <w:widowControl w:val="0"/>
        <w:bidi w:val="0"/>
        <w:spacing w:before="20" w:line="360" w:lineRule="auto"/>
        <w:ind w:firstLine="480" w:firstLineChars="200"/>
        <w:jc w:val="both"/>
        <w:rPr>
          <w:rFonts w:hint="eastAsia" w:ascii="Times New Roman" w:hAnsi="Times New Roman"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为了解项目所在</w:t>
      </w:r>
      <w:r>
        <w:rPr>
          <w:rFonts w:hint="eastAsia" w:ascii="Times New Roman" w:hAnsi="Times New Roman" w:cs="Times New Roman"/>
          <w:color w:val="auto"/>
          <w:kern w:val="2"/>
          <w:sz w:val="24"/>
          <w:szCs w:val="20"/>
          <w:lang w:val="en-US" w:eastAsia="zh-CN" w:bidi="ar-SA"/>
        </w:rPr>
        <w:t>大气</w:t>
      </w:r>
      <w:r>
        <w:rPr>
          <w:rFonts w:hint="eastAsia" w:ascii="Times New Roman" w:hAnsi="Times New Roman" w:eastAsia="宋体" w:cs="Times New Roman"/>
          <w:color w:val="auto"/>
          <w:kern w:val="2"/>
          <w:sz w:val="24"/>
          <w:szCs w:val="20"/>
          <w:lang w:val="en-US" w:eastAsia="zh-CN" w:bidi="ar-SA"/>
        </w:rPr>
        <w:t>环境现状，</w:t>
      </w:r>
      <w:r>
        <w:rPr>
          <w:rFonts w:hint="eastAsia" w:ascii="Times New Roman" w:hAnsi="Times New Roman" w:cs="Times New Roman"/>
          <w:color w:val="auto"/>
          <w:kern w:val="2"/>
          <w:sz w:val="24"/>
          <w:szCs w:val="20"/>
          <w:lang w:val="en-US" w:eastAsia="zh-CN" w:bidi="ar-SA"/>
        </w:rPr>
        <w:t>湖南衡润科技有限公司于2020年11月17日至2020年11月23日对项目所在区域进行监测。</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（1）监测因子</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根据项目周边情况及项目特点，本次环境空气质量现状监测的监测项目确定为</w:t>
      </w:r>
      <w:r>
        <w:rPr>
          <w:rFonts w:hint="eastAsia" w:ascii="Times New Roman" w:hAnsi="Times New Roman" w:eastAsia="宋体" w:cs="Times New Roman"/>
          <w:color w:val="auto"/>
          <w:kern w:val="2"/>
          <w:sz w:val="24"/>
          <w:szCs w:val="20"/>
          <w:lang w:val="de-DE" w:eastAsia="zh-CN" w:bidi="ar-SA"/>
        </w:rPr>
        <w:t>甲醇、</w:t>
      </w:r>
      <w:r>
        <w:rPr>
          <w:rFonts w:hint="eastAsia" w:ascii="Times New Roman" w:hAnsi="Times New Roman" w:eastAsia="宋体" w:cs="Times New Roman"/>
          <w:color w:val="auto"/>
          <w:kern w:val="2"/>
          <w:sz w:val="24"/>
          <w:szCs w:val="20"/>
          <w:lang w:val="en-US" w:eastAsia="zh-CN" w:bidi="ar-SA"/>
        </w:rPr>
        <w:t>VOCs，同时观测风向、风速、气压、气温、总云量、低云量等常规气象要素。</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（2）监测布点</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根据《环境影响评价技术导则—大气环境》（HJ2.2-2008）的要求以及评价工作等级，并根据周围敏感点分布情况及项目所在地主导风向（SE），在区域布设</w:t>
      </w:r>
      <w:r>
        <w:rPr>
          <w:rFonts w:hint="eastAsia" w:ascii="Times New Roman" w:hAnsi="Times New Roman" w:cs="Times New Roman"/>
          <w:color w:val="auto"/>
          <w:kern w:val="2"/>
          <w:sz w:val="24"/>
          <w:szCs w:val="20"/>
          <w:lang w:val="en-US" w:eastAsia="zh-CN" w:bidi="ar-SA"/>
        </w:rPr>
        <w:t>2</w:t>
      </w:r>
      <w:r>
        <w:rPr>
          <w:rFonts w:hint="eastAsia" w:ascii="Times New Roman" w:hAnsi="Times New Roman" w:eastAsia="宋体" w:cs="Times New Roman"/>
          <w:color w:val="auto"/>
          <w:kern w:val="2"/>
          <w:sz w:val="24"/>
          <w:szCs w:val="20"/>
          <w:lang w:val="en-US" w:eastAsia="zh-CN" w:bidi="ar-SA"/>
        </w:rPr>
        <w:t>个大气采样点。</w:t>
      </w:r>
    </w:p>
    <w:p>
      <w:pPr>
        <w:widowControl w:val="0"/>
        <w:bidi w:val="0"/>
        <w:spacing w:line="360" w:lineRule="auto"/>
        <w:jc w:val="center"/>
        <w:rPr>
          <w:rFonts w:hint="eastAsia" w:ascii="Times New Roman" w:hAnsi="Times New Roman" w:eastAsia="宋体" w:cs="Times New Roman"/>
          <w:b/>
          <w:color w:val="auto"/>
          <w:kern w:val="2"/>
          <w:sz w:val="24"/>
          <w:szCs w:val="22"/>
          <w:lang w:val="en-US" w:eastAsia="zh-CN" w:bidi="ar-SA"/>
        </w:rPr>
      </w:pPr>
      <w:r>
        <w:rPr>
          <w:rFonts w:hint="eastAsia" w:ascii="Times New Roman" w:hAnsi="Times New Roman" w:eastAsia="宋体" w:cs="Times New Roman"/>
          <w:b/>
          <w:color w:val="auto"/>
          <w:kern w:val="2"/>
          <w:sz w:val="24"/>
          <w:szCs w:val="22"/>
          <w:lang w:val="en-US" w:eastAsia="zh-CN" w:bidi="ar-SA"/>
        </w:rPr>
        <w:t>表6.5-2  大气监测点因子位置</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678"/>
        <w:gridCol w:w="1570"/>
        <w:gridCol w:w="1682"/>
        <w:gridCol w:w="32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6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编号</w:t>
            </w:r>
          </w:p>
        </w:tc>
        <w:tc>
          <w:tcPr>
            <w:tcW w:w="93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名称</w:t>
            </w:r>
          </w:p>
        </w:tc>
        <w:tc>
          <w:tcPr>
            <w:tcW w:w="87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方位</w:t>
            </w:r>
          </w:p>
        </w:tc>
        <w:tc>
          <w:tcPr>
            <w:tcW w:w="93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距离</w:t>
            </w:r>
          </w:p>
        </w:tc>
        <w:tc>
          <w:tcPr>
            <w:tcW w:w="179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布点目的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46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Q</w:t>
            </w:r>
            <w:r>
              <w:rPr>
                <w:rFonts w:hint="eastAsia" w:ascii="Times New Roman" w:hAnsi="Times New Roman" w:eastAsia="宋体" w:cs="Times New Roman"/>
                <w:color w:val="auto"/>
                <w:kern w:val="2"/>
                <w:sz w:val="21"/>
                <w:szCs w:val="20"/>
                <w:lang w:val="en-US" w:eastAsia="zh-CN" w:bidi="ar-SA"/>
              </w:rPr>
              <w:t>1</w:t>
            </w:r>
          </w:p>
        </w:tc>
        <w:tc>
          <w:tcPr>
            <w:tcW w:w="93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凌峰化工公司内</w:t>
            </w:r>
          </w:p>
        </w:tc>
        <w:tc>
          <w:tcPr>
            <w:tcW w:w="87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w:t>
            </w:r>
          </w:p>
        </w:tc>
        <w:tc>
          <w:tcPr>
            <w:tcW w:w="93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0m</w:t>
            </w:r>
          </w:p>
        </w:tc>
        <w:tc>
          <w:tcPr>
            <w:tcW w:w="179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46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Q</w:t>
            </w:r>
            <w:r>
              <w:rPr>
                <w:rFonts w:hint="eastAsia" w:ascii="Times New Roman" w:hAnsi="Times New Roman" w:eastAsia="宋体" w:cs="Times New Roman"/>
                <w:color w:val="auto"/>
                <w:kern w:val="2"/>
                <w:sz w:val="21"/>
                <w:szCs w:val="20"/>
                <w:lang w:val="en-US" w:eastAsia="zh-CN" w:bidi="ar-SA"/>
              </w:rPr>
              <w:t>2</w:t>
            </w:r>
          </w:p>
        </w:tc>
        <w:tc>
          <w:tcPr>
            <w:tcW w:w="93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田家老屋</w:t>
            </w:r>
          </w:p>
        </w:tc>
        <w:tc>
          <w:tcPr>
            <w:tcW w:w="87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SW</w:t>
            </w:r>
          </w:p>
        </w:tc>
        <w:tc>
          <w:tcPr>
            <w:tcW w:w="93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1200m</w:t>
            </w:r>
          </w:p>
        </w:tc>
        <w:tc>
          <w:tcPr>
            <w:tcW w:w="179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主导风向下风向</w:t>
            </w:r>
          </w:p>
        </w:tc>
      </w:tr>
    </w:tbl>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（3）监测时间、频次</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20</w:t>
      </w:r>
      <w:r>
        <w:rPr>
          <w:rFonts w:hint="eastAsia" w:ascii="Times New Roman" w:hAnsi="Times New Roman" w:cs="Times New Roman"/>
          <w:color w:val="auto"/>
          <w:kern w:val="2"/>
          <w:sz w:val="24"/>
          <w:szCs w:val="20"/>
          <w:lang w:val="en-US" w:eastAsia="zh-CN" w:bidi="ar-SA"/>
        </w:rPr>
        <w:t>20</w:t>
      </w:r>
      <w:r>
        <w:rPr>
          <w:rFonts w:hint="eastAsia" w:ascii="Times New Roman" w:hAnsi="Times New Roman" w:eastAsia="宋体" w:cs="Times New Roman"/>
          <w:color w:val="auto"/>
          <w:kern w:val="2"/>
          <w:sz w:val="24"/>
          <w:szCs w:val="20"/>
          <w:lang w:val="en-US" w:eastAsia="zh-CN" w:bidi="ar-SA"/>
        </w:rPr>
        <w:t>年</w:t>
      </w:r>
      <w:r>
        <w:rPr>
          <w:rFonts w:hint="eastAsia" w:ascii="Times New Roman" w:hAnsi="Times New Roman" w:cs="Times New Roman"/>
          <w:color w:val="auto"/>
          <w:kern w:val="2"/>
          <w:sz w:val="24"/>
          <w:szCs w:val="20"/>
          <w:lang w:val="en-US" w:eastAsia="zh-CN" w:bidi="ar-SA"/>
        </w:rPr>
        <w:t>11</w:t>
      </w:r>
      <w:r>
        <w:rPr>
          <w:rFonts w:hint="eastAsia" w:ascii="Times New Roman" w:hAnsi="Times New Roman" w:eastAsia="宋体" w:cs="Times New Roman"/>
          <w:color w:val="auto"/>
          <w:kern w:val="2"/>
          <w:sz w:val="24"/>
          <w:szCs w:val="20"/>
          <w:lang w:val="en-US" w:eastAsia="zh-CN" w:bidi="ar-SA"/>
        </w:rPr>
        <w:t>月</w:t>
      </w:r>
      <w:r>
        <w:rPr>
          <w:rFonts w:hint="eastAsia" w:ascii="Times New Roman" w:hAnsi="Times New Roman" w:cs="Times New Roman"/>
          <w:color w:val="auto"/>
          <w:kern w:val="2"/>
          <w:sz w:val="24"/>
          <w:szCs w:val="20"/>
          <w:lang w:val="en-US" w:eastAsia="zh-CN" w:bidi="ar-SA"/>
        </w:rPr>
        <w:t>17</w:t>
      </w:r>
      <w:r>
        <w:rPr>
          <w:rFonts w:hint="eastAsia" w:ascii="Times New Roman" w:hAnsi="Times New Roman" w:eastAsia="宋体" w:cs="Times New Roman"/>
          <w:color w:val="auto"/>
          <w:kern w:val="2"/>
          <w:sz w:val="24"/>
          <w:szCs w:val="20"/>
          <w:lang w:val="en-US" w:eastAsia="zh-CN" w:bidi="ar-SA"/>
        </w:rPr>
        <w:t>日至</w:t>
      </w:r>
      <w:r>
        <w:rPr>
          <w:rFonts w:hint="eastAsia" w:ascii="Times New Roman" w:hAnsi="Times New Roman" w:cs="Times New Roman"/>
          <w:color w:val="auto"/>
          <w:kern w:val="2"/>
          <w:sz w:val="24"/>
          <w:szCs w:val="20"/>
          <w:lang w:val="en-US" w:eastAsia="zh-CN" w:bidi="ar-SA"/>
        </w:rPr>
        <w:t>23</w:t>
      </w:r>
      <w:r>
        <w:rPr>
          <w:rFonts w:hint="eastAsia" w:ascii="Times New Roman" w:hAnsi="Times New Roman" w:eastAsia="宋体" w:cs="Times New Roman"/>
          <w:color w:val="auto"/>
          <w:kern w:val="2"/>
          <w:sz w:val="24"/>
          <w:szCs w:val="20"/>
          <w:lang w:val="en-US" w:eastAsia="zh-CN" w:bidi="ar-SA"/>
        </w:rPr>
        <w:t>日</w:t>
      </w:r>
      <w:r>
        <w:rPr>
          <w:rFonts w:hint="eastAsia" w:ascii="Times New Roman" w:hAnsi="Times New Roman" w:eastAsia="宋体" w:cs="Times New Roman"/>
          <w:color w:val="auto"/>
          <w:kern w:val="2"/>
          <w:sz w:val="24"/>
          <w:szCs w:val="20"/>
          <w:lang w:val="de-DE" w:eastAsia="zh-CN" w:bidi="ar-SA"/>
        </w:rPr>
        <w:t>连续监测</w:t>
      </w:r>
      <w:r>
        <w:rPr>
          <w:rFonts w:hint="eastAsia" w:ascii="Times New Roman" w:hAnsi="Times New Roman" w:cs="Times New Roman"/>
          <w:color w:val="auto"/>
          <w:kern w:val="2"/>
          <w:sz w:val="24"/>
          <w:szCs w:val="20"/>
          <w:lang w:val="en-US" w:eastAsia="zh-CN" w:bidi="ar-SA"/>
        </w:rPr>
        <w:t>7</w:t>
      </w:r>
      <w:r>
        <w:rPr>
          <w:rFonts w:hint="eastAsia" w:ascii="Times New Roman" w:hAnsi="Times New Roman" w:eastAsia="宋体" w:cs="Times New Roman"/>
          <w:color w:val="auto"/>
          <w:kern w:val="2"/>
          <w:sz w:val="24"/>
          <w:szCs w:val="20"/>
          <w:lang w:val="en-US" w:eastAsia="zh-CN" w:bidi="ar-SA"/>
        </w:rPr>
        <w:t>天，</w:t>
      </w:r>
      <w:r>
        <w:rPr>
          <w:rFonts w:hint="eastAsia" w:ascii="Times New Roman" w:hAnsi="Times New Roman" w:eastAsia="宋体" w:cs="Times New Roman"/>
          <w:color w:val="auto"/>
          <w:kern w:val="2"/>
          <w:sz w:val="24"/>
          <w:szCs w:val="20"/>
          <w:lang w:val="de-DE" w:eastAsia="zh-CN" w:bidi="ar-SA"/>
        </w:rPr>
        <w:t>甲醇</w:t>
      </w:r>
      <w:r>
        <w:rPr>
          <w:rFonts w:ascii="Times New Roman" w:hAnsi="Times New Roman" w:eastAsia="宋体" w:cs="Times New Roman"/>
          <w:color w:val="auto"/>
          <w:kern w:val="2"/>
          <w:sz w:val="24"/>
          <w:szCs w:val="20"/>
          <w:lang w:val="en-US" w:eastAsia="zh-CN" w:bidi="ar-SA"/>
        </w:rPr>
        <w:t>监测</w:t>
      </w:r>
      <w:r>
        <w:rPr>
          <w:rFonts w:hint="eastAsia" w:ascii="Times New Roman" w:hAnsi="Times New Roman" w:cs="Times New Roman"/>
          <w:color w:val="auto"/>
          <w:kern w:val="2"/>
          <w:sz w:val="24"/>
          <w:szCs w:val="20"/>
          <w:lang w:val="en-US" w:eastAsia="zh-CN" w:bidi="ar-SA"/>
        </w:rPr>
        <w:t>8</w:t>
      </w:r>
      <w:r>
        <w:rPr>
          <w:rFonts w:ascii="Times New Roman" w:hAnsi="Times New Roman" w:eastAsia="宋体" w:cs="Times New Roman"/>
          <w:color w:val="auto"/>
          <w:kern w:val="2"/>
          <w:sz w:val="24"/>
          <w:szCs w:val="20"/>
          <w:lang w:val="en-US" w:eastAsia="zh-CN" w:bidi="ar-SA"/>
        </w:rPr>
        <w:t>小时值</w:t>
      </w:r>
      <w:r>
        <w:rPr>
          <w:rFonts w:hint="eastAsia" w:ascii="Times New Roman" w:hAnsi="Times New Roman" w:cs="Times New Roman"/>
          <w:color w:val="auto"/>
          <w:kern w:val="2"/>
          <w:sz w:val="24"/>
          <w:szCs w:val="20"/>
          <w:lang w:val="en-US" w:eastAsia="zh-CN" w:bidi="ar-SA"/>
        </w:rPr>
        <w:t>和1小时值</w:t>
      </w:r>
      <w:r>
        <w:rPr>
          <w:rFonts w:hint="eastAsia" w:ascii="Times New Roman" w:hAnsi="Times New Roman" w:eastAsia="宋体" w:cs="Times New Roman"/>
          <w:color w:val="auto"/>
          <w:kern w:val="2"/>
          <w:sz w:val="24"/>
          <w:szCs w:val="20"/>
          <w:lang w:val="de-DE" w:eastAsia="zh-CN" w:bidi="ar-SA"/>
        </w:rPr>
        <w:t>、</w:t>
      </w:r>
      <w:r>
        <w:rPr>
          <w:rFonts w:hint="eastAsia" w:ascii="Times New Roman" w:hAnsi="Times New Roman" w:eastAsia="宋体" w:cs="Times New Roman"/>
          <w:color w:val="auto"/>
          <w:kern w:val="2"/>
          <w:sz w:val="24"/>
          <w:szCs w:val="20"/>
          <w:lang w:val="en-US" w:eastAsia="zh-CN" w:bidi="ar-SA"/>
        </w:rPr>
        <w:t>VOCs</w:t>
      </w:r>
      <w:r>
        <w:rPr>
          <w:rFonts w:ascii="Times New Roman" w:hAnsi="Times New Roman" w:eastAsia="宋体" w:cs="Times New Roman"/>
          <w:color w:val="auto"/>
          <w:kern w:val="2"/>
          <w:sz w:val="24"/>
          <w:szCs w:val="20"/>
          <w:lang w:val="en-US" w:eastAsia="zh-CN" w:bidi="ar-SA"/>
        </w:rPr>
        <w:t>监测</w:t>
      </w:r>
      <w:r>
        <w:rPr>
          <w:rFonts w:hint="eastAsia" w:ascii="Times New Roman" w:hAnsi="Times New Roman" w:cs="Times New Roman"/>
          <w:color w:val="auto"/>
          <w:kern w:val="2"/>
          <w:sz w:val="24"/>
          <w:szCs w:val="20"/>
          <w:lang w:val="en-US" w:eastAsia="zh-CN" w:bidi="ar-SA"/>
        </w:rPr>
        <w:t>8</w:t>
      </w:r>
      <w:r>
        <w:rPr>
          <w:rFonts w:ascii="Times New Roman" w:hAnsi="Times New Roman" w:eastAsia="宋体" w:cs="Times New Roman"/>
          <w:color w:val="auto"/>
          <w:kern w:val="2"/>
          <w:sz w:val="24"/>
          <w:szCs w:val="20"/>
          <w:lang w:val="en-US" w:eastAsia="zh-CN" w:bidi="ar-SA"/>
        </w:rPr>
        <w:t>小时值</w:t>
      </w:r>
      <w:r>
        <w:rPr>
          <w:rFonts w:hint="eastAsia" w:ascii="Times New Roman" w:hAnsi="Times New Roman" w:eastAsia="宋体" w:cs="Times New Roman"/>
          <w:color w:val="auto"/>
          <w:kern w:val="2"/>
          <w:sz w:val="24"/>
          <w:szCs w:val="20"/>
          <w:lang w:val="en-US" w:eastAsia="zh-CN" w:bidi="ar-SA"/>
        </w:rPr>
        <w:t>，小时值的采样时间不少于</w:t>
      </w:r>
      <w:r>
        <w:rPr>
          <w:rFonts w:ascii="Times New Roman" w:hAnsi="Times New Roman" w:eastAsia="宋体" w:cs="Times New Roman"/>
          <w:color w:val="auto"/>
          <w:kern w:val="2"/>
          <w:sz w:val="24"/>
          <w:szCs w:val="20"/>
          <w:lang w:val="en-US" w:eastAsia="zh-CN" w:bidi="ar-SA"/>
        </w:rPr>
        <w:t>60</w:t>
      </w:r>
      <w:r>
        <w:rPr>
          <w:rFonts w:hint="eastAsia" w:ascii="Times New Roman" w:hAnsi="Times New Roman" w:eastAsia="宋体" w:cs="Times New Roman"/>
          <w:color w:val="auto"/>
          <w:kern w:val="2"/>
          <w:sz w:val="24"/>
          <w:szCs w:val="20"/>
          <w:lang w:val="en-US" w:eastAsia="zh-CN" w:bidi="ar-SA"/>
        </w:rPr>
        <w:t>分钟，小时值每天采样</w:t>
      </w:r>
      <w:r>
        <w:rPr>
          <w:rFonts w:ascii="Times New Roman" w:hAnsi="Times New Roman" w:eastAsia="宋体" w:cs="Times New Roman"/>
          <w:color w:val="auto"/>
          <w:kern w:val="2"/>
          <w:sz w:val="24"/>
          <w:szCs w:val="20"/>
          <w:lang w:val="en-US" w:eastAsia="zh-CN" w:bidi="ar-SA"/>
        </w:rPr>
        <w:t>4</w:t>
      </w:r>
      <w:r>
        <w:rPr>
          <w:rFonts w:hint="eastAsia" w:ascii="Times New Roman" w:hAnsi="Times New Roman" w:eastAsia="宋体" w:cs="Times New Roman"/>
          <w:color w:val="auto"/>
          <w:kern w:val="2"/>
          <w:sz w:val="24"/>
          <w:szCs w:val="20"/>
          <w:lang w:val="en-US" w:eastAsia="zh-CN" w:bidi="ar-SA"/>
        </w:rPr>
        <w:t>次，开机时间为</w:t>
      </w:r>
      <w:r>
        <w:rPr>
          <w:rFonts w:ascii="Times New Roman" w:hAnsi="Times New Roman" w:eastAsia="宋体" w:cs="Times New Roman"/>
          <w:color w:val="auto"/>
          <w:kern w:val="2"/>
          <w:sz w:val="24"/>
          <w:szCs w:val="20"/>
          <w:lang w:val="en-US" w:eastAsia="zh-CN" w:bidi="ar-SA"/>
        </w:rPr>
        <w:t>2</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00</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8</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00</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14</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00</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20</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00</w:t>
      </w:r>
      <w:r>
        <w:rPr>
          <w:rFonts w:hint="eastAsia"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（4）监测分析方法</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监测及分析方法均按照国家环保局《环境监测技术规范》、《环境监测分析方法》</w:t>
      </w:r>
      <w:r>
        <w:rPr>
          <w:rFonts w:hint="eastAsia" w:ascii="Times New Roman" w:hAnsi="Times New Roman" w:eastAsia="宋体" w:cs="Times New Roman"/>
          <w:color w:val="auto"/>
          <w:kern w:val="2"/>
          <w:sz w:val="24"/>
          <w:szCs w:val="20"/>
          <w:lang w:val="en-US" w:eastAsia="zh-CN" w:bidi="ar-SA"/>
        </w:rPr>
        <w:t>、《环境影响评价技术导则大气环境》（HJ2.2-2008）</w:t>
      </w:r>
      <w:r>
        <w:rPr>
          <w:rFonts w:ascii="Times New Roman" w:hAnsi="Times New Roman" w:eastAsia="宋体" w:cs="Times New Roman"/>
          <w:color w:val="auto"/>
          <w:kern w:val="2"/>
          <w:sz w:val="24"/>
          <w:szCs w:val="20"/>
          <w:lang w:val="en-US" w:eastAsia="zh-CN" w:bidi="ar-SA"/>
        </w:rPr>
        <w:t>和《环境空气质量标准》（GB3095-</w:t>
      </w:r>
      <w:r>
        <w:rPr>
          <w:rFonts w:hint="eastAsia" w:ascii="Times New Roman" w:hAnsi="Times New Roman" w:eastAsia="宋体" w:cs="Times New Roman"/>
          <w:color w:val="auto"/>
          <w:kern w:val="2"/>
          <w:sz w:val="24"/>
          <w:szCs w:val="20"/>
          <w:lang w:val="en-US" w:eastAsia="zh-CN" w:bidi="ar-SA"/>
        </w:rPr>
        <w:t>2012</w:t>
      </w:r>
      <w:r>
        <w:rPr>
          <w:rFonts w:ascii="Times New Roman" w:hAnsi="Times New Roman" w:eastAsia="宋体" w:cs="Times New Roman"/>
          <w:color w:val="auto"/>
          <w:kern w:val="2"/>
          <w:sz w:val="24"/>
          <w:szCs w:val="20"/>
          <w:lang w:val="en-US" w:eastAsia="zh-CN" w:bidi="ar-SA"/>
        </w:rPr>
        <w:t>）要求的方法进行</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具体分析方法如表</w:t>
      </w:r>
      <w:r>
        <w:rPr>
          <w:rFonts w:hint="eastAsia" w:ascii="Times New Roman" w:hAnsi="Times New Roman" w:eastAsia="宋体" w:cs="Times New Roman"/>
          <w:color w:val="auto"/>
          <w:kern w:val="2"/>
          <w:sz w:val="24"/>
          <w:szCs w:val="20"/>
          <w:lang w:val="en-US" w:eastAsia="zh-CN" w:bidi="ar-SA"/>
        </w:rPr>
        <w:t>6</w:t>
      </w:r>
      <w:r>
        <w:rPr>
          <w:rFonts w:ascii="Times New Roman" w:hAnsi="Times New Roman" w:eastAsia="宋体" w:cs="Times New Roman"/>
          <w:color w:val="auto"/>
          <w:kern w:val="2"/>
          <w:sz w:val="24"/>
          <w:szCs w:val="20"/>
          <w:lang w:val="en-US" w:eastAsia="zh-CN" w:bidi="ar-SA"/>
        </w:rPr>
        <w:t>.3-</w:t>
      </w:r>
      <w:r>
        <w:rPr>
          <w:rFonts w:hint="eastAsia" w:ascii="Times New Roman" w:hAnsi="Times New Roman" w:eastAsia="宋体" w:cs="Times New Roman"/>
          <w:color w:val="auto"/>
          <w:kern w:val="2"/>
          <w:sz w:val="24"/>
          <w:szCs w:val="20"/>
          <w:lang w:val="en-US" w:eastAsia="zh-CN" w:bidi="ar-SA"/>
        </w:rPr>
        <w:t>3</w:t>
      </w:r>
      <w:r>
        <w:rPr>
          <w:rFonts w:ascii="Times New Roman" w:hAnsi="Times New Roman" w:eastAsia="宋体" w:cs="Times New Roman"/>
          <w:color w:val="auto"/>
          <w:kern w:val="2"/>
          <w:sz w:val="24"/>
          <w:szCs w:val="20"/>
          <w:lang w:val="en-US" w:eastAsia="zh-CN" w:bidi="ar-SA"/>
        </w:rPr>
        <w:t>。</w:t>
      </w:r>
    </w:p>
    <w:p>
      <w:pPr>
        <w:widowControl w:val="0"/>
        <w:bidi w:val="0"/>
        <w:spacing w:line="360" w:lineRule="auto"/>
        <w:jc w:val="center"/>
        <w:rPr>
          <w:rFonts w:hint="eastAsia" w:ascii="Times New Roman" w:hAnsi="Times New Roman" w:eastAsia="宋体" w:cs="Times New Roman"/>
          <w:b/>
          <w:caps w:val="0"/>
          <w:smallCaps w:val="0"/>
          <w:color w:val="auto"/>
          <w:kern w:val="2"/>
          <w:sz w:val="24"/>
          <w:szCs w:val="24"/>
          <w:u w:val="none"/>
          <w:vertAlign w:val="baseline"/>
          <w:lang w:val="en-US" w:eastAsia="zh-CN" w:bidi="ar-SA"/>
        </w:rPr>
      </w:pPr>
      <w:r>
        <w:rPr>
          <w:rFonts w:ascii="Times New Roman" w:hAnsi="Times New Roman" w:eastAsia="宋体" w:cs="Times New Roman"/>
          <w:b/>
          <w:caps w:val="0"/>
          <w:smallCaps w:val="0"/>
          <w:color w:val="auto"/>
          <w:kern w:val="2"/>
          <w:sz w:val="24"/>
          <w:szCs w:val="24"/>
          <w:u w:val="none"/>
          <w:lang w:val="en-US" w:eastAsia="zh-CN" w:bidi="ar-SA"/>
        </w:rPr>
        <w:t>表</w:t>
      </w:r>
      <w:r>
        <w:rPr>
          <w:rFonts w:hint="eastAsia" w:ascii="Times New Roman" w:hAnsi="Times New Roman" w:eastAsia="宋体" w:cs="Times New Roman"/>
          <w:b/>
          <w:caps w:val="0"/>
          <w:smallCaps w:val="0"/>
          <w:color w:val="auto"/>
          <w:kern w:val="2"/>
          <w:sz w:val="24"/>
          <w:szCs w:val="24"/>
          <w:u w:val="none"/>
          <w:lang w:val="en-US" w:eastAsia="zh-CN" w:bidi="ar-SA"/>
        </w:rPr>
        <w:t>6.5</w:t>
      </w:r>
      <w:r>
        <w:rPr>
          <w:rFonts w:ascii="Times New Roman" w:hAnsi="Times New Roman" w:eastAsia="宋体" w:cs="Times New Roman"/>
          <w:b/>
          <w:caps w:val="0"/>
          <w:smallCaps w:val="0"/>
          <w:color w:val="auto"/>
          <w:kern w:val="2"/>
          <w:sz w:val="24"/>
          <w:szCs w:val="24"/>
          <w:u w:val="none"/>
          <w:lang w:val="en-US" w:eastAsia="zh-CN" w:bidi="ar-SA"/>
        </w:rPr>
        <w:t>-</w:t>
      </w:r>
      <w:r>
        <w:rPr>
          <w:rFonts w:hint="eastAsia" w:ascii="Times New Roman" w:hAnsi="Times New Roman" w:eastAsia="宋体" w:cs="Times New Roman"/>
          <w:b/>
          <w:caps w:val="0"/>
          <w:smallCaps w:val="0"/>
          <w:color w:val="auto"/>
          <w:kern w:val="2"/>
          <w:sz w:val="24"/>
          <w:szCs w:val="24"/>
          <w:u w:val="none"/>
          <w:lang w:val="en-US" w:eastAsia="zh-CN" w:bidi="ar-SA"/>
        </w:rPr>
        <w:t>3</w:t>
      </w:r>
      <w:r>
        <w:rPr>
          <w:rFonts w:hint="eastAsia" w:ascii="Times New Roman" w:hAnsi="Times New Roman" w:eastAsia="宋体" w:cs="宋体"/>
          <w:b/>
          <w:bCs/>
          <w:caps w:val="0"/>
          <w:smallCaps w:val="0"/>
          <w:color w:val="auto"/>
          <w:kern w:val="2"/>
          <w:sz w:val="24"/>
          <w:szCs w:val="24"/>
          <w:u w:val="none"/>
          <w:vertAlign w:val="baseline"/>
          <w:lang w:val="en-US" w:eastAsia="zh-CN" w:bidi="ar-SA"/>
        </w:rPr>
        <w:t>环境空气检测分析方法(单位：mg/m</w:t>
      </w:r>
      <w:r>
        <w:rPr>
          <w:rFonts w:hint="eastAsia" w:ascii="Times New Roman" w:hAnsi="Times New Roman" w:eastAsia="宋体" w:cs="宋体"/>
          <w:b/>
          <w:bCs/>
          <w:caps w:val="0"/>
          <w:smallCaps w:val="0"/>
          <w:color w:val="auto"/>
          <w:kern w:val="2"/>
          <w:sz w:val="24"/>
          <w:szCs w:val="24"/>
          <w:u w:val="none"/>
          <w:vertAlign w:val="superscript"/>
          <w:lang w:val="en-US" w:eastAsia="zh-CN" w:bidi="ar-SA"/>
        </w:rPr>
        <w:t>3</w:t>
      </w:r>
      <w:r>
        <w:rPr>
          <w:rFonts w:hint="eastAsia" w:ascii="Times New Roman" w:hAnsi="Times New Roman" w:eastAsia="宋体" w:cs="宋体"/>
          <w:b/>
          <w:bCs/>
          <w:caps w:val="0"/>
          <w:smallCaps w:val="0"/>
          <w:color w:val="auto"/>
          <w:kern w:val="2"/>
          <w:sz w:val="24"/>
          <w:szCs w:val="24"/>
          <w:u w:val="none"/>
          <w:vertAlign w:val="baseline"/>
          <w:lang w:val="en-US" w:eastAsia="zh-CN" w:bidi="ar-SA"/>
        </w:rPr>
        <w:t>，臭气浓度为无量纲)</w:t>
      </w:r>
    </w:p>
    <w:tbl>
      <w:tblPr>
        <w:tblStyle w:val="28"/>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684"/>
        <w:gridCol w:w="5166"/>
        <w:gridCol w:w="1390"/>
      </w:tblGrid>
      <w:tr>
        <w:trPr>
          <w:trHeight w:val="567" w:hRule="atLeast"/>
        </w:trPr>
        <w:tc>
          <w:tcPr>
            <w:tcW w:w="423"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序号</w:t>
            </w:r>
          </w:p>
        </w:tc>
        <w:tc>
          <w:tcPr>
            <w:tcW w:w="93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检测因子</w:t>
            </w:r>
          </w:p>
        </w:tc>
        <w:tc>
          <w:tcPr>
            <w:tcW w:w="28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检验方法</w:t>
            </w:r>
          </w:p>
        </w:tc>
        <w:tc>
          <w:tcPr>
            <w:tcW w:w="77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最低检出限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8" w:hRule="atLeast"/>
        </w:trPr>
        <w:tc>
          <w:tcPr>
            <w:tcW w:w="423"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w:t>
            </w:r>
          </w:p>
        </w:tc>
        <w:tc>
          <w:tcPr>
            <w:tcW w:w="93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挥发性有机物VOCs</w:t>
            </w:r>
          </w:p>
        </w:tc>
        <w:tc>
          <w:tcPr>
            <w:tcW w:w="28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《环境空气 挥发性有机物的测定 吸附管采样-热脱附气相色谱-质谱法》(HJ 644-2013)</w:t>
            </w:r>
          </w:p>
        </w:tc>
        <w:tc>
          <w:tcPr>
            <w:tcW w:w="77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5" w:hRule="atLeast"/>
        </w:trPr>
        <w:tc>
          <w:tcPr>
            <w:tcW w:w="423"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w:t>
            </w:r>
          </w:p>
        </w:tc>
        <w:tc>
          <w:tcPr>
            <w:tcW w:w="93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甲醇</w:t>
            </w:r>
          </w:p>
        </w:tc>
        <w:tc>
          <w:tcPr>
            <w:tcW w:w="28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《甲醇 气相色谱法》空气和废气监测分析方法第四版（国家环境保护总局2003年）</w:t>
            </w:r>
          </w:p>
        </w:tc>
        <w:tc>
          <w:tcPr>
            <w:tcW w:w="77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w:t>
            </w:r>
            <w:r>
              <w:rPr>
                <w:rFonts w:hint="eastAsia" w:ascii="Times New Roman" w:hAnsi="Times New Roman" w:cs="Times New Roman"/>
                <w:color w:val="auto"/>
                <w:kern w:val="2"/>
                <w:sz w:val="21"/>
                <w:szCs w:val="20"/>
                <w:lang w:val="en-US" w:eastAsia="zh-CN" w:bidi="ar-SA"/>
              </w:rPr>
              <w:t>1</w:t>
            </w:r>
          </w:p>
        </w:tc>
      </w:tr>
    </w:tbl>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5</w:t>
      </w: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监测结果</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区域环境空气质量现状监测结果统计如下表</w:t>
      </w:r>
      <w:r>
        <w:rPr>
          <w:rFonts w:hint="eastAsia" w:ascii="Times New Roman" w:hAnsi="Times New Roman" w:eastAsia="宋体" w:cs="Times New Roman"/>
          <w:color w:val="auto"/>
          <w:kern w:val="2"/>
          <w:sz w:val="24"/>
          <w:szCs w:val="20"/>
          <w:lang w:val="en-US" w:eastAsia="zh-CN" w:bidi="ar-SA"/>
        </w:rPr>
        <w:t>6.</w:t>
      </w:r>
      <w:r>
        <w:rPr>
          <w:rFonts w:hint="eastAsia" w:ascii="Times New Roman" w:hAnsi="Times New Roman" w:cs="Times New Roman"/>
          <w:color w:val="auto"/>
          <w:kern w:val="2"/>
          <w:sz w:val="24"/>
          <w:szCs w:val="20"/>
          <w:lang w:val="en-US" w:eastAsia="zh-CN" w:bidi="ar-SA"/>
        </w:rPr>
        <w:t>5</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4</w:t>
      </w:r>
      <w:r>
        <w:rPr>
          <w:rFonts w:ascii="Times New Roman" w:hAnsi="Times New Roman" w:eastAsia="宋体" w:cs="Times New Roman"/>
          <w:color w:val="auto"/>
          <w:kern w:val="2"/>
          <w:sz w:val="24"/>
          <w:szCs w:val="20"/>
          <w:lang w:val="en-US" w:eastAsia="zh-CN" w:bidi="ar-SA"/>
        </w:rPr>
        <w:t>：</w:t>
      </w:r>
    </w:p>
    <w:p>
      <w:pPr>
        <w:widowControl w:val="0"/>
        <w:bidi w:val="0"/>
        <w:spacing w:line="360" w:lineRule="auto"/>
        <w:jc w:val="center"/>
        <w:rPr>
          <w:rFonts w:ascii="Times New Roman" w:hAnsi="Times New Roman" w:eastAsia="宋体" w:cs="Times New Roman"/>
          <w:b/>
          <w:caps w:val="0"/>
          <w:smallCaps w:val="0"/>
          <w:color w:val="auto"/>
          <w:kern w:val="2"/>
          <w:sz w:val="24"/>
          <w:szCs w:val="24"/>
          <w:u w:val="none"/>
          <w:lang w:val="en-US" w:eastAsia="zh-CN" w:bidi="ar-SA"/>
        </w:rPr>
      </w:pPr>
      <w:r>
        <w:rPr>
          <w:rFonts w:hint="eastAsia" w:ascii="Times New Roman" w:hAnsi="Times New Roman" w:eastAsia="宋体" w:cs="Times New Roman"/>
          <w:b/>
          <w:bCs/>
          <w:caps w:val="0"/>
          <w:smallCaps w:val="0"/>
          <w:color w:val="auto"/>
          <w:kern w:val="2"/>
          <w:sz w:val="24"/>
          <w:szCs w:val="24"/>
          <w:u w:val="none"/>
          <w:lang w:val="en-US" w:eastAsia="zh-CN" w:bidi="ar-SA"/>
        </w:rPr>
        <w:t>表6.5</w:t>
      </w:r>
      <w:r>
        <w:rPr>
          <w:rFonts w:ascii="Times New Roman" w:hAnsi="Times New Roman" w:eastAsia="宋体" w:cs="Times New Roman"/>
          <w:b/>
          <w:bCs/>
          <w:caps w:val="0"/>
          <w:smallCaps w:val="0"/>
          <w:color w:val="auto"/>
          <w:kern w:val="2"/>
          <w:sz w:val="24"/>
          <w:szCs w:val="24"/>
          <w:u w:val="none"/>
          <w:lang w:val="en-US" w:eastAsia="zh-CN" w:bidi="ar-SA"/>
        </w:rPr>
        <w:t>-</w:t>
      </w:r>
      <w:r>
        <w:rPr>
          <w:rFonts w:hint="eastAsia" w:ascii="Times New Roman" w:hAnsi="Times New Roman" w:eastAsia="宋体" w:cs="Times New Roman"/>
          <w:b/>
          <w:bCs/>
          <w:caps w:val="0"/>
          <w:smallCaps w:val="0"/>
          <w:color w:val="auto"/>
          <w:kern w:val="2"/>
          <w:sz w:val="24"/>
          <w:szCs w:val="24"/>
          <w:u w:val="none"/>
          <w:lang w:val="en-US" w:eastAsia="zh-CN" w:bidi="ar-SA"/>
        </w:rPr>
        <w:t>4</w:t>
      </w:r>
      <w:r>
        <w:rPr>
          <w:rFonts w:ascii="Times New Roman" w:hAnsi="Times New Roman" w:eastAsia="宋体" w:cs="Times New Roman"/>
          <w:b/>
          <w:bCs/>
          <w:caps w:val="0"/>
          <w:smallCaps w:val="0"/>
          <w:color w:val="auto"/>
          <w:kern w:val="2"/>
          <w:sz w:val="24"/>
          <w:szCs w:val="24"/>
          <w:u w:val="none"/>
          <w:lang w:val="en-US" w:eastAsia="zh-CN" w:bidi="ar-SA"/>
        </w:rPr>
        <w:t xml:space="preserve">  环境空气质量</w:t>
      </w:r>
      <w:r>
        <w:rPr>
          <w:rFonts w:ascii="Times New Roman" w:hAnsi="Times New Roman" w:eastAsia="宋体" w:cs="Times New Roman"/>
          <w:b/>
          <w:caps w:val="0"/>
          <w:smallCaps w:val="0"/>
          <w:color w:val="auto"/>
          <w:kern w:val="2"/>
          <w:sz w:val="24"/>
          <w:szCs w:val="24"/>
          <w:u w:val="none"/>
          <w:lang w:val="en-US" w:eastAsia="zh-CN" w:bidi="ar-SA"/>
        </w:rPr>
        <w:t>监测</w:t>
      </w:r>
      <w:r>
        <w:rPr>
          <w:rFonts w:ascii="Times New Roman" w:hAnsi="Times New Roman" w:eastAsia="宋体" w:cs="Times New Roman"/>
          <w:b/>
          <w:bCs/>
          <w:caps w:val="0"/>
          <w:smallCaps w:val="0"/>
          <w:color w:val="auto"/>
          <w:kern w:val="2"/>
          <w:sz w:val="24"/>
          <w:szCs w:val="24"/>
          <w:u w:val="none"/>
          <w:lang w:val="en-US" w:eastAsia="zh-CN" w:bidi="ar-SA"/>
        </w:rPr>
        <w:t>数据表        单位：</w:t>
      </w:r>
      <w:r>
        <w:rPr>
          <w:rFonts w:ascii="Times New Roman" w:hAnsi="Times New Roman" w:eastAsia="宋体" w:cs="Times New Roman"/>
          <w:b/>
          <w:caps w:val="0"/>
          <w:smallCaps w:val="0"/>
          <w:color w:val="auto"/>
          <w:kern w:val="2"/>
          <w:sz w:val="24"/>
          <w:szCs w:val="24"/>
          <w:u w:val="none"/>
          <w:lang w:val="en-US" w:eastAsia="zh-CN" w:bidi="ar-SA"/>
        </w:rPr>
        <w:t>mg/m</w:t>
      </w:r>
      <w:r>
        <w:rPr>
          <w:rFonts w:ascii="Times New Roman" w:hAnsi="Times New Roman" w:eastAsia="宋体" w:cs="Times New Roman"/>
          <w:b/>
          <w:caps w:val="0"/>
          <w:smallCaps w:val="0"/>
          <w:color w:val="auto"/>
          <w:kern w:val="2"/>
          <w:sz w:val="24"/>
          <w:szCs w:val="24"/>
          <w:u w:val="none"/>
          <w:vertAlign w:val="superscript"/>
          <w:lang w:val="en-US" w:eastAsia="zh-CN" w:bidi="ar-SA"/>
        </w:rPr>
        <w:t>3</w:t>
      </w:r>
    </w:p>
    <w:tbl>
      <w:tblPr>
        <w:tblStyle w:val="27"/>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624"/>
        <w:gridCol w:w="1633"/>
        <w:gridCol w:w="1633"/>
        <w:gridCol w:w="2213"/>
        <w:gridCol w:w="17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blHeader/>
        </w:trPr>
        <w:tc>
          <w:tcPr>
            <w:tcW w:w="921"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点位</w:t>
            </w:r>
          </w:p>
        </w:tc>
        <w:tc>
          <w:tcPr>
            <w:tcW w:w="92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监测日期</w:t>
            </w:r>
          </w:p>
        </w:tc>
        <w:tc>
          <w:tcPr>
            <w:tcW w:w="92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p>
        </w:tc>
        <w:tc>
          <w:tcPr>
            <w:tcW w:w="12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浓度（mg/m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标准值（mg/m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项目厂区内Q</w:t>
            </w:r>
            <w:r>
              <w:rPr>
                <w:rFonts w:hint="eastAsia" w:ascii="Times New Roman" w:hAnsi="Times New Roman" w:eastAsia="宋体" w:cs="Times New Roman"/>
                <w:color w:val="auto"/>
                <w:kern w:val="2"/>
                <w:sz w:val="21"/>
                <w:szCs w:val="21"/>
                <w:lang w:val="en-US" w:eastAsia="zh-CN" w:bidi="ar-SA"/>
              </w:rPr>
              <w:t>1</w:t>
            </w:r>
          </w:p>
        </w:tc>
        <w:tc>
          <w:tcPr>
            <w:tcW w:w="926" w:type="pct"/>
            <w:vMerge w:val="restar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2020年11月17日</w:t>
            </w: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0.22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0.24</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0.50</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0.51</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0.53</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西南1200米处田家大屋</w:t>
            </w:r>
            <w:r>
              <w:rPr>
                <w:rFonts w:hint="eastAsia" w:ascii="Times New Roman" w:hAnsi="Times New Roman" w:cs="Times New Roman"/>
                <w:color w:val="auto"/>
                <w:kern w:val="2"/>
                <w:sz w:val="21"/>
                <w:szCs w:val="21"/>
                <w:lang w:val="en-US" w:eastAsia="zh-CN" w:bidi="ar-SA"/>
              </w:rPr>
              <w:t>Q</w:t>
            </w:r>
            <w:r>
              <w:rPr>
                <w:rFonts w:hint="default" w:ascii="Times New Roman" w:hAnsi="Times New Roman" w:eastAsia="宋体" w:cs="Times New Roman"/>
                <w:color w:val="auto"/>
                <w:kern w:val="2"/>
                <w:sz w:val="21"/>
                <w:szCs w:val="21"/>
                <w:lang w:val="en-US" w:eastAsia="zh-CN" w:bidi="ar-SA"/>
              </w:rPr>
              <w:t>2</w:t>
            </w: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0.28</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0.61</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0.59</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0.58</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0.25</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项目厂区内Q</w:t>
            </w:r>
            <w:r>
              <w:rPr>
                <w:rFonts w:hint="eastAsia" w:ascii="Times New Roman" w:hAnsi="Times New Roman" w:eastAsia="宋体" w:cs="Times New Roman"/>
                <w:color w:val="auto"/>
                <w:kern w:val="2"/>
                <w:sz w:val="21"/>
                <w:szCs w:val="21"/>
                <w:lang w:val="en-US" w:eastAsia="zh-CN" w:bidi="ar-SA"/>
              </w:rPr>
              <w:t>1</w:t>
            </w:r>
          </w:p>
        </w:tc>
        <w:tc>
          <w:tcPr>
            <w:tcW w:w="926"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2020年11月18日</w:t>
            </w: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kern w:val="0"/>
                <w:sz w:val="21"/>
                <w:szCs w:val="21"/>
                <w:highlight w:val="none"/>
                <w:lang w:val="en-US" w:eastAsia="zh-CN"/>
              </w:rPr>
              <w:t>0.26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kern w:val="0"/>
                <w:sz w:val="21"/>
                <w:szCs w:val="21"/>
                <w:highlight w:val="none"/>
                <w:lang w:val="en-US" w:eastAsia="zh-CN"/>
              </w:rPr>
              <w:t>0.28</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0.63</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0.65</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0.25</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西南1200米处田家大屋</w:t>
            </w:r>
            <w:r>
              <w:rPr>
                <w:rFonts w:hint="eastAsia" w:ascii="Times New Roman" w:hAnsi="Times New Roman" w:cs="Times New Roman"/>
                <w:color w:val="auto"/>
                <w:kern w:val="2"/>
                <w:sz w:val="21"/>
                <w:szCs w:val="21"/>
                <w:lang w:val="en-US" w:eastAsia="zh-CN" w:bidi="ar-SA"/>
              </w:rPr>
              <w:t>Q</w:t>
            </w:r>
            <w:r>
              <w:rPr>
                <w:rFonts w:hint="default" w:ascii="Times New Roman" w:hAnsi="Times New Roman" w:eastAsia="宋体" w:cs="Times New Roman"/>
                <w:color w:val="auto"/>
                <w:kern w:val="2"/>
                <w:sz w:val="21"/>
                <w:szCs w:val="21"/>
                <w:lang w:val="en-US" w:eastAsia="zh-CN" w:bidi="ar-SA"/>
              </w:rPr>
              <w:t>2</w:t>
            </w: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0.28</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0.59</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0.63</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0.65</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0.67</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项目厂区内Q</w:t>
            </w:r>
            <w:r>
              <w:rPr>
                <w:rFonts w:hint="eastAsia" w:ascii="Times New Roman" w:hAnsi="Times New Roman" w:eastAsia="宋体" w:cs="Times New Roman"/>
                <w:color w:val="auto"/>
                <w:kern w:val="2"/>
                <w:sz w:val="21"/>
                <w:szCs w:val="21"/>
                <w:lang w:val="en-US" w:eastAsia="zh-CN" w:bidi="ar-SA"/>
              </w:rPr>
              <w:t>1</w:t>
            </w:r>
          </w:p>
        </w:tc>
        <w:tc>
          <w:tcPr>
            <w:tcW w:w="926"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2020年11月19日</w:t>
            </w: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kern w:val="0"/>
                <w:sz w:val="21"/>
                <w:szCs w:val="21"/>
                <w:highlight w:val="none"/>
                <w:lang w:val="en-US" w:eastAsia="zh-CN"/>
              </w:rPr>
              <w:t>0.27</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kern w:val="0"/>
                <w:sz w:val="21"/>
                <w:szCs w:val="21"/>
                <w:highlight w:val="none"/>
                <w:lang w:val="en-US" w:eastAsia="zh-CN"/>
              </w:rPr>
              <w:t>0.22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0.61</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0.55</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0.59</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0.21</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西南1200米处田家大屋</w:t>
            </w:r>
            <w:r>
              <w:rPr>
                <w:rFonts w:hint="eastAsia" w:ascii="Times New Roman" w:hAnsi="Times New Roman" w:cs="Times New Roman"/>
                <w:color w:val="auto"/>
                <w:kern w:val="2"/>
                <w:sz w:val="21"/>
                <w:szCs w:val="21"/>
                <w:lang w:val="en-US" w:eastAsia="zh-CN" w:bidi="ar-SA"/>
              </w:rPr>
              <w:t>Q</w:t>
            </w:r>
            <w:r>
              <w:rPr>
                <w:rFonts w:hint="default" w:ascii="Times New Roman" w:hAnsi="Times New Roman" w:eastAsia="宋体" w:cs="Times New Roman"/>
                <w:color w:val="auto"/>
                <w:kern w:val="2"/>
                <w:sz w:val="21"/>
                <w:szCs w:val="21"/>
                <w:lang w:val="en-US" w:eastAsia="zh-CN" w:bidi="ar-SA"/>
              </w:rPr>
              <w:t>2</w:t>
            </w: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0.23</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0.65</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0.57</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0.61</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项目厂区内Q</w:t>
            </w:r>
            <w:r>
              <w:rPr>
                <w:rFonts w:hint="eastAsia" w:ascii="Times New Roman" w:hAnsi="Times New Roman" w:eastAsia="宋体" w:cs="Times New Roman"/>
                <w:color w:val="auto"/>
                <w:kern w:val="2"/>
                <w:sz w:val="21"/>
                <w:szCs w:val="21"/>
                <w:lang w:val="en-US" w:eastAsia="zh-CN" w:bidi="ar-SA"/>
              </w:rPr>
              <w:t>1</w:t>
            </w:r>
          </w:p>
        </w:tc>
        <w:tc>
          <w:tcPr>
            <w:tcW w:w="926"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2020年11月20日</w:t>
            </w: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kern w:val="0"/>
                <w:sz w:val="21"/>
                <w:szCs w:val="21"/>
                <w:highlight w:val="none"/>
                <w:lang w:val="en-US" w:eastAsia="zh-CN"/>
              </w:rPr>
              <w:t>0.23</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kern w:val="0"/>
                <w:sz w:val="21"/>
                <w:szCs w:val="21"/>
                <w:highlight w:val="none"/>
                <w:lang w:val="en-US" w:eastAsia="zh-CN"/>
              </w:rPr>
              <w:t>0.24</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0.58</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0.59</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0.60</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西南1200米处田家大屋</w:t>
            </w:r>
            <w:r>
              <w:rPr>
                <w:rFonts w:hint="eastAsia" w:ascii="Times New Roman" w:hAnsi="Times New Roman" w:cs="Times New Roman"/>
                <w:color w:val="auto"/>
                <w:kern w:val="2"/>
                <w:sz w:val="21"/>
                <w:szCs w:val="21"/>
                <w:lang w:val="en-US" w:eastAsia="zh-CN" w:bidi="ar-SA"/>
              </w:rPr>
              <w:t>Q</w:t>
            </w:r>
            <w:r>
              <w:rPr>
                <w:rFonts w:hint="default" w:ascii="Times New Roman" w:hAnsi="Times New Roman" w:eastAsia="宋体" w:cs="Times New Roman"/>
                <w:color w:val="auto"/>
                <w:kern w:val="2"/>
                <w:sz w:val="21"/>
                <w:szCs w:val="21"/>
                <w:lang w:val="en-US" w:eastAsia="zh-CN" w:bidi="ar-SA"/>
              </w:rPr>
              <w:t>2</w:t>
            </w: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0.23</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0.59</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0.61</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0.59</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0.25</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项目厂区内Q</w:t>
            </w:r>
            <w:r>
              <w:rPr>
                <w:rFonts w:hint="eastAsia" w:ascii="Times New Roman" w:hAnsi="Times New Roman" w:eastAsia="宋体" w:cs="Times New Roman"/>
                <w:color w:val="auto"/>
                <w:kern w:val="2"/>
                <w:sz w:val="21"/>
                <w:szCs w:val="21"/>
                <w:lang w:val="en-US" w:eastAsia="zh-CN" w:bidi="ar-SA"/>
              </w:rPr>
              <w:t>1</w:t>
            </w:r>
          </w:p>
        </w:tc>
        <w:tc>
          <w:tcPr>
            <w:tcW w:w="926" w:type="pct"/>
            <w:vMerge w:val="restar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2020年11月21日</w:t>
            </w: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kern w:val="0"/>
                <w:sz w:val="21"/>
                <w:szCs w:val="21"/>
                <w:highlight w:val="none"/>
                <w:lang w:val="en-US" w:eastAsia="zh-CN"/>
              </w:rPr>
              <w:t>0.26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kern w:val="0"/>
                <w:sz w:val="21"/>
                <w:szCs w:val="21"/>
                <w:highlight w:val="none"/>
                <w:lang w:val="en-US" w:eastAsia="zh-CN"/>
              </w:rPr>
              <w:t>0.25</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0.59</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0.61</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0.23</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西南1200米处田家大屋</w:t>
            </w:r>
            <w:r>
              <w:rPr>
                <w:rFonts w:hint="eastAsia" w:ascii="Times New Roman" w:hAnsi="Times New Roman" w:cs="Times New Roman"/>
                <w:color w:val="auto"/>
                <w:kern w:val="2"/>
                <w:sz w:val="21"/>
                <w:szCs w:val="21"/>
                <w:lang w:val="en-US" w:eastAsia="zh-CN" w:bidi="ar-SA"/>
              </w:rPr>
              <w:t>Q</w:t>
            </w:r>
            <w:r>
              <w:rPr>
                <w:rFonts w:hint="default" w:ascii="Times New Roman" w:hAnsi="Times New Roman" w:eastAsia="宋体" w:cs="Times New Roman"/>
                <w:color w:val="auto"/>
                <w:kern w:val="2"/>
                <w:sz w:val="21"/>
                <w:szCs w:val="21"/>
                <w:lang w:val="en-US" w:eastAsia="zh-CN" w:bidi="ar-SA"/>
              </w:rPr>
              <w:t>2</w:t>
            </w: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0.23</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0.64</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0.65</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0.60</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0.24</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项目厂区内Q</w:t>
            </w:r>
            <w:r>
              <w:rPr>
                <w:rFonts w:hint="eastAsia" w:ascii="Times New Roman" w:hAnsi="Times New Roman" w:eastAsia="宋体" w:cs="Times New Roman"/>
                <w:color w:val="auto"/>
                <w:kern w:val="2"/>
                <w:sz w:val="21"/>
                <w:szCs w:val="21"/>
                <w:lang w:val="en-US" w:eastAsia="zh-CN" w:bidi="ar-SA"/>
              </w:rPr>
              <w:t>1</w:t>
            </w:r>
          </w:p>
        </w:tc>
        <w:tc>
          <w:tcPr>
            <w:tcW w:w="926"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2020年11月22日</w:t>
            </w: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0.24</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0.60</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0.63</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0.59</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0.23</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西南1200米处田家大屋</w:t>
            </w:r>
            <w:r>
              <w:rPr>
                <w:rFonts w:hint="eastAsia" w:ascii="Times New Roman" w:hAnsi="Times New Roman" w:cs="Times New Roman"/>
                <w:color w:val="auto"/>
                <w:kern w:val="2"/>
                <w:sz w:val="21"/>
                <w:szCs w:val="21"/>
                <w:lang w:val="en-US" w:eastAsia="zh-CN" w:bidi="ar-SA"/>
              </w:rPr>
              <w:t>Q</w:t>
            </w:r>
            <w:r>
              <w:rPr>
                <w:rFonts w:hint="default" w:ascii="Times New Roman" w:hAnsi="Times New Roman" w:eastAsia="宋体" w:cs="Times New Roman"/>
                <w:color w:val="auto"/>
                <w:kern w:val="2"/>
                <w:sz w:val="21"/>
                <w:szCs w:val="21"/>
                <w:lang w:val="en-US" w:eastAsia="zh-CN" w:bidi="ar-SA"/>
              </w:rPr>
              <w:t>2</w:t>
            </w: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0.27</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0.64</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0.63</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0.60</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0.25</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项目厂区内Q</w:t>
            </w:r>
            <w:r>
              <w:rPr>
                <w:rFonts w:hint="eastAsia" w:ascii="Times New Roman" w:hAnsi="Times New Roman" w:eastAsia="宋体" w:cs="Times New Roman"/>
                <w:color w:val="auto"/>
                <w:kern w:val="2"/>
                <w:sz w:val="21"/>
                <w:szCs w:val="21"/>
                <w:lang w:val="en-US" w:eastAsia="zh-CN" w:bidi="ar-SA"/>
              </w:rPr>
              <w:t>1</w:t>
            </w:r>
          </w:p>
        </w:tc>
        <w:tc>
          <w:tcPr>
            <w:tcW w:w="926"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2020年11月23日</w:t>
            </w: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0.24</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0.56</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0.61</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0.63</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0.61</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0.25</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西南1200米处田家大屋</w:t>
            </w:r>
            <w:r>
              <w:rPr>
                <w:rFonts w:hint="eastAsia" w:ascii="Times New Roman" w:hAnsi="Times New Roman" w:cs="Times New Roman"/>
                <w:color w:val="auto"/>
                <w:kern w:val="2"/>
                <w:sz w:val="21"/>
                <w:szCs w:val="21"/>
                <w:lang w:val="en-US" w:eastAsia="zh-CN" w:bidi="ar-SA"/>
              </w:rPr>
              <w:t>Q</w:t>
            </w:r>
            <w:r>
              <w:rPr>
                <w:rFonts w:hint="default" w:ascii="Times New Roman" w:hAnsi="Times New Roman" w:eastAsia="宋体" w:cs="Times New Roman"/>
                <w:color w:val="auto"/>
                <w:kern w:val="2"/>
                <w:sz w:val="21"/>
                <w:szCs w:val="21"/>
                <w:lang w:val="en-US" w:eastAsia="zh-CN" w:bidi="ar-SA"/>
              </w:rPr>
              <w:t>2</w:t>
            </w: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0.24</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cs="Times New Roman"/>
                <w:color w:val="auto"/>
                <w:kern w:val="2"/>
                <w:sz w:val="21"/>
                <w:szCs w:val="21"/>
                <w:lang w:val="en-US" w:eastAsia="zh-CN" w:bidi="ar-SA"/>
              </w:rPr>
              <w:t>（8小时值）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0.25</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0.63</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0.62</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甲醇（小时值）</w:t>
            </w:r>
          </w:p>
        </w:tc>
        <w:tc>
          <w:tcPr>
            <w:tcW w:w="1255" w:type="pct"/>
            <w:tcBorders>
              <w:tl2br w:val="nil"/>
              <w:tr2bl w:val="nil"/>
            </w:tcBorders>
            <w:noWrap w:val="0"/>
            <w:vAlign w:val="center"/>
          </w:tcPr>
          <w:p>
            <w:pPr>
              <w:widowControl/>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0.60</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rPr>
        <w:tc>
          <w:tcPr>
            <w:tcW w:w="921"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926"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r>
              <w:rPr>
                <w:rFonts w:hint="eastAsia" w:ascii="Times New Roman" w:hAnsi="Times New Roman" w:cs="Times New Roman"/>
                <w:color w:val="auto"/>
                <w:kern w:val="2"/>
                <w:sz w:val="21"/>
                <w:szCs w:val="21"/>
                <w:lang w:val="en-US" w:eastAsia="zh-CN" w:bidi="ar-SA"/>
              </w:rPr>
              <w:t>（日均值）</w:t>
            </w:r>
          </w:p>
        </w:tc>
        <w:tc>
          <w:tcPr>
            <w:tcW w:w="1255" w:type="pct"/>
            <w:tcBorders>
              <w:tl2br w:val="nil"/>
              <w:tr2bl w:val="nil"/>
            </w:tcBorders>
            <w:noWrap w:val="0"/>
            <w:vAlign w:val="center"/>
          </w:tcPr>
          <w:p>
            <w:pPr>
              <w:widowControl/>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0.24</w:t>
            </w:r>
          </w:p>
        </w:tc>
        <w:tc>
          <w:tcPr>
            <w:tcW w:w="970"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bl>
    <w:p>
      <w:pPr>
        <w:widowControl w:val="0"/>
        <w:bidi w:val="0"/>
        <w:spacing w:before="20" w:line="360" w:lineRule="auto"/>
        <w:ind w:firstLine="480" w:firstLineChars="200"/>
        <w:jc w:val="both"/>
        <w:rPr>
          <w:rFonts w:ascii="Times New Roman" w:hAnsi="Times New Roman" w:eastAsia="宋体" w:cs="Times New Roman"/>
          <w:b/>
          <w:bCs/>
          <w:color w:val="auto"/>
          <w:kern w:val="2"/>
          <w:sz w:val="24"/>
          <w:szCs w:val="20"/>
          <w:lang w:val="en-US" w:eastAsia="zh-CN" w:bidi="ar-SA"/>
        </w:rPr>
      </w:pPr>
      <w:r>
        <w:rPr>
          <w:rFonts w:hint="eastAsia" w:ascii="Times New Roman" w:hAnsi="Times New Roman" w:eastAsia="宋体" w:cs="Times New Roman"/>
          <w:b/>
          <w:bCs/>
          <w:color w:val="auto"/>
          <w:kern w:val="2"/>
          <w:sz w:val="24"/>
          <w:szCs w:val="20"/>
          <w:lang w:val="en-US" w:eastAsia="zh-CN" w:bidi="ar-SA"/>
        </w:rPr>
        <w:t>注：ND表示检验数值低于方法最低检出限</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由监测结果可知，</w:t>
      </w:r>
      <w:r>
        <w:rPr>
          <w:rFonts w:hint="eastAsia" w:ascii="Times New Roman" w:hAnsi="Times New Roman" w:eastAsia="宋体" w:cs="Times New Roman"/>
          <w:color w:val="auto"/>
          <w:kern w:val="2"/>
          <w:sz w:val="24"/>
          <w:szCs w:val="20"/>
          <w:lang w:val="en-US" w:eastAsia="zh-CN" w:bidi="ar-SA"/>
        </w:rPr>
        <w:t>各监测点甲醇</w:t>
      </w:r>
      <w:r>
        <w:rPr>
          <w:rFonts w:ascii="Times New Roman" w:hAnsi="Times New Roman" w:eastAsia="宋体" w:cs="Times New Roman"/>
          <w:color w:val="auto"/>
          <w:kern w:val="2"/>
          <w:sz w:val="24"/>
          <w:szCs w:val="20"/>
          <w:lang w:val="en-US" w:eastAsia="zh-CN" w:bidi="ar-SA"/>
        </w:rPr>
        <w:t>1小时平均浓度</w:t>
      </w:r>
      <w:r>
        <w:rPr>
          <w:rFonts w:hint="eastAsia" w:ascii="Times New Roman" w:hAnsi="Times New Roman" w:cs="Times New Roman"/>
          <w:color w:val="auto"/>
          <w:kern w:val="2"/>
          <w:sz w:val="24"/>
          <w:szCs w:val="20"/>
          <w:lang w:val="en-US" w:eastAsia="zh-CN" w:bidi="ar-SA"/>
        </w:rPr>
        <w:t>与8小时平局浓度</w:t>
      </w:r>
      <w:r>
        <w:rPr>
          <w:rFonts w:ascii="Times New Roman" w:hAnsi="Times New Roman" w:eastAsia="宋体" w:cs="Times New Roman"/>
          <w:color w:val="auto"/>
          <w:kern w:val="2"/>
          <w:sz w:val="24"/>
          <w:szCs w:val="20"/>
          <w:lang w:val="en-US" w:eastAsia="zh-CN" w:bidi="ar-SA"/>
        </w:rPr>
        <w:t>均</w:t>
      </w:r>
      <w:r>
        <w:rPr>
          <w:rFonts w:hint="eastAsia" w:ascii="Times New Roman" w:hAnsi="Times New Roman" w:eastAsia="宋体" w:cs="Times New Roman"/>
          <w:color w:val="auto"/>
          <w:kern w:val="2"/>
          <w:sz w:val="24"/>
          <w:szCs w:val="20"/>
          <w:lang w:val="en-US" w:eastAsia="zh-CN" w:bidi="ar-SA"/>
        </w:rPr>
        <w:t>小</w:t>
      </w:r>
      <w:r>
        <w:rPr>
          <w:rFonts w:hint="eastAsia" w:ascii="Times New Roman" w:hAnsi="Times New Roman" w:cs="Times New Roman"/>
          <w:color w:val="auto"/>
          <w:kern w:val="2"/>
          <w:sz w:val="24"/>
          <w:szCs w:val="20"/>
          <w:lang w:val="en-US" w:eastAsia="zh-CN" w:bidi="ar-SA"/>
        </w:rPr>
        <w:t>于</w:t>
      </w:r>
      <w:r>
        <w:rPr>
          <w:rFonts w:hint="eastAsia"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环境影响评价技术导则——大气环境</w:t>
      </w:r>
      <w:r>
        <w:rPr>
          <w:rFonts w:hint="eastAsia"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HJ2.2-2018</w:t>
      </w:r>
      <w:r>
        <w:rPr>
          <w:rFonts w:hint="eastAsia" w:ascii="Times New Roman" w:hAnsi="Times New Roman" w:eastAsia="宋体" w:cs="Times New Roman"/>
          <w:color w:val="auto"/>
          <w:kern w:val="2"/>
          <w:sz w:val="24"/>
          <w:szCs w:val="20"/>
          <w:lang w:val="en-US" w:eastAsia="zh-CN" w:bidi="ar-SA"/>
        </w:rPr>
        <w:t>）中</w:t>
      </w:r>
      <w:r>
        <w:rPr>
          <w:rFonts w:hint="eastAsia" w:ascii="Times New Roman" w:hAnsi="Times New Roman" w:cs="Times New Roman"/>
          <w:color w:val="auto"/>
          <w:kern w:val="2"/>
          <w:sz w:val="24"/>
          <w:szCs w:val="20"/>
          <w:lang w:val="en-US" w:eastAsia="zh-CN" w:bidi="ar-SA"/>
        </w:rPr>
        <w:t>附录D标准，各监测点VOCs 8小时平局浓度均小于</w:t>
      </w:r>
      <w:r>
        <w:rPr>
          <w:rFonts w:hint="eastAsia"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环境影响评价技术导则——大气环境</w:t>
      </w:r>
      <w:r>
        <w:rPr>
          <w:rFonts w:hint="eastAsia" w:ascii="Times New Roman" w:hAnsi="Times New Roman" w:eastAsia="宋体" w:cs="Times New Roman"/>
          <w:color w:val="auto"/>
          <w:kern w:val="2"/>
          <w:sz w:val="24"/>
          <w:szCs w:val="20"/>
          <w:lang w:val="en-US" w:eastAsia="zh-CN" w:bidi="ar-SA"/>
        </w:rPr>
        <w:t>》（</w:t>
      </w:r>
      <w:r>
        <w:rPr>
          <w:rFonts w:hint="eastAsia" w:ascii="Times New Roman" w:hAnsi="Times New Roman" w:cs="Times New Roman"/>
          <w:color w:val="auto"/>
          <w:kern w:val="2"/>
          <w:sz w:val="24"/>
          <w:szCs w:val="20"/>
          <w:lang w:val="en-US" w:eastAsia="zh-CN" w:bidi="ar-SA"/>
        </w:rPr>
        <w:t>HJ2.2-2018</w:t>
      </w:r>
      <w:r>
        <w:rPr>
          <w:rFonts w:hint="eastAsia" w:ascii="Times New Roman" w:hAnsi="Times New Roman" w:eastAsia="宋体" w:cs="Times New Roman"/>
          <w:color w:val="auto"/>
          <w:kern w:val="2"/>
          <w:sz w:val="24"/>
          <w:szCs w:val="20"/>
          <w:lang w:val="en-US" w:eastAsia="zh-CN" w:bidi="ar-SA"/>
        </w:rPr>
        <w:t>）中</w:t>
      </w:r>
      <w:r>
        <w:rPr>
          <w:rFonts w:hint="eastAsia" w:ascii="Times New Roman" w:hAnsi="Times New Roman" w:cs="Times New Roman"/>
          <w:color w:val="auto"/>
          <w:kern w:val="2"/>
          <w:sz w:val="24"/>
          <w:szCs w:val="20"/>
          <w:lang w:val="en-US" w:eastAsia="zh-CN" w:bidi="ar-SA"/>
        </w:rPr>
        <w:t>附录D标准</w:t>
      </w:r>
      <w:r>
        <w:rPr>
          <w:rFonts w:hint="eastAsia" w:ascii="Times New Roman" w:hAnsi="Times New Roman" w:eastAsia="宋体" w:cs="Times New Roman"/>
          <w:color w:val="auto"/>
          <w:kern w:val="2"/>
          <w:sz w:val="24"/>
          <w:szCs w:val="20"/>
          <w:lang w:val="en-US" w:eastAsia="zh-CN" w:bidi="ar-SA"/>
        </w:rPr>
        <w:t>。</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hint="eastAsia" w:ascii="Times New Roman" w:hAnsi="Times New Roman" w:eastAsia="宋体" w:cs="Times New Roman"/>
          <w:b/>
          <w:color w:val="auto"/>
          <w:kern w:val="2"/>
          <w:sz w:val="30"/>
          <w:szCs w:val="22"/>
          <w:lang w:val="en-US" w:eastAsia="zh-CN" w:bidi="ar-SA"/>
        </w:rPr>
      </w:pPr>
      <w:bookmarkStart w:id="137" w:name="_Toc15571"/>
      <w:bookmarkStart w:id="138" w:name="_Toc40549350"/>
      <w:bookmarkStart w:id="139" w:name="_Toc5"/>
      <w:bookmarkStart w:id="140" w:name="_Toc345063559"/>
      <w:r>
        <w:rPr>
          <w:rFonts w:hint="eastAsia" w:ascii="Times New Roman" w:hAnsi="Times New Roman" w:eastAsia="宋体" w:cs="Times New Roman"/>
          <w:b/>
          <w:color w:val="auto"/>
          <w:kern w:val="2"/>
          <w:sz w:val="30"/>
          <w:szCs w:val="22"/>
          <w:lang w:val="en-US" w:eastAsia="zh-CN" w:bidi="ar-SA"/>
        </w:rPr>
        <w:t>6.6声环境质量现状与评价</w:t>
      </w:r>
      <w:bookmarkEnd w:id="137"/>
      <w:bookmarkEnd w:id="138"/>
      <w:bookmarkEnd w:id="139"/>
      <w:bookmarkEnd w:id="140"/>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bookmarkStart w:id="141" w:name="_Toc40549351"/>
      <w:r>
        <w:rPr>
          <w:rFonts w:hint="eastAsia" w:ascii="Times New Roman" w:hAnsi="Times New Roman" w:eastAsia="宋体" w:cs="Times New Roman"/>
          <w:color w:val="auto"/>
          <w:kern w:val="2"/>
          <w:sz w:val="24"/>
          <w:szCs w:val="20"/>
          <w:lang w:val="en-US" w:eastAsia="zh-CN" w:bidi="ar-SA"/>
        </w:rPr>
        <w:t>本项目依据</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环境影响评价技术导则声环境</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（HJ2.4-2018）中要求，本项目声环境评价等级确定为三级。根据三级评价要求，调查项目周边声环境现状。为了解项目所在声环境现状，本项目</w:t>
      </w:r>
      <w:r>
        <w:rPr>
          <w:rFonts w:hint="eastAsia" w:ascii="Times New Roman" w:hAnsi="Times New Roman" w:cs="Times New Roman"/>
          <w:color w:val="auto"/>
          <w:kern w:val="2"/>
          <w:sz w:val="24"/>
          <w:szCs w:val="20"/>
          <w:lang w:val="en-US" w:eastAsia="zh-CN" w:bidi="ar-SA"/>
        </w:rPr>
        <w:t>由湖南衡润科技有限公司对项目厂界声环境现状进行监测。</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（1）监测布点</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根据项目建设情况，布设4个噪声监测点，在厂界东、南、西、北外1米处各布设1个监测点。</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（2）监测因子和监测时间</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监测因子：连续等效A声级LAeq；</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监测时间：</w:t>
      </w:r>
      <w:r>
        <w:rPr>
          <w:rFonts w:hint="eastAsia" w:ascii="Times New Roman" w:hAnsi="Times New Roman" w:cs="Times New Roman"/>
          <w:color w:val="auto"/>
          <w:kern w:val="2"/>
          <w:sz w:val="24"/>
          <w:szCs w:val="20"/>
          <w:lang w:val="en-US" w:eastAsia="zh-CN" w:bidi="ar-SA"/>
        </w:rPr>
        <w:t>2020年9月1日至9月2日，</w:t>
      </w:r>
      <w:r>
        <w:rPr>
          <w:rFonts w:hint="eastAsia" w:ascii="Times New Roman" w:hAnsi="Times New Roman" w:eastAsia="宋体" w:cs="Times New Roman"/>
          <w:color w:val="auto"/>
          <w:kern w:val="2"/>
          <w:sz w:val="24"/>
          <w:szCs w:val="20"/>
          <w:lang w:val="en-US" w:eastAsia="zh-CN" w:bidi="ar-SA"/>
        </w:rPr>
        <w:t>连续2天，每天昼间（6:00~22:00）、夜间（22:00~次日6:00）各监测1次。</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（3）评价标准</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执行《声环境质量标准》(GB3096-2008)中的3类标准。</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（4）声环境现状监测结果统计</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项目声环境质量监测结果见表6.6-1。</w:t>
      </w:r>
    </w:p>
    <w:p>
      <w:pPr>
        <w:widowControl w:val="0"/>
        <w:bidi w:val="0"/>
        <w:spacing w:line="360" w:lineRule="auto"/>
        <w:jc w:val="center"/>
        <w:rPr>
          <w:rFonts w:ascii="Times New Roman" w:hAnsi="Times New Roman" w:eastAsia="宋体" w:cs="Times New Roman"/>
          <w:b/>
          <w:color w:val="auto"/>
          <w:kern w:val="2"/>
          <w:sz w:val="24"/>
          <w:szCs w:val="24"/>
          <w:u w:val="single"/>
          <w:lang w:val="en-US" w:eastAsia="zh-CN" w:bidi="ar-SA"/>
        </w:rPr>
      </w:pPr>
      <w:r>
        <w:rPr>
          <w:rFonts w:hint="eastAsia" w:ascii="Times New Roman" w:hAnsi="Times New Roman" w:eastAsia="宋体" w:cs="Times New Roman"/>
          <w:b/>
          <w:color w:val="auto"/>
          <w:kern w:val="2"/>
          <w:sz w:val="24"/>
          <w:szCs w:val="24"/>
          <w:u w:val="single"/>
          <w:lang w:val="en-US" w:eastAsia="zh-CN" w:bidi="ar-SA"/>
        </w:rPr>
        <w:t xml:space="preserve">表6.6-1    </w:t>
      </w:r>
      <w:r>
        <w:rPr>
          <w:rFonts w:ascii="Times New Roman" w:hAnsi="Times New Roman" w:eastAsia="宋体" w:cs="Times New Roman"/>
          <w:b/>
          <w:color w:val="auto"/>
          <w:kern w:val="2"/>
          <w:sz w:val="24"/>
          <w:szCs w:val="24"/>
          <w:u w:val="single"/>
          <w:lang w:val="en-US" w:eastAsia="zh-CN" w:bidi="ar-SA"/>
        </w:rPr>
        <w:t>声环境现状监测统计结果</w:t>
      </w:r>
      <w:r>
        <w:rPr>
          <w:rFonts w:hint="eastAsia" w:ascii="Times New Roman" w:hAnsi="Times New Roman" w:cs="Times New Roman"/>
          <w:b/>
          <w:color w:val="auto"/>
          <w:kern w:val="2"/>
          <w:sz w:val="24"/>
          <w:szCs w:val="24"/>
          <w:u w:val="single"/>
          <w:lang w:val="en-US" w:eastAsia="zh-CN" w:bidi="ar-SA"/>
        </w:rPr>
        <w:t>一览表</w:t>
      </w:r>
      <w:r>
        <w:rPr>
          <w:rFonts w:ascii="Times New Roman" w:hAnsi="Times New Roman" w:eastAsia="宋体" w:cs="Times New Roman"/>
          <w:b/>
          <w:color w:val="auto"/>
          <w:kern w:val="2"/>
          <w:sz w:val="24"/>
          <w:szCs w:val="24"/>
          <w:u w:val="single"/>
          <w:lang w:val="en-US" w:eastAsia="zh-CN" w:bidi="ar-SA"/>
        </w:rPr>
        <w:t xml:space="preserve">   单位：dB(A)</w:t>
      </w:r>
    </w:p>
    <w:tbl>
      <w:tblPr>
        <w:tblStyle w:val="27"/>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1544"/>
        <w:gridCol w:w="1322"/>
        <w:gridCol w:w="1318"/>
        <w:gridCol w:w="16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trPr>
        <w:tc>
          <w:tcPr>
            <w:tcW w:w="1732"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监测点位</w:t>
            </w:r>
          </w:p>
        </w:tc>
        <w:tc>
          <w:tcPr>
            <w:tcW w:w="1591"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9</w:t>
            </w:r>
            <w:r>
              <w:rPr>
                <w:rFonts w:ascii="Times New Roman" w:hAnsi="Times New Roman" w:eastAsia="宋体" w:cs="Times New Roman"/>
                <w:color w:val="auto"/>
                <w:kern w:val="2"/>
                <w:sz w:val="21"/>
                <w:szCs w:val="20"/>
                <w:lang w:val="en-US" w:eastAsia="zh-CN" w:bidi="ar-SA"/>
              </w:rPr>
              <w:t>月</w:t>
            </w:r>
            <w:r>
              <w:rPr>
                <w:rFonts w:hint="eastAsia" w:ascii="Times New Roman" w:hAnsi="Times New Roman" w:eastAsia="宋体" w:cs="Times New Roman"/>
                <w:color w:val="auto"/>
                <w:kern w:val="2"/>
                <w:sz w:val="21"/>
                <w:szCs w:val="20"/>
                <w:lang w:val="en-US" w:eastAsia="zh-CN" w:bidi="ar-SA"/>
              </w:rPr>
              <w:t>1</w:t>
            </w:r>
            <w:r>
              <w:rPr>
                <w:rFonts w:ascii="Times New Roman" w:hAnsi="Times New Roman" w:eastAsia="宋体" w:cs="Times New Roman"/>
                <w:color w:val="auto"/>
                <w:kern w:val="2"/>
                <w:sz w:val="21"/>
                <w:szCs w:val="20"/>
                <w:lang w:val="en-US" w:eastAsia="zh-CN" w:bidi="ar-SA"/>
              </w:rPr>
              <w:t>日</w:t>
            </w:r>
          </w:p>
        </w:tc>
        <w:tc>
          <w:tcPr>
            <w:tcW w:w="1675"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9</w:t>
            </w:r>
            <w:r>
              <w:rPr>
                <w:rFonts w:ascii="Times New Roman" w:hAnsi="Times New Roman" w:eastAsia="宋体" w:cs="Times New Roman"/>
                <w:color w:val="auto"/>
                <w:kern w:val="2"/>
                <w:sz w:val="21"/>
                <w:szCs w:val="20"/>
                <w:lang w:val="en-US" w:eastAsia="zh-CN" w:bidi="ar-SA"/>
              </w:rPr>
              <w:t>月</w:t>
            </w:r>
            <w:r>
              <w:rPr>
                <w:rFonts w:hint="eastAsia" w:ascii="Times New Roman" w:hAnsi="Times New Roman" w:cs="Times New Roman"/>
                <w:color w:val="auto"/>
                <w:kern w:val="2"/>
                <w:sz w:val="21"/>
                <w:szCs w:val="20"/>
                <w:lang w:val="en-US" w:eastAsia="zh-CN" w:bidi="ar-SA"/>
              </w:rPr>
              <w:t>2</w:t>
            </w:r>
            <w:r>
              <w:rPr>
                <w:rFonts w:ascii="Times New Roman" w:hAnsi="Times New Roman" w:eastAsia="宋体" w:cs="Times New Roman"/>
                <w:color w:val="auto"/>
                <w:kern w:val="2"/>
                <w:sz w:val="21"/>
                <w:szCs w:val="20"/>
                <w:lang w:val="en-US" w:eastAsia="zh-CN" w:bidi="ar-SA"/>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trPr>
        <w:tc>
          <w:tcPr>
            <w:tcW w:w="1732"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85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昼间</w:t>
            </w:r>
          </w:p>
        </w:tc>
        <w:tc>
          <w:tcPr>
            <w:tcW w:w="73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夜间</w:t>
            </w:r>
          </w:p>
        </w:tc>
        <w:tc>
          <w:tcPr>
            <w:tcW w:w="73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昼间</w:t>
            </w:r>
          </w:p>
        </w:tc>
        <w:tc>
          <w:tcPr>
            <w:tcW w:w="94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73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N1（</w:t>
            </w:r>
            <w:r>
              <w:rPr>
                <w:rFonts w:hint="eastAsia" w:ascii="Times New Roman" w:hAnsi="Times New Roman" w:cs="Times New Roman"/>
                <w:color w:val="auto"/>
                <w:kern w:val="2"/>
                <w:sz w:val="21"/>
                <w:szCs w:val="20"/>
                <w:lang w:val="en-US" w:eastAsia="zh-CN" w:bidi="ar-SA"/>
              </w:rPr>
              <w:t>南</w:t>
            </w:r>
            <w:r>
              <w:rPr>
                <w:rFonts w:ascii="Times New Roman" w:hAnsi="Times New Roman" w:eastAsia="宋体" w:cs="Times New Roman"/>
                <w:color w:val="auto"/>
                <w:kern w:val="2"/>
                <w:sz w:val="21"/>
                <w:szCs w:val="20"/>
                <w:lang w:val="en-US" w:eastAsia="zh-CN" w:bidi="ar-SA"/>
              </w:rPr>
              <w:t>厂界外1米）</w:t>
            </w:r>
          </w:p>
        </w:tc>
        <w:tc>
          <w:tcPr>
            <w:tcW w:w="85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59.8</w:t>
            </w:r>
          </w:p>
        </w:tc>
        <w:tc>
          <w:tcPr>
            <w:tcW w:w="73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48.6</w:t>
            </w:r>
          </w:p>
        </w:tc>
        <w:tc>
          <w:tcPr>
            <w:tcW w:w="73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58.4</w:t>
            </w:r>
          </w:p>
        </w:tc>
        <w:tc>
          <w:tcPr>
            <w:tcW w:w="94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73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N2（</w:t>
            </w:r>
            <w:r>
              <w:rPr>
                <w:rFonts w:hint="eastAsia" w:ascii="Times New Roman" w:hAnsi="Times New Roman" w:cs="Times New Roman"/>
                <w:color w:val="auto"/>
                <w:kern w:val="2"/>
                <w:sz w:val="21"/>
                <w:szCs w:val="20"/>
                <w:lang w:val="en-US" w:eastAsia="zh-CN" w:bidi="ar-SA"/>
              </w:rPr>
              <w:t>东</w:t>
            </w:r>
            <w:r>
              <w:rPr>
                <w:rFonts w:ascii="Times New Roman" w:hAnsi="Times New Roman" w:eastAsia="宋体" w:cs="Times New Roman"/>
                <w:color w:val="auto"/>
                <w:kern w:val="2"/>
                <w:sz w:val="21"/>
                <w:szCs w:val="20"/>
                <w:lang w:val="en-US" w:eastAsia="zh-CN" w:bidi="ar-SA"/>
              </w:rPr>
              <w:t>厂界外1米）</w:t>
            </w:r>
          </w:p>
        </w:tc>
        <w:tc>
          <w:tcPr>
            <w:tcW w:w="85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60.3</w:t>
            </w:r>
          </w:p>
        </w:tc>
        <w:tc>
          <w:tcPr>
            <w:tcW w:w="73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49.5</w:t>
            </w:r>
          </w:p>
        </w:tc>
        <w:tc>
          <w:tcPr>
            <w:tcW w:w="73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59.1</w:t>
            </w:r>
          </w:p>
        </w:tc>
        <w:tc>
          <w:tcPr>
            <w:tcW w:w="943"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73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N3（</w:t>
            </w:r>
            <w:r>
              <w:rPr>
                <w:rFonts w:hint="eastAsia" w:ascii="Times New Roman" w:hAnsi="Times New Roman" w:cs="Times New Roman"/>
                <w:color w:val="auto"/>
                <w:kern w:val="2"/>
                <w:sz w:val="21"/>
                <w:szCs w:val="20"/>
                <w:lang w:val="en-US" w:eastAsia="zh-CN" w:bidi="ar-SA"/>
              </w:rPr>
              <w:t>北</w:t>
            </w:r>
            <w:r>
              <w:rPr>
                <w:rFonts w:ascii="Times New Roman" w:hAnsi="Times New Roman" w:eastAsia="宋体" w:cs="Times New Roman"/>
                <w:color w:val="auto"/>
                <w:kern w:val="2"/>
                <w:sz w:val="21"/>
                <w:szCs w:val="20"/>
                <w:lang w:val="en-US" w:eastAsia="zh-CN" w:bidi="ar-SA"/>
              </w:rPr>
              <w:t>厂界外1米）</w:t>
            </w:r>
          </w:p>
        </w:tc>
        <w:tc>
          <w:tcPr>
            <w:tcW w:w="85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59.5</w:t>
            </w:r>
          </w:p>
        </w:tc>
        <w:tc>
          <w:tcPr>
            <w:tcW w:w="73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48.7</w:t>
            </w:r>
          </w:p>
        </w:tc>
        <w:tc>
          <w:tcPr>
            <w:tcW w:w="73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58.9</w:t>
            </w:r>
          </w:p>
        </w:tc>
        <w:tc>
          <w:tcPr>
            <w:tcW w:w="943"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49.6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80" w:hRule="atLeast"/>
        </w:trPr>
        <w:tc>
          <w:tcPr>
            <w:tcW w:w="173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N4（</w:t>
            </w:r>
            <w:r>
              <w:rPr>
                <w:rFonts w:hint="eastAsia" w:ascii="Times New Roman" w:hAnsi="Times New Roman" w:cs="Times New Roman"/>
                <w:color w:val="auto"/>
                <w:kern w:val="2"/>
                <w:sz w:val="21"/>
                <w:szCs w:val="20"/>
                <w:lang w:val="en-US" w:eastAsia="zh-CN" w:bidi="ar-SA"/>
              </w:rPr>
              <w:t>西</w:t>
            </w:r>
            <w:r>
              <w:rPr>
                <w:rFonts w:ascii="Times New Roman" w:hAnsi="Times New Roman" w:eastAsia="宋体" w:cs="Times New Roman"/>
                <w:color w:val="auto"/>
                <w:kern w:val="2"/>
                <w:sz w:val="21"/>
                <w:szCs w:val="20"/>
                <w:lang w:val="en-US" w:eastAsia="zh-CN" w:bidi="ar-SA"/>
              </w:rPr>
              <w:t>厂界外1米）</w:t>
            </w:r>
          </w:p>
        </w:tc>
        <w:tc>
          <w:tcPr>
            <w:tcW w:w="85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58.6</w:t>
            </w:r>
          </w:p>
        </w:tc>
        <w:tc>
          <w:tcPr>
            <w:tcW w:w="734"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47.6</w:t>
            </w:r>
          </w:p>
        </w:tc>
        <w:tc>
          <w:tcPr>
            <w:tcW w:w="73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59.3</w:t>
            </w:r>
          </w:p>
        </w:tc>
        <w:tc>
          <w:tcPr>
            <w:tcW w:w="943"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48.3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7" w:hRule="atLeast"/>
        </w:trPr>
        <w:tc>
          <w:tcPr>
            <w:tcW w:w="173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3类</w:t>
            </w:r>
            <w:r>
              <w:rPr>
                <w:rFonts w:hint="eastAsia" w:ascii="Times New Roman" w:hAnsi="Times New Roman" w:eastAsia="宋体" w:cs="Times New Roman"/>
                <w:color w:val="auto"/>
                <w:kern w:val="2"/>
                <w:sz w:val="21"/>
                <w:szCs w:val="20"/>
                <w:lang w:val="en-US" w:eastAsia="zh-CN" w:bidi="ar-SA"/>
              </w:rPr>
              <w:t>标准限值</w:t>
            </w:r>
          </w:p>
        </w:tc>
        <w:tc>
          <w:tcPr>
            <w:tcW w:w="85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65</w:t>
            </w:r>
          </w:p>
        </w:tc>
        <w:tc>
          <w:tcPr>
            <w:tcW w:w="73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55</w:t>
            </w:r>
          </w:p>
        </w:tc>
        <w:tc>
          <w:tcPr>
            <w:tcW w:w="73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65</w:t>
            </w:r>
          </w:p>
        </w:tc>
        <w:tc>
          <w:tcPr>
            <w:tcW w:w="94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50" w:hRule="atLeast"/>
        </w:trPr>
        <w:tc>
          <w:tcPr>
            <w:tcW w:w="173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达标情况</w:t>
            </w:r>
          </w:p>
        </w:tc>
        <w:tc>
          <w:tcPr>
            <w:tcW w:w="85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达标</w:t>
            </w:r>
          </w:p>
        </w:tc>
        <w:tc>
          <w:tcPr>
            <w:tcW w:w="73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达标</w:t>
            </w:r>
          </w:p>
        </w:tc>
        <w:tc>
          <w:tcPr>
            <w:tcW w:w="73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达标</w:t>
            </w:r>
          </w:p>
        </w:tc>
        <w:tc>
          <w:tcPr>
            <w:tcW w:w="943"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达标</w:t>
            </w:r>
          </w:p>
        </w:tc>
      </w:tr>
    </w:tbl>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由声环境现状结果结果可知，项目厂界噪声均可达到《声环境质量标准》(GB3096-2008)中3类区标准要求。</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1"/>
        <w:rPr>
          <w:rFonts w:hint="eastAsia" w:ascii="Times New Roman" w:hAnsi="Times New Roman" w:eastAsia="宋体" w:cs="Times New Roman"/>
          <w:b/>
          <w:color w:val="auto"/>
          <w:kern w:val="2"/>
          <w:sz w:val="30"/>
          <w:szCs w:val="22"/>
          <w:lang w:val="en-US" w:eastAsia="zh-CN" w:bidi="ar-SA"/>
        </w:rPr>
      </w:pPr>
      <w:bookmarkStart w:id="142" w:name="_Toc2648"/>
      <w:bookmarkStart w:id="143" w:name="_Toc26384"/>
      <w:r>
        <w:rPr>
          <w:rFonts w:hint="eastAsia" w:ascii="Times New Roman" w:hAnsi="Times New Roman" w:eastAsia="宋体" w:cs="Times New Roman"/>
          <w:b/>
          <w:color w:val="auto"/>
          <w:kern w:val="2"/>
          <w:sz w:val="30"/>
          <w:szCs w:val="22"/>
          <w:lang w:val="en-US" w:eastAsia="zh-CN" w:bidi="ar-SA"/>
        </w:rPr>
        <w:t>6.7土壤质量现状与评价</w:t>
      </w:r>
      <w:bookmarkEnd w:id="141"/>
      <w:bookmarkEnd w:id="142"/>
      <w:bookmarkEnd w:id="143"/>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宋体" w:hAnsi="宋体" w:eastAsia="宋体" w:cs="宋体"/>
          <w:color w:val="auto"/>
          <w:sz w:val="24"/>
          <w:szCs w:val="24"/>
        </w:rPr>
        <w:t>根据《环境影响评价技术导则—土壤环境（试行）》（HJ964-2018），查附录A土壤环境影响评价项目类别，本项目属于</w:t>
      </w:r>
      <w:r>
        <w:rPr>
          <w:rFonts w:hint="eastAsia" w:ascii="宋体" w:hAnsi="宋体" w:eastAsia="宋体" w:cs="宋体"/>
          <w:color w:val="auto"/>
          <w:sz w:val="24"/>
          <w:szCs w:val="24"/>
          <w:lang w:eastAsia="zh-CN"/>
        </w:rPr>
        <w:t>化工</w:t>
      </w:r>
      <w:r>
        <w:rPr>
          <w:rFonts w:hint="eastAsia" w:ascii="宋体" w:hAnsi="宋体" w:eastAsia="宋体" w:cs="宋体"/>
          <w:color w:val="auto"/>
          <w:sz w:val="24"/>
          <w:szCs w:val="24"/>
        </w:rPr>
        <w:t>行业，则项目类别为Ⅰ类。根查阅《环境影响评价技术导则—土壤环境（试行）》（HJ964-2018）4.2.2中规定“根据行业特征、工艺特点或规模大小等将建设项目类别分为Ⅰ类、Ⅱ类、Ⅲ类、Ⅳ类，见附录A，其中Ⅰ类建设项目</w:t>
      </w:r>
      <w:r>
        <w:rPr>
          <w:rFonts w:hint="eastAsia" w:ascii="宋体" w:hAnsi="宋体" w:eastAsia="宋体" w:cs="宋体"/>
          <w:color w:val="auto"/>
          <w:sz w:val="24"/>
          <w:szCs w:val="24"/>
          <w:lang w:eastAsia="zh-CN"/>
        </w:rPr>
        <w:t>需</w:t>
      </w:r>
      <w:r>
        <w:rPr>
          <w:rFonts w:hint="eastAsia" w:ascii="宋体" w:hAnsi="宋体" w:eastAsia="宋体" w:cs="宋体"/>
          <w:color w:val="auto"/>
          <w:sz w:val="24"/>
          <w:szCs w:val="24"/>
        </w:rPr>
        <w:t>开展土壤环境影响评价；本次对项目地周边土壤进行现场监测。</w:t>
      </w:r>
      <w:r>
        <w:rPr>
          <w:rFonts w:hint="eastAsia" w:ascii="Times New Roman" w:hAnsi="Times New Roman" w:eastAsia="宋体" w:cs="Times New Roman"/>
          <w:color w:val="auto"/>
          <w:kern w:val="2"/>
          <w:sz w:val="24"/>
          <w:szCs w:val="20"/>
          <w:lang w:val="en-US" w:eastAsia="zh-CN" w:bidi="ar-SA"/>
        </w:rPr>
        <w:t>本次评价湖南衡润科技有限公司于2020年7月14日至7月28日对项目所在地土壤环境质量现状进行了监测。</w:t>
      </w:r>
    </w:p>
    <w:p>
      <w:pPr>
        <w:widowControl w:val="0"/>
        <w:bidi w:val="0"/>
        <w:spacing w:before="20" w:line="360" w:lineRule="auto"/>
        <w:ind w:firstLine="480" w:firstLineChars="200"/>
        <w:jc w:val="both"/>
        <w:rPr>
          <w:rFonts w:hint="default"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（1）监测点位：本项目区域内90%场地采用混凝土浇筑硬化，采样点位具体位置见附图四。S1：</w:t>
      </w:r>
      <w:r>
        <w:rPr>
          <w:rFonts w:hint="eastAsia" w:ascii="宋体" w:hAnsi="宋体" w:eastAsia="宋体" w:cs="宋体"/>
          <w:bCs/>
          <w:color w:val="auto"/>
          <w:kern w:val="2"/>
          <w:sz w:val="24"/>
          <w:szCs w:val="21"/>
          <w:lang w:val="en-US" w:eastAsia="zh-CN" w:bidi="ar-SA"/>
        </w:rPr>
        <w:t>厂区外东侧50m处</w:t>
      </w:r>
      <w:r>
        <w:rPr>
          <w:rFonts w:hint="eastAsia" w:ascii="Times New Roman" w:hAnsi="Times New Roman" w:eastAsia="宋体" w:cs="Times New Roman"/>
          <w:color w:val="auto"/>
          <w:kern w:val="2"/>
          <w:sz w:val="24"/>
          <w:szCs w:val="20"/>
          <w:lang w:val="en-US" w:eastAsia="zh-CN" w:bidi="ar-SA"/>
        </w:rPr>
        <w:t>最近的裸露地表点、S2：</w:t>
      </w:r>
      <w:r>
        <w:rPr>
          <w:rFonts w:hint="eastAsia" w:ascii="宋体" w:hAnsi="宋体" w:eastAsia="宋体" w:cs="宋体"/>
          <w:bCs/>
          <w:color w:val="auto"/>
          <w:kern w:val="2"/>
          <w:sz w:val="24"/>
          <w:szCs w:val="21"/>
          <w:lang w:val="en-US" w:eastAsia="zh-CN" w:bidi="ar-SA"/>
        </w:rPr>
        <w:t>厂区北侧</w:t>
      </w:r>
      <w:r>
        <w:rPr>
          <w:rFonts w:hint="eastAsia" w:ascii="Times New Roman" w:hAnsi="Times New Roman" w:eastAsia="宋体" w:cs="Times New Roman"/>
          <w:color w:val="auto"/>
          <w:kern w:val="2"/>
          <w:sz w:val="24"/>
          <w:szCs w:val="20"/>
          <w:lang w:val="en-US" w:eastAsia="zh-CN" w:bidi="ar-SA"/>
        </w:rPr>
        <w:t>的裸露地表点、S3：</w:t>
      </w:r>
      <w:r>
        <w:rPr>
          <w:rFonts w:hint="eastAsia" w:ascii="宋体" w:hAnsi="宋体" w:eastAsia="宋体" w:cs="宋体"/>
          <w:bCs/>
          <w:color w:val="auto"/>
          <w:kern w:val="2"/>
          <w:sz w:val="24"/>
          <w:szCs w:val="21"/>
          <w:lang w:val="en-US" w:eastAsia="zh-CN" w:bidi="ar-SA"/>
        </w:rPr>
        <w:t>厂区南侧</w:t>
      </w:r>
      <w:r>
        <w:rPr>
          <w:rFonts w:hint="eastAsia" w:ascii="Times New Roman" w:hAnsi="Times New Roman" w:eastAsia="宋体" w:cs="Times New Roman"/>
          <w:color w:val="auto"/>
          <w:kern w:val="2"/>
          <w:sz w:val="24"/>
          <w:szCs w:val="20"/>
          <w:lang w:val="en-US" w:eastAsia="zh-CN" w:bidi="ar-SA"/>
        </w:rPr>
        <w:t>的裸露地表点；S4：</w:t>
      </w:r>
      <w:r>
        <w:rPr>
          <w:rFonts w:hint="eastAsia" w:ascii="宋体" w:hAnsi="宋体" w:eastAsia="宋体" w:cs="宋体"/>
          <w:bCs/>
          <w:color w:val="auto"/>
          <w:kern w:val="2"/>
          <w:sz w:val="24"/>
          <w:szCs w:val="21"/>
          <w:lang w:val="en-US" w:eastAsia="zh-CN" w:bidi="ar-SA"/>
        </w:rPr>
        <w:t>厂区内东侧柱状样；</w:t>
      </w:r>
      <w:r>
        <w:rPr>
          <w:rFonts w:hint="eastAsia" w:ascii="Times New Roman" w:hAnsi="Times New Roman" w:eastAsia="宋体" w:cs="Times New Roman"/>
          <w:color w:val="auto"/>
          <w:kern w:val="2"/>
          <w:sz w:val="24"/>
          <w:szCs w:val="20"/>
          <w:lang w:val="en-US" w:eastAsia="zh-CN" w:bidi="ar-SA"/>
        </w:rPr>
        <w:t>S5：</w:t>
      </w:r>
      <w:r>
        <w:rPr>
          <w:rFonts w:hint="eastAsia" w:ascii="宋体" w:hAnsi="宋体" w:eastAsia="宋体" w:cs="宋体"/>
          <w:bCs/>
          <w:color w:val="auto"/>
          <w:kern w:val="2"/>
          <w:sz w:val="24"/>
          <w:szCs w:val="21"/>
          <w:lang w:val="en-US" w:eastAsia="zh-CN" w:bidi="ar-SA"/>
        </w:rPr>
        <w:t>厂区内中央侧柱状样；</w:t>
      </w:r>
      <w:r>
        <w:rPr>
          <w:rFonts w:hint="eastAsia" w:ascii="Times New Roman" w:hAnsi="Times New Roman" w:eastAsia="宋体" w:cs="Times New Roman"/>
          <w:color w:val="auto"/>
          <w:kern w:val="2"/>
          <w:sz w:val="24"/>
          <w:szCs w:val="20"/>
          <w:lang w:val="en-US" w:eastAsia="zh-CN" w:bidi="ar-SA"/>
        </w:rPr>
        <w:t>S6：</w:t>
      </w:r>
      <w:r>
        <w:rPr>
          <w:rFonts w:hint="eastAsia" w:ascii="宋体" w:hAnsi="宋体" w:eastAsia="宋体" w:cs="宋体"/>
          <w:bCs/>
          <w:color w:val="auto"/>
          <w:kern w:val="2"/>
          <w:sz w:val="24"/>
          <w:szCs w:val="21"/>
          <w:lang w:val="en-US" w:eastAsia="zh-CN" w:bidi="ar-SA"/>
        </w:rPr>
        <w:t>厂区一期设备旁柱状样。</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监测因子（基本型+特征项）：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荧蒽、䓛、二苯并</w:t>
      </w:r>
      <w:r>
        <w:rPr>
          <w:rFonts w:ascii="Times New Roman" w:hAnsi="Times New Roman" w:eastAsia="宋体" w:cs="Times New Roman"/>
          <w:color w:val="auto"/>
          <w:kern w:val="2"/>
          <w:sz w:val="24"/>
          <w:szCs w:val="20"/>
          <w:lang w:val="en-US" w:eastAsia="zh-CN" w:bidi="ar-SA"/>
        </w:rPr>
        <w:t>[a,h]</w:t>
      </w:r>
      <w:r>
        <w:rPr>
          <w:rFonts w:hint="eastAsia" w:ascii="Times New Roman" w:hAnsi="Times New Roman" w:eastAsia="宋体" w:cs="Times New Roman"/>
          <w:color w:val="auto"/>
          <w:kern w:val="2"/>
          <w:sz w:val="24"/>
          <w:szCs w:val="20"/>
          <w:lang w:val="en-US" w:eastAsia="zh-CN" w:bidi="ar-SA"/>
        </w:rPr>
        <w:t>蒽、茚并</w:t>
      </w:r>
      <w:r>
        <w:rPr>
          <w:rFonts w:ascii="Times New Roman" w:hAnsi="Times New Roman" w:eastAsia="宋体" w:cs="Times New Roman"/>
          <w:color w:val="auto"/>
          <w:kern w:val="2"/>
          <w:sz w:val="24"/>
          <w:szCs w:val="20"/>
          <w:lang w:val="en-US" w:eastAsia="zh-CN" w:bidi="ar-SA"/>
        </w:rPr>
        <w:t>[1,2,3-cd]</w:t>
      </w:r>
      <w:r>
        <w:rPr>
          <w:rFonts w:hint="eastAsia" w:ascii="Times New Roman" w:hAnsi="Times New Roman" w:eastAsia="宋体" w:cs="Times New Roman"/>
          <w:color w:val="auto"/>
          <w:kern w:val="2"/>
          <w:sz w:val="24"/>
          <w:szCs w:val="20"/>
          <w:lang w:val="en-US" w:eastAsia="zh-CN" w:bidi="ar-SA"/>
        </w:rPr>
        <w:t>芘、萘、PH、</w:t>
      </w:r>
      <w:r>
        <w:rPr>
          <w:rFonts w:hint="eastAsia" w:ascii="Times New Roman" w:hAnsi="Times New Roman" w:cs="Times New Roman"/>
          <w:color w:val="auto"/>
          <w:kern w:val="2"/>
          <w:sz w:val="24"/>
          <w:szCs w:val="20"/>
          <w:lang w:val="en-US" w:eastAsia="zh-CN" w:bidi="ar-SA"/>
        </w:rPr>
        <w:t>石油烃</w:t>
      </w:r>
      <w:r>
        <w:rPr>
          <w:rFonts w:hint="eastAsia" w:ascii="Times New Roman" w:hAnsi="Times New Roman" w:eastAsia="宋体" w:cs="Times New Roman"/>
          <w:color w:val="auto"/>
          <w:kern w:val="2"/>
          <w:sz w:val="24"/>
          <w:szCs w:val="20"/>
          <w:lang w:val="en-US" w:eastAsia="zh-CN" w:bidi="ar-SA"/>
        </w:rPr>
        <w:t>、VOCs、</w:t>
      </w:r>
      <w:r>
        <w:rPr>
          <w:rFonts w:hint="eastAsia" w:ascii="Times New Roman" w:hAnsi="Times New Roman" w:cs="Times New Roman"/>
          <w:color w:val="auto"/>
          <w:kern w:val="2"/>
          <w:sz w:val="24"/>
          <w:szCs w:val="20"/>
          <w:lang w:val="en-US" w:eastAsia="zh-CN" w:bidi="ar-SA"/>
        </w:rPr>
        <w:t>48</w:t>
      </w:r>
      <w:r>
        <w:rPr>
          <w:rFonts w:hint="eastAsia" w:ascii="Times New Roman" w:hAnsi="Times New Roman" w:eastAsia="宋体" w:cs="Times New Roman"/>
          <w:color w:val="auto"/>
          <w:kern w:val="2"/>
          <w:sz w:val="24"/>
          <w:szCs w:val="20"/>
          <w:lang w:val="en-US" w:eastAsia="zh-CN" w:bidi="ar-SA"/>
        </w:rPr>
        <w:t>项。</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（3）监测频次：采样一次</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（4）监测结果：见表6.7-1。</w:t>
      </w:r>
    </w:p>
    <w:p>
      <w:pPr>
        <w:widowControl w:val="0"/>
        <w:bidi w:val="0"/>
        <w:spacing w:line="360" w:lineRule="auto"/>
        <w:jc w:val="center"/>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表6.7-1  土壤监测结果一览表</w:t>
      </w:r>
    </w:p>
    <w:tbl>
      <w:tblPr>
        <w:tblStyle w:val="27"/>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018"/>
        <w:gridCol w:w="750"/>
        <w:gridCol w:w="1904"/>
        <w:gridCol w:w="918"/>
        <w:gridCol w:w="962"/>
        <w:gridCol w:w="21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3" w:hRule="atLeast"/>
          <w:jc w:val="center"/>
        </w:trPr>
        <w:tc>
          <w:tcPr>
            <w:tcW w:w="70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采样点位</w:t>
            </w:r>
          </w:p>
        </w:tc>
        <w:tc>
          <w:tcPr>
            <w:tcW w:w="57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采样层</w:t>
            </w:r>
          </w:p>
        </w:tc>
        <w:tc>
          <w:tcPr>
            <w:tcW w:w="42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样品状态</w:t>
            </w: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检测项目</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单位</w:t>
            </w:r>
          </w:p>
        </w:tc>
        <w:tc>
          <w:tcPr>
            <w:tcW w:w="545"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检测结果</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Calibri" w:hAnsi="Calibri" w:eastAsia="宋体"/>
                <w:color w:val="auto"/>
              </w:rPr>
            </w:pPr>
            <w:r>
              <w:rPr>
                <w:rFonts w:hint="eastAsia" w:ascii="Calibri" w:hAnsi="Calibri" w:eastAsia="宋体"/>
                <w:color w:val="auto"/>
                <w:lang w:val="en-US" w:eastAsia="zh-CN"/>
              </w:rPr>
              <w:t>参考限值</w:t>
            </w:r>
          </w:p>
          <w:p>
            <w:pPr>
              <w:widowControl w:val="0"/>
              <w:jc w:val="both"/>
              <w:rPr>
                <w:rFonts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kern w:val="2"/>
                <w:sz w:val="24"/>
                <w:szCs w:val="20"/>
                <w:lang w:val="en-US" w:eastAsia="zh-CN" w:bidi="ar-SA"/>
              </w:rPr>
              <w:t>《土壤环境质量建设用地土壤污染风险管控标准》（GB36600-2018）表1中第二类用地的风险筛选值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宋体" w:hAnsi="宋体" w:eastAsia="宋体" w:cs="宋体"/>
                <w:bCs/>
                <w:color w:val="auto"/>
                <w:kern w:val="2"/>
                <w:sz w:val="21"/>
                <w:szCs w:val="21"/>
                <w:lang w:val="en-US" w:eastAsia="zh-CN" w:bidi="ar-SA"/>
              </w:rPr>
              <w:t>厂区外东侧50m处</w:t>
            </w:r>
            <w:r>
              <w:rPr>
                <w:rFonts w:hint="eastAsia" w:ascii="Times New Roman" w:hAnsi="Times New Roman" w:eastAsia="宋体" w:cs="Times New Roman"/>
                <w:color w:val="auto"/>
                <w:kern w:val="2"/>
                <w:sz w:val="21"/>
                <w:szCs w:val="20"/>
                <w:lang w:val="en-US" w:eastAsia="zh-CN" w:bidi="ar-SA"/>
              </w:rPr>
              <w:t>的裸露地表点■S1</w:t>
            </w:r>
          </w:p>
        </w:tc>
        <w:tc>
          <w:tcPr>
            <w:tcW w:w="5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0-0.</w:t>
            </w:r>
            <w:r>
              <w:rPr>
                <w:rFonts w:hint="eastAsia" w:ascii="Times New Roman" w:hAnsi="Times New Roman" w:eastAsia="宋体" w:cs="Times New Roman"/>
                <w:color w:val="auto"/>
                <w:kern w:val="2"/>
                <w:sz w:val="21"/>
                <w:szCs w:val="20"/>
                <w:lang w:val="en-US" w:eastAsia="zh-CN" w:bidi="ar-SA"/>
              </w:rPr>
              <w:t>2</w:t>
            </w:r>
            <w:r>
              <w:rPr>
                <w:rFonts w:ascii="Times New Roman" w:hAnsi="Times New Roman" w:eastAsia="宋体" w:cs="Times New Roman"/>
                <w:color w:val="auto"/>
                <w:kern w:val="2"/>
                <w:sz w:val="21"/>
                <w:szCs w:val="20"/>
                <w:lang w:val="en-US" w:eastAsia="zh-CN" w:bidi="ar-SA"/>
              </w:rPr>
              <w:t>m</w:t>
            </w:r>
          </w:p>
        </w:tc>
        <w:tc>
          <w:tcPr>
            <w:tcW w:w="428"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黄色</w:t>
            </w: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234.9</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镉</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0.07(L)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六价铬</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铜</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34.6</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铅</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汞</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0.108</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镍</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氯甲烷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氯仿</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四氯化碳</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1,1-二氯乙烷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1,1-二氯乙烯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顺-1,2-二氯乙烯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反-1,2-二氯乙烯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二氯甲烷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1,1,1,2-四氯乙烷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1,1,2,2-四氯乙烷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四氯乙烯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1,1,1-三氯乙烷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1,1,2-三氯乙烷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三氯乙烯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1,2,3-三氯丙烷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1,4-二氯苯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乙苯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甲苯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间二甲苯</w:t>
            </w:r>
            <w:r>
              <w:rPr>
                <w:rFonts w:hint="eastAsia" w:ascii="Times New Roman" w:hAnsi="Times New Roman" w:eastAsia="宋体" w:cs="Times New Roman"/>
                <w:color w:val="auto"/>
                <w:kern w:val="2"/>
                <w:sz w:val="21"/>
                <w:szCs w:val="20"/>
                <w:lang w:val="en-US" w:eastAsia="zh-CN" w:bidi="ar-SA"/>
              </w:rPr>
              <w:t>+</w:t>
            </w:r>
            <w:r>
              <w:rPr>
                <w:rFonts w:ascii="Times New Roman" w:hAnsi="Times New Roman" w:eastAsia="宋体" w:cs="Times New Roman"/>
                <w:color w:val="auto"/>
                <w:kern w:val="2"/>
                <w:sz w:val="21"/>
                <w:szCs w:val="20"/>
                <w:lang w:val="en-US" w:eastAsia="zh-CN" w:bidi="ar-SA"/>
              </w:rPr>
              <w:t>对二甲苯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邻二甲苯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硝基苯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苯胺</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2-氯酚</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苯并[a]蒽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苯并[a]芘</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苯并[b]荧蒽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苯并[k]荧蒽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䓛</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二苯并[a，h]蒽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茚并[1,2,3-cd]芘</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石油烃</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萘</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宋体" w:hAnsi="宋体" w:eastAsia="宋体" w:cs="宋体"/>
                <w:bCs/>
                <w:color w:val="auto"/>
                <w:kern w:val="2"/>
                <w:sz w:val="21"/>
                <w:szCs w:val="21"/>
                <w:lang w:val="en-US" w:eastAsia="zh-CN" w:bidi="ar-SA"/>
              </w:rPr>
              <w:t>厂区北侧</w:t>
            </w:r>
            <w:r>
              <w:rPr>
                <w:rFonts w:hint="eastAsia" w:ascii="Times New Roman" w:hAnsi="Times New Roman" w:eastAsia="宋体" w:cs="Times New Roman"/>
                <w:color w:val="auto"/>
                <w:kern w:val="2"/>
                <w:sz w:val="21"/>
                <w:szCs w:val="20"/>
                <w:lang w:val="en-US" w:eastAsia="zh-CN" w:bidi="ar-SA"/>
              </w:rPr>
              <w:t>的裸露地表点■S2</w:t>
            </w:r>
          </w:p>
        </w:tc>
        <w:tc>
          <w:tcPr>
            <w:tcW w:w="5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0-0.</w:t>
            </w:r>
            <w:r>
              <w:rPr>
                <w:rFonts w:hint="eastAsia" w:ascii="Times New Roman" w:hAnsi="Times New Roman" w:eastAsia="宋体" w:cs="Times New Roman"/>
                <w:color w:val="auto"/>
                <w:kern w:val="2"/>
                <w:sz w:val="21"/>
                <w:szCs w:val="20"/>
                <w:lang w:val="en-US" w:eastAsia="zh-CN" w:bidi="ar-SA"/>
              </w:rPr>
              <w:t>2</w:t>
            </w:r>
            <w:r>
              <w:rPr>
                <w:rFonts w:ascii="Times New Roman" w:hAnsi="Times New Roman" w:eastAsia="宋体" w:cs="Times New Roman"/>
                <w:color w:val="auto"/>
                <w:kern w:val="2"/>
                <w:sz w:val="21"/>
                <w:szCs w:val="20"/>
                <w:lang w:val="en-US" w:eastAsia="zh-CN" w:bidi="ar-SA"/>
              </w:rPr>
              <w:t>m</w:t>
            </w:r>
          </w:p>
        </w:tc>
        <w:tc>
          <w:tcPr>
            <w:tcW w:w="428"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棕黄色</w:t>
            </w: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PH</w:t>
            </w:r>
          </w:p>
        </w:tc>
        <w:tc>
          <w:tcPr>
            <w:tcW w:w="52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无量纲</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6.1</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石油烃</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宋体" w:hAnsi="宋体" w:eastAsia="宋体" w:cs="宋体"/>
                <w:bCs/>
                <w:color w:val="auto"/>
                <w:kern w:val="2"/>
                <w:sz w:val="21"/>
                <w:szCs w:val="21"/>
                <w:lang w:val="en-US" w:eastAsia="zh-CN" w:bidi="ar-SA"/>
              </w:rPr>
              <w:t>厂区南侧</w:t>
            </w:r>
            <w:r>
              <w:rPr>
                <w:rFonts w:hint="eastAsia" w:ascii="Times New Roman" w:hAnsi="Times New Roman" w:eastAsia="宋体" w:cs="Times New Roman"/>
                <w:color w:val="auto"/>
                <w:kern w:val="2"/>
                <w:sz w:val="21"/>
                <w:szCs w:val="20"/>
                <w:lang w:val="en-US" w:eastAsia="zh-CN" w:bidi="ar-SA"/>
              </w:rPr>
              <w:t>的裸露地表点■S3</w:t>
            </w:r>
          </w:p>
        </w:tc>
        <w:tc>
          <w:tcPr>
            <w:tcW w:w="5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0-0.</w:t>
            </w:r>
            <w:r>
              <w:rPr>
                <w:rFonts w:hint="eastAsia" w:ascii="Times New Roman" w:hAnsi="Times New Roman" w:eastAsia="宋体" w:cs="Times New Roman"/>
                <w:color w:val="auto"/>
                <w:kern w:val="2"/>
                <w:sz w:val="21"/>
                <w:szCs w:val="20"/>
                <w:lang w:val="en-US" w:eastAsia="zh-CN" w:bidi="ar-SA"/>
              </w:rPr>
              <w:t>2</w:t>
            </w:r>
            <w:r>
              <w:rPr>
                <w:rFonts w:ascii="Times New Roman" w:hAnsi="Times New Roman" w:eastAsia="宋体" w:cs="Times New Roman"/>
                <w:color w:val="auto"/>
                <w:kern w:val="2"/>
                <w:sz w:val="21"/>
                <w:szCs w:val="20"/>
                <w:lang w:val="en-US" w:eastAsia="zh-CN" w:bidi="ar-SA"/>
              </w:rPr>
              <w:t>m</w:t>
            </w:r>
          </w:p>
        </w:tc>
        <w:tc>
          <w:tcPr>
            <w:tcW w:w="428"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棕黄色</w:t>
            </w: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PH</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无量纲</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5.84</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石油烃</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宋体" w:hAnsi="宋体" w:eastAsia="宋体" w:cs="宋体"/>
                <w:bCs/>
                <w:color w:val="auto"/>
                <w:kern w:val="2"/>
                <w:sz w:val="21"/>
                <w:szCs w:val="21"/>
                <w:lang w:val="en-US" w:eastAsia="zh-CN" w:bidi="ar-SA"/>
              </w:rPr>
              <w:t>厂区东侧</w:t>
            </w:r>
            <w:r>
              <w:rPr>
                <w:rFonts w:hint="eastAsia" w:ascii="Times New Roman" w:hAnsi="Times New Roman" w:eastAsia="宋体" w:cs="Times New Roman"/>
                <w:color w:val="auto"/>
                <w:kern w:val="2"/>
                <w:sz w:val="21"/>
                <w:szCs w:val="20"/>
                <w:lang w:val="en-US" w:eastAsia="zh-CN" w:bidi="ar-SA"/>
              </w:rPr>
              <w:t>的柱状样■S4</w:t>
            </w:r>
          </w:p>
        </w:tc>
        <w:tc>
          <w:tcPr>
            <w:tcW w:w="5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0-0.</w:t>
            </w:r>
            <w:r>
              <w:rPr>
                <w:rFonts w:hint="eastAsia" w:ascii="Times New Roman" w:hAnsi="Times New Roman" w:eastAsia="宋体" w:cs="Times New Roman"/>
                <w:color w:val="auto"/>
                <w:kern w:val="2"/>
                <w:sz w:val="21"/>
                <w:szCs w:val="20"/>
                <w:lang w:val="en-US" w:eastAsia="zh-CN" w:bidi="ar-SA"/>
              </w:rPr>
              <w:t>5</w:t>
            </w:r>
            <w:r>
              <w:rPr>
                <w:rFonts w:ascii="Times New Roman" w:hAnsi="Times New Roman" w:eastAsia="宋体" w:cs="Times New Roman"/>
                <w:color w:val="auto"/>
                <w:kern w:val="2"/>
                <w:sz w:val="21"/>
                <w:szCs w:val="20"/>
                <w:lang w:val="en-US" w:eastAsia="zh-CN" w:bidi="ar-SA"/>
              </w:rPr>
              <w:t>m</w:t>
            </w:r>
          </w:p>
        </w:tc>
        <w:tc>
          <w:tcPr>
            <w:tcW w:w="428"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灰暗色</w:t>
            </w: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PH</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无量纲</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7.70</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石油烃</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w:t>
            </w:r>
            <w:r>
              <w:rPr>
                <w:rFonts w:hint="eastAsia" w:ascii="Times New Roman" w:hAnsi="Times New Roman" w:eastAsia="宋体" w:cs="Times New Roman"/>
                <w:color w:val="auto"/>
                <w:kern w:val="2"/>
                <w:sz w:val="21"/>
                <w:szCs w:val="20"/>
                <w:lang w:val="en-US" w:eastAsia="zh-CN" w:bidi="ar-SA"/>
              </w:rPr>
              <w:t>.5</w:t>
            </w:r>
            <w:r>
              <w:rPr>
                <w:rFonts w:ascii="Times New Roman" w:hAnsi="Times New Roman" w:eastAsia="宋体" w:cs="Times New Roman"/>
                <w:color w:val="auto"/>
                <w:kern w:val="2"/>
                <w:sz w:val="21"/>
                <w:szCs w:val="20"/>
                <w:lang w:val="en-US" w:eastAsia="zh-CN" w:bidi="ar-SA"/>
              </w:rPr>
              <w:t>-</w:t>
            </w:r>
            <w:r>
              <w:rPr>
                <w:rFonts w:hint="eastAsia" w:ascii="Times New Roman" w:hAnsi="Times New Roman" w:eastAsia="宋体" w:cs="Times New Roman"/>
                <w:color w:val="auto"/>
                <w:kern w:val="2"/>
                <w:sz w:val="21"/>
                <w:szCs w:val="20"/>
                <w:lang w:val="en-US" w:eastAsia="zh-CN" w:bidi="ar-SA"/>
              </w:rPr>
              <w:t>1</w:t>
            </w:r>
            <w:r>
              <w:rPr>
                <w:rFonts w:ascii="Times New Roman" w:hAnsi="Times New Roman" w:eastAsia="宋体" w:cs="Times New Roman"/>
                <w:color w:val="auto"/>
                <w:kern w:val="2"/>
                <w:sz w:val="21"/>
                <w:szCs w:val="20"/>
                <w:lang w:val="en-US" w:eastAsia="zh-CN" w:bidi="ar-SA"/>
              </w:rPr>
              <w:t>.</w:t>
            </w:r>
            <w:r>
              <w:rPr>
                <w:rFonts w:hint="eastAsia" w:ascii="Times New Roman" w:hAnsi="Times New Roman" w:eastAsia="宋体" w:cs="Times New Roman"/>
                <w:color w:val="auto"/>
                <w:kern w:val="2"/>
                <w:sz w:val="21"/>
                <w:szCs w:val="20"/>
                <w:lang w:val="en-US" w:eastAsia="zh-CN" w:bidi="ar-SA"/>
              </w:rPr>
              <w:t>5</w:t>
            </w:r>
            <w:r>
              <w:rPr>
                <w:rFonts w:ascii="Times New Roman" w:hAnsi="Times New Roman" w:eastAsia="宋体" w:cs="Times New Roman"/>
                <w:color w:val="auto"/>
                <w:kern w:val="2"/>
                <w:sz w:val="21"/>
                <w:szCs w:val="20"/>
                <w:lang w:val="en-US" w:eastAsia="zh-CN" w:bidi="ar-SA"/>
              </w:rPr>
              <w:t>m</w:t>
            </w:r>
          </w:p>
        </w:tc>
        <w:tc>
          <w:tcPr>
            <w:tcW w:w="428"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淡灰色</w:t>
            </w: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PH</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无量纲</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7.71</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石油烃</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r>
              <w:rPr>
                <w:rFonts w:ascii="Times New Roman" w:hAnsi="Times New Roman" w:eastAsia="宋体" w:cs="Times New Roman"/>
                <w:color w:val="auto"/>
                <w:kern w:val="2"/>
                <w:sz w:val="21"/>
                <w:szCs w:val="20"/>
                <w:lang w:val="en-US" w:eastAsia="zh-CN" w:bidi="ar-SA"/>
              </w:rPr>
              <w:t>-</w:t>
            </w:r>
            <w:r>
              <w:rPr>
                <w:rFonts w:hint="eastAsia" w:ascii="Times New Roman" w:hAnsi="Times New Roman" w:eastAsia="宋体" w:cs="Times New Roman"/>
                <w:color w:val="auto"/>
                <w:kern w:val="2"/>
                <w:sz w:val="21"/>
                <w:szCs w:val="20"/>
                <w:lang w:val="en-US" w:eastAsia="zh-CN" w:bidi="ar-SA"/>
              </w:rPr>
              <w:t>3</w:t>
            </w:r>
            <w:r>
              <w:rPr>
                <w:rFonts w:ascii="Times New Roman" w:hAnsi="Times New Roman" w:eastAsia="宋体" w:cs="Times New Roman"/>
                <w:color w:val="auto"/>
                <w:kern w:val="2"/>
                <w:sz w:val="21"/>
                <w:szCs w:val="20"/>
                <w:lang w:val="en-US" w:eastAsia="zh-CN" w:bidi="ar-SA"/>
              </w:rPr>
              <w:t>m</w:t>
            </w:r>
          </w:p>
        </w:tc>
        <w:tc>
          <w:tcPr>
            <w:tcW w:w="428"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黄棕色</w:t>
            </w: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PH</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无量纲</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7.73</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石油烃</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宋体" w:hAnsi="宋体" w:eastAsia="宋体" w:cs="宋体"/>
                <w:bCs/>
                <w:color w:val="auto"/>
                <w:kern w:val="2"/>
                <w:sz w:val="21"/>
                <w:szCs w:val="21"/>
                <w:lang w:val="en-US" w:eastAsia="zh-CN" w:bidi="ar-SA"/>
              </w:rPr>
              <w:t>厂区内</w:t>
            </w:r>
            <w:r>
              <w:rPr>
                <w:rFonts w:hint="eastAsia" w:ascii="Times New Roman" w:hAnsi="Times New Roman" w:eastAsia="宋体" w:cs="Times New Roman"/>
                <w:color w:val="auto"/>
                <w:kern w:val="2"/>
                <w:sz w:val="21"/>
                <w:szCs w:val="20"/>
                <w:lang w:val="en-US" w:eastAsia="zh-CN" w:bidi="ar-SA"/>
              </w:rPr>
              <w:t>的柱状样■S5</w:t>
            </w:r>
          </w:p>
        </w:tc>
        <w:tc>
          <w:tcPr>
            <w:tcW w:w="5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0-0.</w:t>
            </w:r>
            <w:r>
              <w:rPr>
                <w:rFonts w:hint="eastAsia" w:ascii="Times New Roman" w:hAnsi="Times New Roman" w:eastAsia="宋体" w:cs="Times New Roman"/>
                <w:color w:val="auto"/>
                <w:kern w:val="2"/>
                <w:sz w:val="21"/>
                <w:szCs w:val="20"/>
                <w:lang w:val="en-US" w:eastAsia="zh-CN" w:bidi="ar-SA"/>
              </w:rPr>
              <w:t>5</w:t>
            </w:r>
            <w:r>
              <w:rPr>
                <w:rFonts w:ascii="Times New Roman" w:hAnsi="Times New Roman" w:eastAsia="宋体" w:cs="Times New Roman"/>
                <w:color w:val="auto"/>
                <w:kern w:val="2"/>
                <w:sz w:val="21"/>
                <w:szCs w:val="20"/>
                <w:lang w:val="en-US" w:eastAsia="zh-CN" w:bidi="ar-SA"/>
              </w:rPr>
              <w:t>m</w:t>
            </w:r>
          </w:p>
        </w:tc>
        <w:tc>
          <w:tcPr>
            <w:tcW w:w="428"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黄棕色</w:t>
            </w: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PH</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无量纲</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7.30</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石油烃</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w:t>
            </w:r>
            <w:r>
              <w:rPr>
                <w:rFonts w:hint="eastAsia" w:ascii="Times New Roman" w:hAnsi="Times New Roman" w:eastAsia="宋体" w:cs="Times New Roman"/>
                <w:color w:val="auto"/>
                <w:kern w:val="2"/>
                <w:sz w:val="21"/>
                <w:szCs w:val="20"/>
                <w:lang w:val="en-US" w:eastAsia="zh-CN" w:bidi="ar-SA"/>
              </w:rPr>
              <w:t>.5</w:t>
            </w:r>
            <w:r>
              <w:rPr>
                <w:rFonts w:ascii="Times New Roman" w:hAnsi="Times New Roman" w:eastAsia="宋体" w:cs="Times New Roman"/>
                <w:color w:val="auto"/>
                <w:kern w:val="2"/>
                <w:sz w:val="21"/>
                <w:szCs w:val="20"/>
                <w:lang w:val="en-US" w:eastAsia="zh-CN" w:bidi="ar-SA"/>
              </w:rPr>
              <w:t>-</w:t>
            </w:r>
            <w:r>
              <w:rPr>
                <w:rFonts w:hint="eastAsia" w:ascii="Times New Roman" w:hAnsi="Times New Roman" w:eastAsia="宋体" w:cs="Times New Roman"/>
                <w:color w:val="auto"/>
                <w:kern w:val="2"/>
                <w:sz w:val="21"/>
                <w:szCs w:val="20"/>
                <w:lang w:val="en-US" w:eastAsia="zh-CN" w:bidi="ar-SA"/>
              </w:rPr>
              <w:t>1</w:t>
            </w:r>
            <w:r>
              <w:rPr>
                <w:rFonts w:ascii="Times New Roman" w:hAnsi="Times New Roman" w:eastAsia="宋体" w:cs="Times New Roman"/>
                <w:color w:val="auto"/>
                <w:kern w:val="2"/>
                <w:sz w:val="21"/>
                <w:szCs w:val="20"/>
                <w:lang w:val="en-US" w:eastAsia="zh-CN" w:bidi="ar-SA"/>
              </w:rPr>
              <w:t>.</w:t>
            </w:r>
            <w:r>
              <w:rPr>
                <w:rFonts w:hint="eastAsia" w:ascii="Times New Roman" w:hAnsi="Times New Roman" w:eastAsia="宋体" w:cs="Times New Roman"/>
                <w:color w:val="auto"/>
                <w:kern w:val="2"/>
                <w:sz w:val="21"/>
                <w:szCs w:val="20"/>
                <w:lang w:val="en-US" w:eastAsia="zh-CN" w:bidi="ar-SA"/>
              </w:rPr>
              <w:t>5</w:t>
            </w:r>
            <w:r>
              <w:rPr>
                <w:rFonts w:ascii="Times New Roman" w:hAnsi="Times New Roman" w:eastAsia="宋体" w:cs="Times New Roman"/>
                <w:color w:val="auto"/>
                <w:kern w:val="2"/>
                <w:sz w:val="21"/>
                <w:szCs w:val="20"/>
                <w:lang w:val="en-US" w:eastAsia="zh-CN" w:bidi="ar-SA"/>
              </w:rPr>
              <w:t>m</w:t>
            </w:r>
          </w:p>
        </w:tc>
        <w:tc>
          <w:tcPr>
            <w:tcW w:w="428"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黄棕色</w:t>
            </w: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PH</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无量纲</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7.28</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石油烃</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r>
              <w:rPr>
                <w:rFonts w:ascii="Times New Roman" w:hAnsi="Times New Roman" w:eastAsia="宋体" w:cs="Times New Roman"/>
                <w:color w:val="auto"/>
                <w:kern w:val="2"/>
                <w:sz w:val="21"/>
                <w:szCs w:val="20"/>
                <w:lang w:val="en-US" w:eastAsia="zh-CN" w:bidi="ar-SA"/>
              </w:rPr>
              <w:t>-</w:t>
            </w:r>
            <w:r>
              <w:rPr>
                <w:rFonts w:hint="eastAsia" w:ascii="Times New Roman" w:hAnsi="Times New Roman" w:eastAsia="宋体" w:cs="Times New Roman"/>
                <w:color w:val="auto"/>
                <w:kern w:val="2"/>
                <w:sz w:val="21"/>
                <w:szCs w:val="20"/>
                <w:lang w:val="en-US" w:eastAsia="zh-CN" w:bidi="ar-SA"/>
              </w:rPr>
              <w:t>3</w:t>
            </w:r>
            <w:r>
              <w:rPr>
                <w:rFonts w:ascii="Times New Roman" w:hAnsi="Times New Roman" w:eastAsia="宋体" w:cs="Times New Roman"/>
                <w:color w:val="auto"/>
                <w:kern w:val="2"/>
                <w:sz w:val="21"/>
                <w:szCs w:val="20"/>
                <w:lang w:val="en-US" w:eastAsia="zh-CN" w:bidi="ar-SA"/>
              </w:rPr>
              <w:t>m</w:t>
            </w:r>
          </w:p>
        </w:tc>
        <w:tc>
          <w:tcPr>
            <w:tcW w:w="428"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黄棕色</w:t>
            </w: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PH</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无量纲</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7.40</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石油烃</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厂区一期生产装置旁的柱状样■S6</w:t>
            </w:r>
          </w:p>
        </w:tc>
        <w:tc>
          <w:tcPr>
            <w:tcW w:w="5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0-0.5cm</w:t>
            </w:r>
          </w:p>
        </w:tc>
        <w:tc>
          <w:tcPr>
            <w:tcW w:w="428"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灰暗色</w:t>
            </w: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214.8</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PH</w:t>
            </w:r>
          </w:p>
        </w:tc>
        <w:tc>
          <w:tcPr>
            <w:tcW w:w="52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无量纲</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7.73</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镉</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0.07（L）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六价铬</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铜</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24.2</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铅</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汞</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0.168</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镍</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氯甲烷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氯仿</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四氯化碳</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1,1-二氯乙烷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1,1-二氯乙烯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顺-1,2-二氯乙烯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反-1,2-二氯乙烯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二氯甲烷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1,1,1,2-四氯乙烷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1,1,2,2-四氯乙烷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四氯乙烯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1,1,1-三氯乙烷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1,1,2-三氯乙烷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三氯乙烯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1,2,3-三氯丙烷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1,4-二氯苯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乙苯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甲苯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间二甲苯</w:t>
            </w:r>
            <w:r>
              <w:rPr>
                <w:rFonts w:hint="eastAsia" w:ascii="Times New Roman" w:hAnsi="Times New Roman" w:eastAsia="宋体" w:cs="Times New Roman"/>
                <w:color w:val="auto"/>
                <w:kern w:val="2"/>
                <w:sz w:val="21"/>
                <w:szCs w:val="20"/>
                <w:lang w:val="en-US" w:eastAsia="zh-CN" w:bidi="ar-SA"/>
              </w:rPr>
              <w:t>+对二甲苯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邻二甲苯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硝基苯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苯胺</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2-氯酚</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苯并[a]蒽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苯并[a]芘</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苯并[b]荧蒽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苯并[k]荧蒽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䓛</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二苯并[a，h]蒽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茚并[1,2,3-cd]芘</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石油烃</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萘</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p>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厂区一期生产装置旁的柱状样■S6</w:t>
            </w:r>
          </w:p>
        </w:tc>
        <w:tc>
          <w:tcPr>
            <w:tcW w:w="5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w:t>
            </w:r>
            <w:r>
              <w:rPr>
                <w:rFonts w:hint="eastAsia" w:ascii="Times New Roman" w:hAnsi="Times New Roman" w:eastAsia="宋体" w:cs="Times New Roman"/>
                <w:color w:val="auto"/>
                <w:kern w:val="2"/>
                <w:sz w:val="21"/>
                <w:szCs w:val="20"/>
                <w:lang w:val="en-US" w:eastAsia="zh-CN" w:bidi="ar-SA"/>
              </w:rPr>
              <w:t>.5</w:t>
            </w:r>
            <w:r>
              <w:rPr>
                <w:rFonts w:ascii="Times New Roman" w:hAnsi="Times New Roman" w:eastAsia="宋体" w:cs="Times New Roman"/>
                <w:color w:val="auto"/>
                <w:kern w:val="2"/>
                <w:sz w:val="21"/>
                <w:szCs w:val="20"/>
                <w:lang w:val="en-US" w:eastAsia="zh-CN" w:bidi="ar-SA"/>
              </w:rPr>
              <w:t>-</w:t>
            </w:r>
            <w:r>
              <w:rPr>
                <w:rFonts w:hint="eastAsia" w:ascii="Times New Roman" w:hAnsi="Times New Roman" w:eastAsia="宋体" w:cs="Times New Roman"/>
                <w:color w:val="auto"/>
                <w:kern w:val="2"/>
                <w:sz w:val="21"/>
                <w:szCs w:val="20"/>
                <w:lang w:val="en-US" w:eastAsia="zh-CN" w:bidi="ar-SA"/>
              </w:rPr>
              <w:t>1</w:t>
            </w:r>
            <w:r>
              <w:rPr>
                <w:rFonts w:ascii="Times New Roman" w:hAnsi="Times New Roman" w:eastAsia="宋体" w:cs="Times New Roman"/>
                <w:color w:val="auto"/>
                <w:kern w:val="2"/>
                <w:sz w:val="21"/>
                <w:szCs w:val="20"/>
                <w:lang w:val="en-US" w:eastAsia="zh-CN" w:bidi="ar-SA"/>
              </w:rPr>
              <w:t>.5m</w:t>
            </w:r>
          </w:p>
        </w:tc>
        <w:tc>
          <w:tcPr>
            <w:tcW w:w="428"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p>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黄棕色</w:t>
            </w: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91.85</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PH</w:t>
            </w:r>
          </w:p>
        </w:tc>
        <w:tc>
          <w:tcPr>
            <w:tcW w:w="52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无量纲</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5.03</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镉</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0.07（L）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六价铬</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铜</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16.2</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铅</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汞</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0.026</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镍</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氯甲烷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氯仿</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四氯化碳</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1,1-二氯乙烷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1,1-二氯乙烯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顺-1,2-二氯乙烯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反-1,2-二氯乙烯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二氯甲烷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1,1,1,2-四氯乙烷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1,1,2,2-四氯乙烷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四氯乙烯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1,1,1-三氯乙烷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1,1,2-三氯乙烷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三氯乙烯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1,2,3-三氯丙烷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1,4-二氯苯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乙苯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甲苯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间二甲苯</w:t>
            </w:r>
            <w:r>
              <w:rPr>
                <w:rFonts w:hint="eastAsia" w:ascii="Times New Roman" w:hAnsi="Times New Roman" w:eastAsia="宋体" w:cs="Times New Roman"/>
                <w:color w:val="auto"/>
                <w:kern w:val="2"/>
                <w:sz w:val="21"/>
                <w:szCs w:val="20"/>
                <w:lang w:val="en-US" w:eastAsia="zh-CN" w:bidi="ar-SA"/>
              </w:rPr>
              <w:t>+对二甲苯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邻二甲苯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硝基苯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苯胺</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2-氯酚</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苯并[a]蒽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苯并[a]芘</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苯并[b]荧蒽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苯并[k]荧蒽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䓛</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二苯并[a，h]蒽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茚并[1,2,3-cd]芘</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石油烃</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萘</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厂区一期生产装置旁的柱状样■S6</w:t>
            </w:r>
          </w:p>
        </w:tc>
        <w:tc>
          <w:tcPr>
            <w:tcW w:w="5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0</w:t>
            </w:r>
            <w:r>
              <w:rPr>
                <w:rFonts w:hint="eastAsia" w:ascii="Times New Roman" w:hAnsi="Times New Roman" w:eastAsia="宋体" w:cs="Times New Roman"/>
                <w:color w:val="auto"/>
                <w:kern w:val="2"/>
                <w:sz w:val="21"/>
                <w:szCs w:val="20"/>
                <w:lang w:val="en-US" w:eastAsia="zh-CN" w:bidi="ar-SA"/>
              </w:rPr>
              <w:t>.5</w:t>
            </w:r>
            <w:r>
              <w:rPr>
                <w:rFonts w:ascii="Times New Roman" w:hAnsi="Times New Roman" w:eastAsia="宋体" w:cs="Times New Roman"/>
                <w:color w:val="auto"/>
                <w:kern w:val="2"/>
                <w:sz w:val="21"/>
                <w:szCs w:val="20"/>
                <w:lang w:val="en-US" w:eastAsia="zh-CN" w:bidi="ar-SA"/>
              </w:rPr>
              <w:t>-</w:t>
            </w:r>
            <w:r>
              <w:rPr>
                <w:rFonts w:hint="eastAsia" w:ascii="Times New Roman" w:hAnsi="Times New Roman" w:eastAsia="宋体" w:cs="Times New Roman"/>
                <w:color w:val="auto"/>
                <w:kern w:val="2"/>
                <w:sz w:val="21"/>
                <w:szCs w:val="20"/>
                <w:lang w:val="en-US" w:eastAsia="zh-CN" w:bidi="ar-SA"/>
              </w:rPr>
              <w:t>1</w:t>
            </w:r>
            <w:r>
              <w:rPr>
                <w:rFonts w:ascii="Times New Roman" w:hAnsi="Times New Roman" w:eastAsia="宋体" w:cs="Times New Roman"/>
                <w:color w:val="auto"/>
                <w:kern w:val="2"/>
                <w:sz w:val="21"/>
                <w:szCs w:val="20"/>
                <w:lang w:val="en-US" w:eastAsia="zh-CN" w:bidi="ar-SA"/>
              </w:rPr>
              <w:t>.5m</w:t>
            </w:r>
          </w:p>
        </w:tc>
        <w:tc>
          <w:tcPr>
            <w:tcW w:w="428"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黄棕色</w:t>
            </w: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188.4</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PH</w:t>
            </w:r>
          </w:p>
        </w:tc>
        <w:tc>
          <w:tcPr>
            <w:tcW w:w="52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无量纲</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4.78</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2"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镉</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0.07（L）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六价铬</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铜</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27.4</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铅</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汞</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0.002（L）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镍</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2.0(L)</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氯甲烷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氯仿</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四氯化碳</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1,1-二氯乙烷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1,1-二氯乙烯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顺-1,2-二氯乙烯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反-1,2-二氯乙烯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二氯甲烷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1,1,1,2-四氯乙烷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1,1,2,2-四氯乙烷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四氯乙烯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1,1,1-三氯乙烷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1,1,2-三氯乙烷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三氯乙烯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1,2,3-三氯丙烷</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氯苯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1,2-二氯苯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1,4-二氯苯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乙苯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苯乙烯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甲苯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间二甲苯</w:t>
            </w:r>
            <w:r>
              <w:rPr>
                <w:rFonts w:hint="eastAsia" w:ascii="Times New Roman" w:hAnsi="Times New Roman" w:eastAsia="宋体" w:cs="Times New Roman"/>
                <w:color w:val="auto"/>
                <w:kern w:val="2"/>
                <w:sz w:val="21"/>
                <w:szCs w:val="20"/>
                <w:lang w:val="en-US" w:eastAsia="zh-CN" w:bidi="ar-SA"/>
              </w:rPr>
              <w:t>+对二甲苯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邻二甲苯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硝基苯</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苯胺</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2-氯酚</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苯并[a]蒽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苯并[a]芘</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苯并[b]荧蒽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苯并[k]荧蒽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䓛</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二苯并[a，h]蒽</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茚并[1,2,3-cd]芘</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石油烃</w:t>
            </w:r>
          </w:p>
        </w:tc>
        <w:tc>
          <w:tcPr>
            <w:tcW w:w="52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6" w:type="pct"/>
            <w:vMerge w:val="continue"/>
            <w:noWrap w:val="0"/>
            <w:vAlign w:val="top"/>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577" w:type="pct"/>
            <w:vMerge w:val="continue"/>
            <w:noWrap w:val="0"/>
            <w:vAlign w:val="top"/>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428" w:type="pct"/>
            <w:vMerge w:val="continue"/>
            <w:noWrap w:val="0"/>
            <w:vAlign w:val="top"/>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1069" w:type="pct"/>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萘</w:t>
            </w:r>
          </w:p>
        </w:tc>
        <w:tc>
          <w:tcPr>
            <w:tcW w:w="521" w:type="pct"/>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mg/kg</w:t>
            </w:r>
          </w:p>
        </w:tc>
        <w:tc>
          <w:tcPr>
            <w:tcW w:w="545" w:type="pct"/>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ND</w:t>
            </w:r>
          </w:p>
        </w:tc>
        <w:tc>
          <w:tcPr>
            <w:tcW w:w="1152" w:type="pct"/>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70</w:t>
            </w:r>
          </w:p>
        </w:tc>
      </w:tr>
    </w:tbl>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根据上表的监测结果，S6各土壤层的砷浓度都低于S1背景点样砷浓度符合《土壤环境质量 建设用地土壤污染风险管控标准（试行）》（GB36600-2018）中表1注释中要求，除此以外监测点土壤环境各项监测因子监测值均能达到《土壤环境质量建设用地土壤污染风险管控标准（试行）》（GB36600-2018）表1中第二类用地的风险筛选值要求。</w:t>
      </w:r>
    </w:p>
    <w:p>
      <w:pPr>
        <w:pStyle w:val="31"/>
        <w:keepNext/>
        <w:keepLines/>
        <w:pageBreakBefore w:val="0"/>
        <w:widowControl w:val="0"/>
        <w:kinsoku/>
        <w:wordWrap/>
        <w:overflowPunct/>
        <w:topLinePunct w:val="0"/>
        <w:autoSpaceDE/>
        <w:autoSpaceDN/>
        <w:bidi w:val="0"/>
        <w:adjustRightInd/>
        <w:snapToGrid/>
        <w:spacing w:before="0" w:after="0"/>
        <w:textAlignment w:val="auto"/>
        <w:rPr>
          <w:rFonts w:hint="eastAsia"/>
          <w:color w:val="auto"/>
          <w:u w:val="single"/>
          <w:lang w:val="en-US" w:eastAsia="zh-CN"/>
        </w:rPr>
      </w:pPr>
      <w:bookmarkStart w:id="144" w:name="_Toc18698"/>
      <w:bookmarkStart w:id="145" w:name="_Toc21165"/>
      <w:bookmarkStart w:id="146" w:name="_Toc7978"/>
      <w:r>
        <w:rPr>
          <w:rFonts w:hint="default"/>
          <w:color w:val="auto"/>
          <w:u w:val="single"/>
        </w:rPr>
        <w:t>6.</w:t>
      </w:r>
      <w:r>
        <w:rPr>
          <w:rFonts w:hint="eastAsia"/>
          <w:color w:val="auto"/>
          <w:u w:val="single"/>
          <w:lang w:val="en-US" w:eastAsia="zh-CN"/>
        </w:rPr>
        <w:t>8</w:t>
      </w:r>
      <w:r>
        <w:rPr>
          <w:rFonts w:hint="eastAsia"/>
          <w:color w:val="auto"/>
          <w:u w:val="single"/>
          <w:lang w:eastAsia="zh-CN"/>
        </w:rPr>
        <w:t>区域污染源调查</w:t>
      </w:r>
      <w:bookmarkEnd w:id="144"/>
      <w:bookmarkEnd w:id="145"/>
      <w:bookmarkEnd w:id="146"/>
    </w:p>
    <w:p>
      <w:pPr>
        <w:pStyle w:val="33"/>
        <w:bidi w:val="0"/>
        <w:rPr>
          <w:rFonts w:hint="default"/>
          <w:color w:val="auto"/>
          <w:u w:val="single"/>
        </w:rPr>
      </w:pPr>
      <w:r>
        <w:rPr>
          <w:rFonts w:hint="default"/>
          <w:color w:val="auto"/>
          <w:u w:val="single"/>
        </w:rPr>
        <w:t>该项目位于岳阳云溪绿色化工工业园内，目前入园企业共35家，其中投产企业21家。在建或者试运行企业14家。本次环评对区域企业进行了调查，调查方法采用年度环境统计报表与实地调查相结合的方法，分别调查区域内企业的环保手续办理情况，并统计各企业废水、废气及主要污染物的排放量。</w:t>
      </w:r>
    </w:p>
    <w:p>
      <w:pPr>
        <w:pStyle w:val="33"/>
        <w:bidi w:val="0"/>
        <w:rPr>
          <w:rFonts w:hint="default"/>
          <w:color w:val="auto"/>
          <w:u w:val="single"/>
        </w:rPr>
      </w:pPr>
      <w:bookmarkStart w:id="147" w:name="_Toc21346"/>
      <w:r>
        <w:rPr>
          <w:rFonts w:hint="eastAsia"/>
          <w:color w:val="auto"/>
          <w:u w:val="single"/>
          <w:lang w:val="en-US" w:eastAsia="zh-CN"/>
        </w:rPr>
        <w:t>（1）</w:t>
      </w:r>
      <w:r>
        <w:rPr>
          <w:rFonts w:hint="default"/>
          <w:color w:val="auto"/>
          <w:u w:val="single"/>
        </w:rPr>
        <w:t>周围企业环保手续办理情况</w:t>
      </w:r>
      <w:bookmarkEnd w:id="147"/>
    </w:p>
    <w:p>
      <w:pPr>
        <w:pStyle w:val="33"/>
        <w:bidi w:val="0"/>
        <w:rPr>
          <w:rFonts w:hint="eastAsia"/>
          <w:color w:val="auto"/>
          <w:u w:val="single"/>
          <w:lang w:val="en-US" w:eastAsia="zh-CN"/>
        </w:rPr>
      </w:pPr>
      <w:r>
        <w:rPr>
          <w:rFonts w:hint="eastAsia"/>
          <w:color w:val="auto"/>
          <w:u w:val="single"/>
          <w:lang w:val="en-US" w:eastAsia="zh-CN"/>
        </w:rPr>
        <w:t>周围企业环保手续办理的具体情况见表6.8-1。</w:t>
      </w:r>
    </w:p>
    <w:p>
      <w:pPr>
        <w:pStyle w:val="36"/>
        <w:bidi w:val="0"/>
        <w:rPr>
          <w:rFonts w:hint="eastAsia" w:ascii="Times New Roman" w:hAnsi="Times New Roman" w:eastAsia="宋体" w:cs="Times New Roman"/>
          <w:b/>
          <w:bCs/>
          <w:color w:val="auto"/>
          <w:spacing w:val="0"/>
          <w:kern w:val="2"/>
          <w:sz w:val="24"/>
          <w:szCs w:val="24"/>
          <w:u w:val="none"/>
          <w:lang w:val="en-US" w:eastAsia="zh-CN" w:bidi="ar-SA"/>
        </w:rPr>
      </w:pPr>
      <w:r>
        <w:rPr>
          <w:rFonts w:hint="eastAsia"/>
          <w:b/>
          <w:bCs/>
          <w:color w:val="auto"/>
          <w:sz w:val="24"/>
          <w:szCs w:val="24"/>
          <w:lang w:val="en-US" w:eastAsia="zh-CN"/>
        </w:rPr>
        <w:t>表6.8-1 云溪工业园相关企业环保手续办</w:t>
      </w:r>
      <w:r>
        <w:rPr>
          <w:rFonts w:hint="eastAsia" w:ascii="Times New Roman" w:hAnsi="Times New Roman" w:eastAsia="宋体" w:cs="Times New Roman"/>
          <w:b/>
          <w:bCs/>
          <w:color w:val="auto"/>
          <w:spacing w:val="0"/>
          <w:kern w:val="2"/>
          <w:sz w:val="24"/>
          <w:szCs w:val="24"/>
          <w:u w:val="none"/>
          <w:lang w:val="en-US" w:eastAsia="zh-CN" w:bidi="ar-SA"/>
        </w:rPr>
        <w:t>理情况</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795"/>
        <w:gridCol w:w="2083"/>
        <w:gridCol w:w="2002"/>
        <w:gridCol w:w="957"/>
        <w:gridCol w:w="899"/>
        <w:gridCol w:w="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序号</w:t>
            </w:r>
          </w:p>
        </w:tc>
        <w:tc>
          <w:tcPr>
            <w:tcW w:w="99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污染源名称</w:t>
            </w:r>
          </w:p>
        </w:tc>
        <w:tc>
          <w:tcPr>
            <w:tcW w:w="115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主要产品</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危险化学品</w:t>
            </w:r>
          </w:p>
        </w:tc>
        <w:tc>
          <w:tcPr>
            <w:tcW w:w="53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环评情况</w:t>
            </w:r>
          </w:p>
        </w:tc>
        <w:tc>
          <w:tcPr>
            <w:tcW w:w="49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环评批复情况</w:t>
            </w:r>
          </w:p>
        </w:tc>
        <w:tc>
          <w:tcPr>
            <w:tcW w:w="42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竣工环保验收情况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w:t>
            </w:r>
          </w:p>
        </w:tc>
        <w:tc>
          <w:tcPr>
            <w:tcW w:w="99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湖南尤特尔生化有限公司</w:t>
            </w:r>
          </w:p>
        </w:tc>
        <w:tc>
          <w:tcPr>
            <w:tcW w:w="115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生物酶</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液氮</w:t>
            </w:r>
          </w:p>
        </w:tc>
        <w:tc>
          <w:tcPr>
            <w:tcW w:w="53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未审批</w:t>
            </w:r>
          </w:p>
        </w:tc>
        <w:tc>
          <w:tcPr>
            <w:tcW w:w="42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w:t>
            </w:r>
          </w:p>
        </w:tc>
        <w:tc>
          <w:tcPr>
            <w:tcW w:w="99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岳阳长科化工有限公司</w:t>
            </w:r>
          </w:p>
        </w:tc>
        <w:tc>
          <w:tcPr>
            <w:tcW w:w="115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拟薄水铝石</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烧碱、液态二氧化碳</w:t>
            </w:r>
          </w:p>
        </w:tc>
        <w:tc>
          <w:tcPr>
            <w:tcW w:w="53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未审批</w:t>
            </w:r>
          </w:p>
        </w:tc>
        <w:tc>
          <w:tcPr>
            <w:tcW w:w="42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岳阳市金茂泰科技有限公司</w:t>
            </w:r>
          </w:p>
        </w:tc>
        <w:tc>
          <w:tcPr>
            <w:tcW w:w="115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二苯基二茂钛/防老剂</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四氢呋喃、季戊四醇、盐酸等</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岳阳聚成化工有限公司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铝溶胶、分子筛</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盐酸、硝酸、硼酸</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5</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岳阳中展科技有限公司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环氧树脂</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甲苯、双酚、苯酚、烧碱</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6</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岳阳市科立孚合成材料有限公司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酮醛树脂</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环己酮、甲醛、异丁醛</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7</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岳阳市九原复合材料有限公司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玻璃钢</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盐酸</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8</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岳阳长源石化有限公司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三甲苯、四甲苯</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燃料油</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9</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岳阳鑫鹏石化有限公司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铝溶胶、分子筛</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盐酸、硝酸、硼酸</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10</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岳阳森科化工有限公司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邻苯二甲酸二环己脂</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苯酐、环乙醇</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11</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岳阳普拉玛化工有限公司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对氯苯氰</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液氨、对氯甲苯</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12</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岳阳全盛化工有限公司</w:t>
            </w:r>
          </w:p>
        </w:tc>
        <w:tc>
          <w:tcPr>
            <w:tcW w:w="115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13</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岳阳市磊鑫化工有限公司</w:t>
            </w:r>
          </w:p>
        </w:tc>
        <w:tc>
          <w:tcPr>
            <w:tcW w:w="115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三氯丙烷、2,3-二氯丙烯</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三氯丙烷、2,3-二氯丙烯</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14</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岳阳汉臣化工有限公司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二甲醚</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二甲醇、二甲醚</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15</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岳阳市联众化工有限公司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特种氧化铝、催化剂载体</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16</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岳阳拓湃塑胶有限公司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工程塑胶</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17</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湖南坎森催化助剂有限公司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FCC助剂</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盐酸</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18</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岳阳东润化工有限公司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酮醛树脂</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环已酮、甲醛、异丁</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19</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岳阳德智隆化工有限公司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三甲苯、四甲笨</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烧碱</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20</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岳阳格瑞科技有限公司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绝缘油漆</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氯化氢、乙醇、甲苯</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21</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岳阳金瀚高新科技有限公司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正己烷</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正己烷</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22</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湖南农大海特农化有限公司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农药</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农药制剂</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23</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岳阳中科华昂科技有限公司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荧光增白剂</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邻氰基氯苄、亚磷酸三乙酯、 对苯二甲醛</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24</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岳阳英泰化工有限公司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酮醛树脂</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环己酮、甲醛、异丁醛</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25</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岳阳恒顺化工有限公司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环己酮</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26</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岳阳建州石化有限公司</w:t>
            </w:r>
          </w:p>
        </w:tc>
        <w:tc>
          <w:tcPr>
            <w:tcW w:w="115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27</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岳阳成成油脂化工有限公司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脂肪酸</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28</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 xml:space="preserve">岳阳斯沃德化工有限公司 </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聚酰胺切片</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醋酸</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29</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岳阳乙庚化工有限公司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水玻璃</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氢氧化钠</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30</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岳阳威索石油化工有限公司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纳米燃料油</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燃料油</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31</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湖南云峰科技有限公司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焦亚硫酸钠</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焦亚硫酸钠</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32</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岳阳市山鹰化工科技有限公司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环氧树脂</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甲苯、双酚、苯酚、烧碱</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33</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长庆化工</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如氢催化剂、重整催化剂等</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乙酸、氢氧化钠</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34</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岳阳恒忠新材料有限公司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水玻璃、硫酸铝等</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35</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万德化工</w:t>
            </w:r>
          </w:p>
        </w:tc>
        <w:tc>
          <w:tcPr>
            <w:tcW w:w="115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36</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湖南众普化工新材料科技</w:t>
            </w:r>
          </w:p>
        </w:tc>
        <w:tc>
          <w:tcPr>
            <w:tcW w:w="115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37</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湖南永箱科技有限公司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铝电解电容器用负极箔</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38</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岳阳三成石化有限公司</w:t>
            </w:r>
          </w:p>
        </w:tc>
        <w:tc>
          <w:tcPr>
            <w:tcW w:w="115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39</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中石化催 化剂云溪新基地（二期）</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加氢催化剂、 重整催化剂等</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乙酸、氢氧化钠</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40</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岳阳东方雨虹防水技术有限责任公司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防水涂料、减水剂</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氢氧化钠</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41</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岳阳湘茂医药化工有限公司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二甲基砜</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42</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湖南金溪化工有限公司</w:t>
            </w:r>
          </w:p>
        </w:tc>
        <w:tc>
          <w:tcPr>
            <w:tcW w:w="115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2-乙基蒽配、2-叔戊基蔥鼠、 四丁基脲</w:t>
            </w:r>
          </w:p>
        </w:tc>
        <w:tc>
          <w:tcPr>
            <w:tcW w:w="111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甲苯、乙苯、氯本、发烟硫酸等</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83"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43</w:t>
            </w:r>
          </w:p>
        </w:tc>
        <w:tc>
          <w:tcPr>
            <w:tcW w:w="996"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岳阳道仁矶溶剂化工厂</w:t>
            </w:r>
          </w:p>
        </w:tc>
        <w:tc>
          <w:tcPr>
            <w:tcW w:w="1156"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1,3-二氯丙烯、1，2-二氯丙烷、1，2，3三氯丙烷</w:t>
            </w:r>
          </w:p>
        </w:tc>
        <w:tc>
          <w:tcPr>
            <w:tcW w:w="1111"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3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已环评</w:t>
            </w:r>
          </w:p>
        </w:tc>
        <w:tc>
          <w:tcPr>
            <w:tcW w:w="49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已审批</w:t>
            </w:r>
          </w:p>
        </w:tc>
        <w:tc>
          <w:tcPr>
            <w:tcW w:w="421"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是</w:t>
            </w:r>
          </w:p>
        </w:tc>
      </w:tr>
    </w:tbl>
    <w:p>
      <w:pPr>
        <w:pStyle w:val="33"/>
        <w:bidi w:val="0"/>
        <w:rPr>
          <w:rFonts w:hint="default"/>
          <w:color w:val="auto"/>
          <w:lang w:val="en-US" w:eastAsia="zh-CN"/>
        </w:rPr>
      </w:pPr>
      <w:bookmarkStart w:id="148" w:name="_Toc27779"/>
      <w:r>
        <w:rPr>
          <w:rFonts w:hint="eastAsia"/>
          <w:color w:val="auto"/>
          <w:lang w:val="en-US" w:eastAsia="zh-CN"/>
        </w:rPr>
        <w:t>（2）</w:t>
      </w:r>
      <w:r>
        <w:rPr>
          <w:rFonts w:hint="default"/>
          <w:color w:val="auto"/>
          <w:lang w:val="en-US" w:eastAsia="zh-CN"/>
        </w:rPr>
        <w:t>主要污染源调查</w:t>
      </w:r>
      <w:bookmarkEnd w:id="148"/>
    </w:p>
    <w:p>
      <w:pPr>
        <w:pStyle w:val="33"/>
        <w:bidi w:val="0"/>
        <w:rPr>
          <w:rFonts w:hint="default"/>
          <w:color w:val="auto"/>
          <w:lang w:val="en-US" w:eastAsia="zh-CN"/>
        </w:rPr>
      </w:pPr>
      <w:r>
        <w:rPr>
          <w:rFonts w:hint="default"/>
          <w:color w:val="auto"/>
          <w:lang w:val="en-US" w:eastAsia="zh-CN"/>
        </w:rPr>
        <w:t>云溪工业园内企业废水、废气进行调查分析。具体见表6.</w:t>
      </w:r>
      <w:r>
        <w:rPr>
          <w:rFonts w:hint="eastAsia"/>
          <w:color w:val="auto"/>
          <w:lang w:val="en-US" w:eastAsia="zh-CN"/>
        </w:rPr>
        <w:t>6</w:t>
      </w:r>
      <w:r>
        <w:rPr>
          <w:rFonts w:hint="default"/>
          <w:color w:val="auto"/>
          <w:lang w:val="en-US" w:eastAsia="zh-CN"/>
        </w:rPr>
        <w:t>-2。</w:t>
      </w:r>
    </w:p>
    <w:p>
      <w:pPr>
        <w:pStyle w:val="36"/>
        <w:bidi w:val="0"/>
        <w:rPr>
          <w:rFonts w:hint="default"/>
          <w:color w:val="auto"/>
          <w:sz w:val="24"/>
          <w:szCs w:val="22"/>
          <w:lang w:val="en-US" w:eastAsia="zh-CN"/>
        </w:rPr>
      </w:pPr>
      <w:r>
        <w:rPr>
          <w:rFonts w:hint="default"/>
          <w:color w:val="auto"/>
          <w:sz w:val="24"/>
          <w:szCs w:val="22"/>
          <w:lang w:val="en-US" w:eastAsia="zh-CN"/>
        </w:rPr>
        <w:t>表6.</w:t>
      </w:r>
      <w:r>
        <w:rPr>
          <w:rFonts w:hint="eastAsia"/>
          <w:color w:val="auto"/>
          <w:sz w:val="24"/>
          <w:szCs w:val="22"/>
          <w:lang w:val="en-US" w:eastAsia="zh-CN"/>
        </w:rPr>
        <w:t>6</w:t>
      </w:r>
      <w:r>
        <w:rPr>
          <w:rFonts w:hint="default"/>
          <w:color w:val="auto"/>
          <w:sz w:val="24"/>
          <w:szCs w:val="22"/>
          <w:lang w:val="en-US" w:eastAsia="zh-CN"/>
        </w:rPr>
        <w:t>-2</w:t>
      </w:r>
      <w:r>
        <w:rPr>
          <w:rFonts w:hint="eastAsia"/>
          <w:color w:val="auto"/>
          <w:sz w:val="24"/>
          <w:szCs w:val="22"/>
          <w:lang w:val="en-US" w:eastAsia="zh-CN"/>
        </w:rPr>
        <w:t>园区</w:t>
      </w:r>
      <w:r>
        <w:rPr>
          <w:rFonts w:hint="default"/>
          <w:color w:val="auto"/>
          <w:sz w:val="24"/>
          <w:szCs w:val="22"/>
          <w:lang w:val="en-US" w:eastAsia="zh-CN"/>
        </w:rPr>
        <w:t>云溪工业园</w:t>
      </w:r>
      <w:r>
        <w:rPr>
          <w:rFonts w:hint="eastAsia"/>
          <w:color w:val="auto"/>
          <w:sz w:val="24"/>
          <w:szCs w:val="22"/>
          <w:lang w:val="en-US" w:eastAsia="zh-CN"/>
        </w:rPr>
        <w:t>主要排污单位排污情况</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956"/>
        <w:gridCol w:w="916"/>
        <w:gridCol w:w="735"/>
        <w:gridCol w:w="926"/>
        <w:gridCol w:w="1061"/>
        <w:gridCol w:w="1062"/>
        <w:gridCol w:w="1774"/>
      </w:tblGrid>
      <w:tr>
        <w:tc>
          <w:tcPr>
            <w:tcW w:w="318" w:type="pct"/>
            <w:vMerge w:val="restar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序号</w:t>
            </w:r>
          </w:p>
        </w:tc>
        <w:tc>
          <w:tcPr>
            <w:tcW w:w="1086" w:type="pct"/>
            <w:vMerge w:val="restar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公司</w:t>
            </w:r>
          </w:p>
        </w:tc>
        <w:tc>
          <w:tcPr>
            <w:tcW w:w="2609" w:type="pct"/>
            <w:gridSpan w:val="5"/>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污染物（t/a）</w:t>
            </w:r>
          </w:p>
        </w:tc>
        <w:tc>
          <w:tcPr>
            <w:tcW w:w="985" w:type="pct"/>
            <w:vMerge w:val="restar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废水排放量（t/a）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vMerge w:val="continue"/>
            <w:tcBorders>
              <w:tl2br w:val="nil"/>
              <w:tr2bl w:val="nil"/>
            </w:tcBorders>
            <w:noWrap w:val="0"/>
            <w:vAlign w:val="center"/>
          </w:tcPr>
          <w:p>
            <w:pPr>
              <w:pStyle w:val="35"/>
              <w:bidi w:val="0"/>
              <w:rPr>
                <w:rFonts w:hint="default"/>
                <w:color w:val="auto"/>
                <w:lang w:val="en-US" w:eastAsia="zh-CN"/>
              </w:rPr>
            </w:pPr>
          </w:p>
        </w:tc>
        <w:tc>
          <w:tcPr>
            <w:tcW w:w="1086" w:type="pct"/>
            <w:vMerge w:val="continue"/>
            <w:tcBorders>
              <w:tl2br w:val="nil"/>
              <w:tr2bl w:val="nil"/>
            </w:tcBorders>
            <w:noWrap w:val="0"/>
            <w:vAlign w:val="center"/>
          </w:tcPr>
          <w:p>
            <w:pPr>
              <w:pStyle w:val="35"/>
              <w:bidi w:val="0"/>
              <w:rPr>
                <w:rFonts w:hint="default"/>
                <w:color w:val="auto"/>
                <w:lang w:val="en-US" w:eastAsia="zh-CN"/>
              </w:rPr>
            </w:pPr>
          </w:p>
        </w:tc>
        <w:tc>
          <w:tcPr>
            <w:tcW w:w="1431" w:type="pct"/>
            <w:gridSpan w:val="3"/>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废气</w:t>
            </w:r>
          </w:p>
        </w:tc>
        <w:tc>
          <w:tcPr>
            <w:tcW w:w="1178" w:type="pct"/>
            <w:gridSpan w:val="2"/>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废水</w:t>
            </w:r>
          </w:p>
        </w:tc>
        <w:tc>
          <w:tcPr>
            <w:tcW w:w="985" w:type="pct"/>
            <w:vMerge w:val="continue"/>
            <w:tcBorders>
              <w:tl2br w:val="nil"/>
              <w:tr2bl w:val="nil"/>
            </w:tcBorders>
            <w:noWrap w:val="0"/>
            <w:vAlign w:val="center"/>
          </w:tcPr>
          <w:p>
            <w:pPr>
              <w:pStyle w:val="35"/>
              <w:bidi w:val="0"/>
              <w:rPr>
                <w:rFonts w:hint="default"/>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vMerge w:val="continue"/>
            <w:tcBorders>
              <w:tl2br w:val="nil"/>
              <w:tr2bl w:val="nil"/>
            </w:tcBorders>
            <w:noWrap w:val="0"/>
            <w:vAlign w:val="center"/>
          </w:tcPr>
          <w:p>
            <w:pPr>
              <w:pStyle w:val="35"/>
              <w:bidi w:val="0"/>
              <w:rPr>
                <w:rFonts w:hint="default"/>
                <w:color w:val="auto"/>
                <w:lang w:val="en-US" w:eastAsia="zh-CN"/>
              </w:rPr>
            </w:pPr>
          </w:p>
        </w:tc>
        <w:tc>
          <w:tcPr>
            <w:tcW w:w="1086" w:type="pct"/>
            <w:vMerge w:val="continue"/>
            <w:tcBorders>
              <w:tl2br w:val="nil"/>
              <w:tr2bl w:val="nil"/>
            </w:tcBorders>
            <w:noWrap w:val="0"/>
            <w:vAlign w:val="center"/>
          </w:tcPr>
          <w:p>
            <w:pPr>
              <w:pStyle w:val="35"/>
              <w:bidi w:val="0"/>
              <w:rPr>
                <w:rFonts w:hint="default"/>
                <w:color w:val="auto"/>
                <w:lang w:val="en-US" w:eastAsia="zh-CN"/>
              </w:rPr>
            </w:pP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SO</w:t>
            </w:r>
            <w:r>
              <w:rPr>
                <w:rFonts w:hint="eastAsia"/>
                <w:color w:val="auto"/>
                <w:vertAlign w:val="subscript"/>
                <w:lang w:val="en-US" w:eastAsia="zh-CN"/>
              </w:rPr>
              <w:t>2</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NO</w:t>
            </w:r>
            <w:r>
              <w:rPr>
                <w:rFonts w:hint="eastAsia"/>
                <w:color w:val="auto"/>
                <w:vertAlign w:val="subscript"/>
                <w:lang w:val="en-US" w:eastAsia="zh-CN"/>
              </w:rPr>
              <w:t>X</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VOCs</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COD</w:t>
            </w:r>
          </w:p>
        </w:tc>
        <w:tc>
          <w:tcPr>
            <w:tcW w:w="589" w:type="pct"/>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氨氮</w:t>
            </w:r>
          </w:p>
        </w:tc>
        <w:tc>
          <w:tcPr>
            <w:tcW w:w="985" w:type="pct"/>
            <w:vMerge w:val="continue"/>
            <w:tcBorders>
              <w:tl2br w:val="nil"/>
              <w:tr2bl w:val="nil"/>
            </w:tcBorders>
            <w:noWrap w:val="0"/>
            <w:vAlign w:val="center"/>
          </w:tcPr>
          <w:p>
            <w:pPr>
              <w:pStyle w:val="35"/>
              <w:bidi w:val="0"/>
              <w:rPr>
                <w:rFonts w:hint="default"/>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岳阳市恒顺化工科技有限公司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1.2</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0.07</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湖南鑫鹏石油化工有限公司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2956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岳阳全盛塑胶有限公司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0.004</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岳阳金瀚高新技术有限责任公司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19.1</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0.1</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16830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5</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湖南斯沃德化工有限公司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0.6757</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0.681</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0.034</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1540.4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6</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岳阳东方雨虹防水技术有限责任公司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0.78</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1.6</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4.73</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2.28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0.253</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10531.34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7</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岳阳科罗德联合化学工业有限公司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0.48</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70100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8</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湖南泽丰农化有限公司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0.015</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0.216</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0.057</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9</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岳阳鼎格云天化工有限公司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17.82</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1.74</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0.0214</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0.947</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0.095</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11835.4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10</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岳阳蓬诚科技发展有限公司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7.528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1.53</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0.28</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19130.372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11</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湖南兴发化工有限公司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16.704</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0.1584</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0.02112</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12</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岳阳市英泰合成材料有限公司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0.102</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/.13</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1.5</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13</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岳阳三成石化有限公</w:t>
            </w:r>
            <w:r>
              <w:rPr>
                <w:rFonts w:hint="eastAsia"/>
                <w:color w:val="auto"/>
                <w:lang w:val="en-US" w:eastAsia="zh-CN"/>
              </w:rPr>
              <w:t>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1.353</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0.005</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14</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湖南金溪化工有限公司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2.52</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0.2</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5977.08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15</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岳阳市云溪区道仁矶溶剂化工厂</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5.4</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0.6</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25752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16</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岳阳市山鹰化学工业有限公司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0.054</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0.008</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17</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岳阳嘉欣石化产业有限公司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6.981</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0.081</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0.008</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19229.66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18</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岳阳康源邦尔生物技术有限责任公司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0.411</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0.053</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2338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19</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岳阳市昌环化工科技发展有限公司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7.9504</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0.548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0.002</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1820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20</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岳阳凌峰化 工有限公司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1.236</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2.013</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0.02</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4875.42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21</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岳阳科立孚合成材料有限公司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1.5119</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3.464</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0.334</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43700.77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22</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岳阳市林峰锂业有限公司公司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0.375</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0.007</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2343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23</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岳阳安泰起重设备有限公司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1.1088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0.10926</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3642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24</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岳阳恒忠新材料有限公司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0.1584</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0.02112</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25</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岳阳市云溪区永泰合成聚丙烯厂</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0.2052</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0.072</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0.007</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26</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湖南尤特尔生化有限公司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46.5</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240.5</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2.6</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11998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27</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岳阳市金茂泰科技有限公司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5.419</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0.218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0.021</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28</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岳阳市万隆环保科技有限公司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29</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岳阳东润化工有限公司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0.32</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7.5</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10089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30</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岳阳众兴化工有限公司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1.2</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0.005</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31</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岳阳中展科技有限公司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0.04</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1.4</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0.04</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13988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32</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岳阳凯达科技开发有限责任公司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0.04</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0.162</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0.011</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636.887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33</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岳阳市格瑞科技有限公司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0.12</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6.5</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0.065</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867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34</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岳阳森科化工有限公司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1.994</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0.912</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0.0006</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2850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35</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岳阳长旺化工有限公司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2.62</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0.005</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36</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湖南德邦石油化工有限公司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2.43</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37</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岳阳市九原复合材料有限公司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0.018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0.01</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38</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岳阳长源石化有限公司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122.4</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14.7</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0.1146</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39</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岳阳市磊鑫化工有限公司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1.19</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7</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0.15</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7699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40</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岳阳成成油化科技有限公司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2.04</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1.22</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31</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0.8</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34900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41</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岳阳普拉玛化工有限公司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14.4</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0.9</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39948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42</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湖南农大海特农化有限公司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0.015</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0.05</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0.04</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1767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43</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湖南龙宇化学工业有限公司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2.08</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6837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44</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岳阳中科华品精细化工科技有限公司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71043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45</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岳阳科苑新型材料有限公司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0.176</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9</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0.18</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16265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46</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湖南云峰科技有限公司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6.26</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47</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湖南聚仁化工新材料科技有限公司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73123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48</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岳阳市润德化工化纤有限公司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1.537</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10.723</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0.436</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22593.925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49</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湖南众普化工新材料科技有限公司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50</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中国石化催化剂有限公司长岭分公司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0.35</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70</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4.8</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332000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1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51</w:t>
            </w:r>
          </w:p>
        </w:tc>
        <w:tc>
          <w:tcPr>
            <w:tcW w:w="1086" w:type="pct"/>
            <w:tcBorders>
              <w:tl2br w:val="nil"/>
              <w:tr2bl w:val="nil"/>
            </w:tcBorders>
            <w:noWrap w:val="0"/>
            <w:vAlign w:val="center"/>
          </w:tcPr>
          <w:p>
            <w:pPr>
              <w:pStyle w:val="35"/>
              <w:bidi w:val="0"/>
              <w:rPr>
                <w:rFonts w:hint="default"/>
                <w:color w:val="auto"/>
                <w:lang w:val="en-US" w:eastAsia="zh-CN"/>
              </w:rPr>
            </w:pPr>
            <w:r>
              <w:rPr>
                <w:rFonts w:hint="default"/>
                <w:color w:val="auto"/>
                <w:lang w:val="en-US" w:eastAsia="zh-CN"/>
              </w:rPr>
              <w:t>岳阳湘茂医药化工有限公司云溪分公</w:t>
            </w:r>
            <w:r>
              <w:rPr>
                <w:rFonts w:hint="eastAsia"/>
                <w:color w:val="auto"/>
                <w:lang w:val="en-US" w:eastAsia="zh-CN"/>
              </w:rPr>
              <w:t>司</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0.46</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1.2</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0.3</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13931.03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404" w:type="pct"/>
            <w:gridSpan w:val="2"/>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合计</w:t>
            </w:r>
          </w:p>
        </w:tc>
        <w:tc>
          <w:tcPr>
            <w:tcW w:w="5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216.4</w:t>
            </w:r>
          </w:p>
        </w:tc>
        <w:tc>
          <w:tcPr>
            <w:tcW w:w="408"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27.7</w:t>
            </w:r>
          </w:p>
        </w:tc>
        <w:tc>
          <w:tcPr>
            <w:tcW w:w="514"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66.4847</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495.279</w:t>
            </w:r>
          </w:p>
        </w:tc>
        <w:tc>
          <w:tcPr>
            <w:tcW w:w="589"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21.53</w:t>
            </w:r>
          </w:p>
        </w:tc>
        <w:tc>
          <w:tcPr>
            <w:tcW w:w="985" w:type="pct"/>
            <w:tcBorders>
              <w:tl2br w:val="nil"/>
              <w:tr2bl w:val="nil"/>
            </w:tcBorders>
            <w:noWrap w:val="0"/>
            <w:vAlign w:val="center"/>
          </w:tcPr>
          <w:p>
            <w:pPr>
              <w:pStyle w:val="35"/>
              <w:bidi w:val="0"/>
              <w:rPr>
                <w:rFonts w:hint="default"/>
                <w:color w:val="auto"/>
                <w:lang w:val="en-US" w:eastAsia="zh-CN"/>
              </w:rPr>
            </w:pPr>
            <w:r>
              <w:rPr>
                <w:rFonts w:hint="eastAsia"/>
                <w:color w:val="auto"/>
                <w:lang w:val="en-US" w:eastAsia="zh-CN"/>
              </w:rPr>
              <w:t>1027354.291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000" w:type="pct"/>
            <w:gridSpan w:val="8"/>
            <w:tcBorders>
              <w:tl2br w:val="nil"/>
              <w:tr2bl w:val="nil"/>
            </w:tcBorders>
            <w:noWrap w:val="0"/>
            <w:vAlign w:val="center"/>
          </w:tcPr>
          <w:p>
            <w:pPr>
              <w:pStyle w:val="35"/>
              <w:bidi w:val="0"/>
              <w:rPr>
                <w:rFonts w:hint="eastAsia"/>
                <w:color w:val="auto"/>
                <w:lang w:val="en-US" w:eastAsia="zh-CN"/>
              </w:rPr>
            </w:pPr>
            <w:r>
              <w:rPr>
                <w:rFonts w:hint="eastAsia"/>
                <w:color w:val="auto"/>
                <w:lang w:val="en-US" w:eastAsia="zh-CN"/>
              </w:rPr>
              <w:t>注:上表废水朽集物为企业持入云溪区污水处理厂的持放量。由于缺之相关记录，部分停产、未正常生产企业未统计进其中:部分企业废水仅生活污水的企业未记录其废水排放量，部分企业无组织废气污染物排放量未记录</w:t>
            </w:r>
          </w:p>
        </w:tc>
      </w:tr>
    </w:tbl>
    <w:p>
      <w:pPr>
        <w:pStyle w:val="33"/>
        <w:bidi w:val="0"/>
        <w:rPr>
          <w:rFonts w:hint="default"/>
          <w:color w:val="auto"/>
          <w:lang w:val="en-US" w:eastAsia="zh-CN"/>
        </w:rPr>
      </w:pPr>
      <w:r>
        <w:rPr>
          <w:rFonts w:hint="default"/>
          <w:color w:val="auto"/>
          <w:lang w:val="en-US" w:eastAsia="zh-CN"/>
        </w:rPr>
        <w:t>根据目前岳阳绿色化工产业园各个企业的排污情况看，整个园区废气产量较大，污水中有机污染物因子浓度较高，但各厂通过内部相应的污染防治措施和云溪区污水处理厂处理后，污染物基本能达标排放。</w:t>
      </w:r>
    </w:p>
    <w:p>
      <w:pPr>
        <w:pStyle w:val="33"/>
        <w:bidi w:val="0"/>
        <w:rPr>
          <w:rFonts w:hint="eastAsia" w:ascii="Times New Roman" w:hAnsi="Times New Roman" w:eastAsia="宋体" w:cs="Times New Roman"/>
          <w:color w:val="auto"/>
          <w:kern w:val="2"/>
          <w:sz w:val="24"/>
          <w:szCs w:val="20"/>
          <w:lang w:val="en-US" w:eastAsia="zh-CN" w:bidi="ar-SA"/>
        </w:rPr>
      </w:pPr>
      <w:r>
        <w:rPr>
          <w:rFonts w:hint="default"/>
          <w:color w:val="auto"/>
          <w:lang w:val="en-US" w:eastAsia="zh-CN"/>
        </w:rPr>
        <w:t>根据《环境影响评价技术导则地表水环境》(HJ2.3-2018)，第6.6.2.1条，本次评价水污染影响等级为三级B评价，可不开展区域污染源调查。</w:t>
      </w:r>
    </w:p>
    <w:p>
      <w:pPr>
        <w:widowControl w:val="0"/>
        <w:bidi w:val="0"/>
        <w:spacing w:before="20" w:line="360" w:lineRule="auto"/>
        <w:ind w:firstLine="480" w:firstLineChars="200"/>
        <w:jc w:val="center"/>
        <w:outlineLvl w:val="0"/>
        <w:rPr>
          <w:rStyle w:val="74"/>
          <w:rFonts w:hint="default"/>
          <w:b/>
          <w:bCs/>
          <w:color w:val="auto"/>
          <w:lang w:val="en-US" w:eastAsia="zh-CN"/>
        </w:rPr>
      </w:pPr>
      <w:r>
        <w:rPr>
          <w:rFonts w:hint="eastAsia" w:ascii="Times New Roman" w:hAnsi="Times New Roman" w:eastAsia="宋体" w:cs="Times New Roman"/>
          <w:color w:val="auto"/>
          <w:kern w:val="2"/>
          <w:sz w:val="24"/>
          <w:szCs w:val="20"/>
          <w:lang w:val="en-US" w:eastAsia="zh-CN" w:bidi="ar-SA"/>
        </w:rPr>
        <w:br w:type="page"/>
      </w:r>
      <w:bookmarkEnd w:id="116"/>
      <w:bookmarkEnd w:id="117"/>
      <w:bookmarkEnd w:id="118"/>
      <w:bookmarkEnd w:id="119"/>
      <w:bookmarkEnd w:id="120"/>
      <w:bookmarkStart w:id="149" w:name="_Toc11936"/>
      <w:r>
        <w:rPr>
          <w:rStyle w:val="74"/>
          <w:rFonts w:hint="eastAsia"/>
          <w:b/>
          <w:bCs/>
          <w:color w:val="auto"/>
          <w:lang w:val="en-US" w:eastAsia="zh-CN"/>
        </w:rPr>
        <w:t>7、环境影响评价与预测</w:t>
      </w:r>
      <w:bookmarkEnd w:id="121"/>
      <w:bookmarkEnd w:id="122"/>
      <w:bookmarkEnd w:id="123"/>
      <w:bookmarkEnd w:id="124"/>
      <w:bookmarkEnd w:id="149"/>
    </w:p>
    <w:p>
      <w:pPr>
        <w:pStyle w:val="31"/>
        <w:bidi w:val="0"/>
        <w:rPr>
          <w:rFonts w:hint="eastAsia"/>
          <w:color w:val="auto"/>
          <w:lang w:val="en-US" w:eastAsia="zh-CN"/>
        </w:rPr>
      </w:pPr>
      <w:bookmarkStart w:id="150" w:name="_Toc29577"/>
      <w:bookmarkStart w:id="151" w:name="_Toc16688"/>
      <w:bookmarkStart w:id="152" w:name="_Toc30317"/>
      <w:bookmarkStart w:id="153" w:name="_Toc6330"/>
      <w:bookmarkStart w:id="154" w:name="_Toc6572"/>
      <w:bookmarkStart w:id="155" w:name="_Toc21760"/>
      <w:bookmarkStart w:id="156" w:name="_Toc12595"/>
      <w:bookmarkStart w:id="157" w:name="_Toc24135"/>
      <w:bookmarkStart w:id="158" w:name="_Toc10697"/>
      <w:bookmarkStart w:id="159" w:name="_Toc1963"/>
      <w:bookmarkStart w:id="160" w:name="_Toc28912"/>
      <w:bookmarkStart w:id="161" w:name="_Toc21755"/>
      <w:bookmarkStart w:id="162" w:name="_Toc5491"/>
      <w:bookmarkStart w:id="163" w:name="_Toc12577"/>
      <w:bookmarkStart w:id="164" w:name="_Toc14087"/>
      <w:bookmarkStart w:id="165" w:name="_Toc6814"/>
      <w:bookmarkStart w:id="166" w:name="_Toc27153"/>
      <w:bookmarkStart w:id="167" w:name="_Toc8281"/>
      <w:r>
        <w:rPr>
          <w:rFonts w:hint="eastAsia"/>
          <w:color w:val="auto"/>
          <w:lang w:val="en-US" w:eastAsia="zh-CN"/>
        </w:rPr>
        <w:t>7.1</w:t>
      </w:r>
      <w:r>
        <w:rPr>
          <w:color w:val="auto"/>
          <w:lang w:val="en-US" w:eastAsia="zh-CN"/>
        </w:rPr>
        <w:t>大气环境影响</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Pr>
          <w:rFonts w:hint="eastAsia"/>
          <w:color w:val="auto"/>
          <w:lang w:val="en-US" w:eastAsia="zh-CN"/>
        </w:rPr>
        <w:t>分析</w:t>
      </w:r>
      <w:bookmarkEnd w:id="164"/>
      <w:bookmarkEnd w:id="165"/>
      <w:bookmarkEnd w:id="166"/>
      <w:bookmarkEnd w:id="167"/>
    </w:p>
    <w:p>
      <w:pPr>
        <w:pStyle w:val="32"/>
        <w:bidi w:val="0"/>
        <w:rPr>
          <w:color w:val="auto"/>
          <w:lang w:val="zh-TW" w:eastAsia="en-US"/>
        </w:rPr>
      </w:pPr>
      <w:r>
        <w:rPr>
          <w:rFonts w:hint="eastAsia"/>
          <w:color w:val="auto"/>
          <w:lang w:val="en-US" w:eastAsia="zh-CN"/>
        </w:rPr>
        <w:t>7.1.1</w:t>
      </w:r>
      <w:r>
        <w:rPr>
          <w:color w:val="auto"/>
          <w:lang w:val="zh-TW" w:eastAsia="en-US"/>
        </w:rPr>
        <w:t>气象</w:t>
      </w:r>
      <w:r>
        <w:rPr>
          <w:color w:val="auto"/>
          <w:lang w:val="zh-TW"/>
        </w:rPr>
        <w:t>情况</w:t>
      </w:r>
    </w:p>
    <w:p>
      <w:pPr>
        <w:pStyle w:val="3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b/>
          <w:bCs/>
          <w:color w:val="auto"/>
          <w:lang w:val="zh-TW" w:eastAsia="en-US"/>
        </w:rPr>
      </w:pPr>
      <w:r>
        <w:rPr>
          <w:rFonts w:hint="eastAsia"/>
          <w:b/>
          <w:bCs/>
          <w:color w:val="auto"/>
          <w:lang w:val="en-US" w:eastAsia="zh-CN"/>
        </w:rPr>
        <w:t>（1）</w:t>
      </w:r>
      <w:r>
        <w:rPr>
          <w:b/>
          <w:bCs/>
          <w:color w:val="auto"/>
          <w:lang w:val="zh-TW" w:eastAsia="en-US"/>
        </w:rPr>
        <w:t>多年气象特征分析</w:t>
      </w:r>
    </w:p>
    <w:p>
      <w:pPr>
        <w:pStyle w:val="33"/>
        <w:ind w:firstLine="480"/>
        <w:rPr>
          <w:color w:val="auto"/>
        </w:rPr>
      </w:pPr>
      <w:r>
        <w:rPr>
          <w:color w:val="auto"/>
          <w:lang w:val="zh-TW"/>
        </w:rPr>
        <w:t>本项目位于</w:t>
      </w:r>
      <w:r>
        <w:rPr>
          <w:rFonts w:hint="eastAsia"/>
          <w:color w:val="auto"/>
          <w:lang w:val="zh-TW"/>
        </w:rPr>
        <w:t>湖南岳阳绿色化工产业园（厂址中心坐标为：东经：113°15'31.27"，北纬：29°30'21.28"）</w:t>
      </w:r>
      <w:r>
        <w:rPr>
          <w:color w:val="auto"/>
          <w:lang w:val="zh-TW"/>
        </w:rPr>
        <w:t>。本项目采用东南侧约</w:t>
      </w:r>
      <w:r>
        <w:rPr>
          <w:color w:val="auto"/>
          <w:lang w:val="zh-TW" w:eastAsia="zh-TW"/>
        </w:rPr>
        <w:t>18.6</w:t>
      </w:r>
      <w:r>
        <w:rPr>
          <w:color w:val="auto"/>
          <w:lang w:val="zh-TW"/>
        </w:rPr>
        <w:t>km的临湘气象站（57585）的</w:t>
      </w:r>
      <w:r>
        <w:rPr>
          <w:rFonts w:hint="eastAsia"/>
          <w:color w:val="auto"/>
          <w:lang w:val="zh-TW"/>
        </w:rPr>
        <w:t>气象</w:t>
      </w:r>
      <w:r>
        <w:rPr>
          <w:color w:val="auto"/>
          <w:lang w:val="zh-TW"/>
        </w:rPr>
        <w:t>数据</w:t>
      </w:r>
      <w:r>
        <w:rPr>
          <w:rFonts w:hint="eastAsia"/>
          <w:color w:val="auto"/>
          <w:lang w:val="zh-TW"/>
        </w:rPr>
        <w:t>，该气象站是距本项目最近的气象站</w:t>
      </w:r>
      <w:r>
        <w:rPr>
          <w:color w:val="auto"/>
          <w:lang w:val="zh-TW"/>
        </w:rPr>
        <w:t>。</w:t>
      </w:r>
      <w:r>
        <w:rPr>
          <w:color w:val="auto"/>
        </w:rPr>
        <w:t>根据临湘气象站2000~2019年的气象数据统计分析，具体情况如下。</w:t>
      </w:r>
    </w:p>
    <w:p>
      <w:pPr>
        <w:pStyle w:val="36"/>
        <w:rPr>
          <w:color w:val="auto"/>
        </w:rPr>
      </w:pPr>
      <w:r>
        <w:rPr>
          <w:rFonts w:hint="eastAsia"/>
          <w:color w:val="auto"/>
          <w:lang w:val="en-US" w:eastAsia="zh-CN"/>
        </w:rPr>
        <w:t xml:space="preserve">表7.1-1   </w:t>
      </w:r>
      <w:r>
        <w:rPr>
          <w:color w:val="auto"/>
        </w:rPr>
        <w:t>临湘气象站常规气象项目统计（2000-2019年）</w:t>
      </w:r>
    </w:p>
    <w:tbl>
      <w:tblPr>
        <w:tblStyle w:val="2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03"/>
        <w:gridCol w:w="2848"/>
        <w:gridCol w:w="1748"/>
        <w:gridCol w:w="1592"/>
        <w:gridCol w:w="1453"/>
      </w:tblGrid>
      <w:tr>
        <w:trPr>
          <w:trHeight w:val="340" w:hRule="exact"/>
          <w:tblHeader/>
          <w:jc w:val="center"/>
        </w:trPr>
        <w:tc>
          <w:tcPr>
            <w:tcW w:w="2320" w:type="pct"/>
            <w:gridSpan w:val="2"/>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b/>
                <w:color w:val="auto"/>
                <w:kern w:val="0"/>
                <w:szCs w:val="21"/>
                <w:highlight w:val="none"/>
                <w:lang w:eastAsia="en-US"/>
              </w:rPr>
            </w:pPr>
            <w:r>
              <w:rPr>
                <w:rFonts w:ascii="Times New Roman" w:hAnsi="Times New Roman" w:eastAsia="宋体" w:cs="Times New Roman"/>
                <w:b/>
                <w:color w:val="auto"/>
                <w:kern w:val="0"/>
                <w:szCs w:val="21"/>
                <w:highlight w:val="none"/>
                <w:lang w:val="zh-TW" w:eastAsia="zh-TW"/>
              </w:rPr>
              <w:t>统计项目</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b/>
                <w:color w:val="auto"/>
                <w:kern w:val="0"/>
                <w:szCs w:val="21"/>
                <w:highlight w:val="none"/>
                <w:lang w:eastAsia="en-US"/>
              </w:rPr>
            </w:pPr>
            <w:r>
              <w:rPr>
                <w:rFonts w:ascii="Times New Roman" w:hAnsi="Times New Roman" w:eastAsia="宋体" w:cs="Times New Roman"/>
                <w:b/>
                <w:color w:val="auto"/>
                <w:kern w:val="0"/>
                <w:szCs w:val="21"/>
                <w:highlight w:val="none"/>
                <w:lang w:val="zh-TW" w:eastAsia="zh-TW"/>
              </w:rPr>
              <w:t>统计值</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b/>
                <w:color w:val="auto"/>
                <w:kern w:val="0"/>
                <w:szCs w:val="21"/>
                <w:highlight w:val="none"/>
                <w:lang w:eastAsia="en-US"/>
              </w:rPr>
            </w:pPr>
            <w:r>
              <w:rPr>
                <w:rFonts w:ascii="Times New Roman" w:hAnsi="Times New Roman" w:eastAsia="宋体" w:cs="Times New Roman"/>
                <w:b/>
                <w:color w:val="auto"/>
                <w:kern w:val="0"/>
                <w:szCs w:val="21"/>
                <w:highlight w:val="none"/>
                <w:lang w:val="zh-TW" w:eastAsia="zh-TW"/>
              </w:rPr>
              <w:t>极值出现时间</w:t>
            </w: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b/>
                <w:color w:val="auto"/>
                <w:kern w:val="0"/>
                <w:szCs w:val="21"/>
                <w:highlight w:val="none"/>
                <w:lang w:eastAsia="en-US"/>
              </w:rPr>
            </w:pPr>
            <w:r>
              <w:rPr>
                <w:rFonts w:ascii="Times New Roman" w:hAnsi="Times New Roman" w:eastAsia="宋体" w:cs="Times New Roman"/>
                <w:b/>
                <w:color w:val="auto"/>
                <w:kern w:val="0"/>
                <w:szCs w:val="21"/>
                <w:highlight w:val="none"/>
                <w:lang w:val="zh-TW" w:eastAsia="zh-TW"/>
              </w:rPr>
              <w:t>极值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2320" w:type="pct"/>
            <w:gridSpan w:val="2"/>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val="zh-TW" w:eastAsia="zh-TW"/>
              </w:rPr>
              <w:t>多年平均气温（</w:t>
            </w:r>
            <w:r>
              <w:rPr>
                <w:rFonts w:ascii="Times New Roman" w:hAnsi="Times New Roman" w:eastAsia="宋体" w:cs="Times New Roman"/>
                <w:color w:val="auto"/>
                <w:kern w:val="0"/>
                <w:szCs w:val="21"/>
                <w:highlight w:val="none"/>
                <w:lang w:eastAsia="en-US"/>
              </w:rPr>
              <w:t>℃</w:t>
            </w:r>
            <w:r>
              <w:rPr>
                <w:rFonts w:ascii="Times New Roman" w:hAnsi="Times New Roman" w:eastAsia="宋体" w:cs="Times New Roman"/>
                <w:color w:val="auto"/>
                <w:kern w:val="0"/>
                <w:szCs w:val="21"/>
                <w:highlight w:val="none"/>
                <w:lang w:val="zh-TW" w:eastAsia="zh-TW"/>
              </w:rPr>
              <w:t>）</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PMingLiU" w:cs="Times New Roman"/>
                <w:color w:val="auto"/>
                <w:kern w:val="0"/>
                <w:szCs w:val="21"/>
                <w:highlight w:val="none"/>
                <w:lang w:eastAsia="en-US"/>
              </w:rPr>
            </w:pPr>
            <w:r>
              <w:rPr>
                <w:rFonts w:ascii="Times New Roman" w:hAnsi="Times New Roman" w:eastAsia="宋体" w:cs="Times New Roman"/>
                <w:color w:val="auto"/>
                <w:kern w:val="0"/>
                <w:szCs w:val="21"/>
                <w:highlight w:val="none"/>
                <w:lang w:val="zh-TW" w:eastAsia="zh-TW"/>
              </w:rPr>
              <w:t>17.</w:t>
            </w:r>
            <w:r>
              <w:rPr>
                <w:rFonts w:ascii="Times New Roman" w:hAnsi="Times New Roman" w:eastAsia="PMingLiU" w:cs="Times New Roman"/>
                <w:color w:val="auto"/>
                <w:kern w:val="0"/>
                <w:szCs w:val="21"/>
                <w:highlight w:val="none"/>
                <w:lang w:val="zh-TW" w:eastAsia="zh-TW"/>
              </w:rPr>
              <w:t>44</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2320" w:type="pct"/>
            <w:gridSpan w:val="2"/>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rPr>
            </w:pPr>
            <w:r>
              <w:rPr>
                <w:rFonts w:ascii="Times New Roman" w:hAnsi="Times New Roman" w:eastAsia="宋体" w:cs="Times New Roman"/>
                <w:color w:val="auto"/>
                <w:kern w:val="0"/>
                <w:szCs w:val="21"/>
                <w:highlight w:val="none"/>
                <w:lang w:val="zh-TW" w:eastAsia="zh-TW"/>
              </w:rPr>
              <w:t>多年平均最高气温（</w:t>
            </w:r>
            <w:r>
              <w:rPr>
                <w:rFonts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lang w:val="zh-TW" w:eastAsia="zh-TW"/>
              </w:rPr>
              <w:t>）</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val="zh-TW" w:eastAsia="zh-TW"/>
              </w:rPr>
              <w:t>3</w:t>
            </w:r>
            <w:r>
              <w:rPr>
                <w:rFonts w:ascii="Times New Roman" w:hAnsi="Times New Roman" w:eastAsia="PMingLiU" w:cs="Times New Roman"/>
                <w:color w:val="auto"/>
                <w:kern w:val="0"/>
                <w:szCs w:val="21"/>
                <w:highlight w:val="none"/>
                <w:lang w:val="zh-TW" w:eastAsia="zh-TW"/>
              </w:rPr>
              <w:t>8</w:t>
            </w:r>
            <w:r>
              <w:rPr>
                <w:rFonts w:ascii="Times New Roman" w:hAnsi="Times New Roman" w:eastAsia="宋体" w:cs="Times New Roman"/>
                <w:color w:val="auto"/>
                <w:kern w:val="0"/>
                <w:szCs w:val="21"/>
                <w:highlight w:val="none"/>
                <w:lang w:val="zh-TW" w:eastAsia="zh-TW"/>
              </w:rPr>
              <w:t>.7</w:t>
            </w:r>
          </w:p>
        </w:tc>
        <w:tc>
          <w:tcPr>
            <w:tcW w:w="890" w:type="pct"/>
            <w:tcBorders>
              <w:tl2br w:val="nil"/>
              <w:tr2bl w:val="nil"/>
            </w:tcBorders>
            <w:noWrap w:val="0"/>
            <w:tcMar>
              <w:top w:w="80" w:type="dxa"/>
              <w:left w:w="80" w:type="dxa"/>
              <w:bottom w:w="80" w:type="dxa"/>
              <w:right w:w="80" w:type="dxa"/>
            </w:tcMar>
            <w:vAlign w:val="center"/>
          </w:tcPr>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2013-08-11</w:t>
            </w:r>
          </w:p>
        </w:tc>
        <w:tc>
          <w:tcPr>
            <w:tcW w:w="812" w:type="pct"/>
            <w:tcBorders>
              <w:tl2br w:val="nil"/>
              <w:tr2bl w:val="nil"/>
            </w:tcBorders>
            <w:noWrap w:val="0"/>
            <w:tcMar>
              <w:top w:w="80" w:type="dxa"/>
              <w:left w:w="80" w:type="dxa"/>
              <w:bottom w:w="80" w:type="dxa"/>
              <w:right w:w="80" w:type="dxa"/>
            </w:tcMar>
            <w:vAlign w:val="center"/>
          </w:tcPr>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41.0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2320" w:type="pct"/>
            <w:gridSpan w:val="2"/>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rPr>
            </w:pPr>
            <w:r>
              <w:rPr>
                <w:rFonts w:ascii="Times New Roman" w:hAnsi="Times New Roman" w:eastAsia="宋体" w:cs="Times New Roman"/>
                <w:color w:val="auto"/>
                <w:kern w:val="0"/>
                <w:szCs w:val="21"/>
                <w:highlight w:val="none"/>
                <w:lang w:val="zh-TW" w:eastAsia="zh-TW"/>
              </w:rPr>
              <w:t>累年极端最低气温（</w:t>
            </w:r>
            <w:r>
              <w:rPr>
                <w:rFonts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lang w:val="zh-TW" w:eastAsia="zh-TW"/>
              </w:rPr>
              <w:t>）</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-5.13</w:t>
            </w:r>
          </w:p>
        </w:tc>
        <w:tc>
          <w:tcPr>
            <w:tcW w:w="890" w:type="pct"/>
            <w:tcBorders>
              <w:tl2br w:val="nil"/>
              <w:tr2bl w:val="nil"/>
            </w:tcBorders>
            <w:noWrap w:val="0"/>
            <w:tcMar>
              <w:top w:w="80" w:type="dxa"/>
              <w:left w:w="80" w:type="dxa"/>
              <w:bottom w:w="80" w:type="dxa"/>
              <w:right w:w="80" w:type="dxa"/>
            </w:tcMar>
            <w:vAlign w:val="center"/>
          </w:tcPr>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2016-01-25</w:t>
            </w: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PMingLiU" w:cs="Times New Roman"/>
                <w:color w:val="auto"/>
                <w:kern w:val="0"/>
                <w:szCs w:val="21"/>
                <w:highlight w:val="none"/>
                <w:lang w:eastAsia="en-US"/>
              </w:rPr>
            </w:pPr>
            <w:r>
              <w:rPr>
                <w:rFonts w:ascii="Times New Roman" w:hAnsi="Times New Roman" w:eastAsia="宋体" w:cs="Times New Roman"/>
                <w:color w:val="auto"/>
                <w:kern w:val="0"/>
                <w:szCs w:val="21"/>
                <w:highlight w:val="none"/>
                <w:lang w:val="zh-TW" w:eastAsia="zh-TW"/>
              </w:rPr>
              <w:t>-</w:t>
            </w:r>
            <w:r>
              <w:rPr>
                <w:rFonts w:ascii="Times New Roman" w:hAnsi="Times New Roman" w:eastAsia="PMingLiU" w:cs="Times New Roman"/>
                <w:color w:val="auto"/>
                <w:kern w:val="0"/>
                <w:szCs w:val="21"/>
                <w:highlight w:val="none"/>
                <w:lang w:val="zh-TW" w:eastAsia="zh-TW"/>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2320" w:type="pct"/>
            <w:gridSpan w:val="2"/>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rPr>
            </w:pPr>
            <w:r>
              <w:rPr>
                <w:rFonts w:ascii="Times New Roman" w:hAnsi="Times New Roman" w:eastAsia="宋体" w:cs="Times New Roman"/>
                <w:color w:val="auto"/>
                <w:kern w:val="0"/>
                <w:szCs w:val="21"/>
                <w:highlight w:val="none"/>
                <w:lang w:val="zh-TW" w:eastAsia="zh-TW"/>
              </w:rPr>
              <w:t>多年平均气压（</w:t>
            </w:r>
            <w:r>
              <w:rPr>
                <w:rFonts w:ascii="Times New Roman" w:hAnsi="Times New Roman" w:eastAsia="宋体" w:cs="Times New Roman"/>
                <w:color w:val="auto"/>
                <w:kern w:val="0"/>
                <w:szCs w:val="21"/>
                <w:highlight w:val="none"/>
              </w:rPr>
              <w:t>hPa</w:t>
            </w:r>
            <w:r>
              <w:rPr>
                <w:rFonts w:ascii="Times New Roman" w:hAnsi="Times New Roman" w:eastAsia="宋体" w:cs="Times New Roman"/>
                <w:color w:val="auto"/>
                <w:kern w:val="0"/>
                <w:szCs w:val="21"/>
                <w:highlight w:val="none"/>
                <w:lang w:val="zh-TW" w:eastAsia="zh-TW"/>
              </w:rPr>
              <w:t>）</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PMingLiU" w:cs="Times New Roman"/>
                <w:color w:val="auto"/>
                <w:kern w:val="0"/>
                <w:szCs w:val="21"/>
                <w:highlight w:val="none"/>
                <w:lang w:eastAsia="en-US"/>
              </w:rPr>
            </w:pPr>
            <w:r>
              <w:rPr>
                <w:rFonts w:ascii="Times New Roman" w:hAnsi="Times New Roman" w:eastAsia="PMingLiU" w:cs="Times New Roman"/>
                <w:color w:val="auto"/>
                <w:kern w:val="0"/>
                <w:szCs w:val="21"/>
                <w:highlight w:val="none"/>
                <w:lang w:val="zh-TW" w:eastAsia="zh-TW"/>
              </w:rPr>
              <w:t>108.41</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2320" w:type="pct"/>
            <w:gridSpan w:val="2"/>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rPr>
            </w:pPr>
            <w:r>
              <w:rPr>
                <w:rFonts w:ascii="Times New Roman" w:hAnsi="Times New Roman" w:eastAsia="宋体" w:cs="Times New Roman"/>
                <w:color w:val="auto"/>
                <w:kern w:val="0"/>
                <w:szCs w:val="21"/>
                <w:highlight w:val="none"/>
                <w:lang w:val="zh-TW" w:eastAsia="zh-TW"/>
              </w:rPr>
              <w:t>多年平均水汽压（</w:t>
            </w:r>
            <w:r>
              <w:rPr>
                <w:rFonts w:ascii="Times New Roman" w:hAnsi="Times New Roman" w:eastAsia="宋体" w:cs="Times New Roman"/>
                <w:color w:val="auto"/>
                <w:kern w:val="0"/>
                <w:szCs w:val="21"/>
                <w:highlight w:val="none"/>
              </w:rPr>
              <w:t>hPa</w:t>
            </w:r>
            <w:r>
              <w:rPr>
                <w:rFonts w:ascii="Times New Roman" w:hAnsi="Times New Roman" w:eastAsia="宋体" w:cs="Times New Roman"/>
                <w:color w:val="auto"/>
                <w:kern w:val="0"/>
                <w:szCs w:val="21"/>
                <w:highlight w:val="none"/>
                <w:lang w:val="zh-TW" w:eastAsia="zh-TW"/>
              </w:rPr>
              <w:t>）</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16.58</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2320" w:type="pct"/>
            <w:gridSpan w:val="2"/>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val="zh-TW" w:eastAsia="zh-TW"/>
              </w:rPr>
              <w:t>多年平均相对湿度</w:t>
            </w:r>
            <w:r>
              <w:rPr>
                <w:rFonts w:ascii="Times New Roman" w:hAnsi="Times New Roman" w:eastAsia="宋体" w:cs="Times New Roman"/>
                <w:color w:val="auto"/>
                <w:kern w:val="0"/>
                <w:szCs w:val="21"/>
                <w:highlight w:val="none"/>
                <w:lang w:eastAsia="en-US"/>
              </w:rPr>
              <w:t>(%)</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75.49</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2320" w:type="pct"/>
            <w:gridSpan w:val="2"/>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val="zh-TW" w:eastAsia="zh-TW"/>
              </w:rPr>
              <w:t>多年平均降水量</w:t>
            </w:r>
            <w:r>
              <w:rPr>
                <w:rFonts w:ascii="Times New Roman" w:hAnsi="Times New Roman" w:eastAsia="宋体" w:cs="Times New Roman"/>
                <w:color w:val="auto"/>
                <w:kern w:val="0"/>
                <w:szCs w:val="21"/>
                <w:highlight w:val="none"/>
                <w:lang w:eastAsia="en-US"/>
              </w:rPr>
              <w:t>(mm)</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1611.80</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2320" w:type="pct"/>
            <w:gridSpan w:val="2"/>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PMingLiU" w:cs="Times New Roman"/>
                <w:color w:val="auto"/>
                <w:kern w:val="0"/>
                <w:szCs w:val="21"/>
                <w:highlight w:val="none"/>
                <w:lang w:val="zh-TW" w:eastAsia="zh-TW"/>
              </w:rPr>
            </w:pPr>
            <w:r>
              <w:rPr>
                <w:rFonts w:ascii="Times New Roman" w:hAnsi="Times New Roman" w:eastAsia="宋体" w:cs="Times New Roman"/>
                <w:color w:val="auto"/>
                <w:kern w:val="0"/>
                <w:szCs w:val="21"/>
                <w:highlight w:val="none"/>
                <w:lang w:val="zh-TW" w:eastAsia="zh-TW"/>
              </w:rPr>
              <w:t>多年平均日最大降水量（mm）</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130.43</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2017-06-23</w:t>
            </w: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PMingLiU" w:cs="Times New Roman"/>
                <w:color w:val="auto"/>
                <w:kern w:val="0"/>
                <w:szCs w:val="21"/>
                <w:highlight w:val="none"/>
                <w:lang w:val="zh-TW" w:eastAsia="zh-TW"/>
              </w:rPr>
            </w:pPr>
            <w:r>
              <w:rPr>
                <w:rFonts w:ascii="Times New Roman" w:hAnsi="Times New Roman" w:eastAsia="宋体" w:cs="Times New Roman"/>
                <w:color w:val="auto"/>
                <w:kern w:val="0"/>
                <w:szCs w:val="21"/>
                <w:highlight w:val="none"/>
                <w:lang w:val="zh-TW"/>
              </w:rPr>
              <w:t>2</w:t>
            </w:r>
            <w:r>
              <w:rPr>
                <w:rFonts w:ascii="Times New Roman" w:hAnsi="Times New Roman" w:eastAsia="PMingLiU" w:cs="Times New Roman"/>
                <w:color w:val="auto"/>
                <w:kern w:val="0"/>
                <w:szCs w:val="21"/>
                <w:highlight w:val="none"/>
                <w:lang w:val="zh-TW" w:eastAsia="zh-TW"/>
              </w:rPr>
              <w:t>76.5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728" w:type="pct"/>
            <w:vMerge w:val="restar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val="zh-TW" w:eastAsia="zh-TW"/>
              </w:rPr>
              <w:t>灾害天气统计</w:t>
            </w:r>
          </w:p>
        </w:tc>
        <w:tc>
          <w:tcPr>
            <w:tcW w:w="1591"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val="zh-TW" w:eastAsia="zh-TW"/>
              </w:rPr>
              <w:t>多年平均沙暴日数</w:t>
            </w:r>
            <w:r>
              <w:rPr>
                <w:rFonts w:ascii="Times New Roman" w:hAnsi="Times New Roman" w:eastAsia="宋体" w:cs="Times New Roman"/>
                <w:color w:val="auto"/>
                <w:kern w:val="0"/>
                <w:szCs w:val="21"/>
                <w:highlight w:val="none"/>
                <w:lang w:eastAsia="en-US"/>
              </w:rPr>
              <w:t>(d)</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0.0</w:t>
            </w:r>
          </w:p>
          <w:p>
            <w:pPr>
              <w:jc w:val="left"/>
              <w:rPr>
                <w:rFonts w:ascii="Times New Roman" w:hAnsi="Times New Roman" w:eastAsia="Arial Unicode MS" w:cs="Times New Roman"/>
                <w:color w:val="auto"/>
                <w:kern w:val="0"/>
                <w:szCs w:val="21"/>
                <w:highlight w:val="none"/>
                <w:lang w:eastAsia="en-US"/>
              </w:rPr>
            </w:pPr>
          </w:p>
          <w:p>
            <w:pPr>
              <w:jc w:val="left"/>
              <w:rPr>
                <w:rFonts w:ascii="Times New Roman" w:hAnsi="Times New Roman" w:eastAsia="Arial Unicode MS" w:cs="Times New Roman"/>
                <w:color w:val="auto"/>
                <w:kern w:val="0"/>
                <w:szCs w:val="21"/>
                <w:highlight w:val="none"/>
                <w:lang w:eastAsia="en-US"/>
              </w:rPr>
            </w:pP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728" w:type="pct"/>
            <w:vMerge w:val="continue"/>
            <w:tcBorders>
              <w:tl2br w:val="nil"/>
              <w:tr2bl w:val="nil"/>
            </w:tcBorders>
            <w:noWrap w:val="0"/>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1591"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val="zh-TW" w:eastAsia="zh-TW"/>
              </w:rPr>
              <w:t>多年平均雷暴日数</w:t>
            </w:r>
            <w:r>
              <w:rPr>
                <w:rFonts w:ascii="Times New Roman" w:hAnsi="Times New Roman" w:eastAsia="宋体" w:cs="Times New Roman"/>
                <w:color w:val="auto"/>
                <w:kern w:val="0"/>
                <w:szCs w:val="21"/>
                <w:highlight w:val="none"/>
                <w:lang w:eastAsia="en-US"/>
              </w:rPr>
              <w:t>(d)</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32.31</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728" w:type="pct"/>
            <w:vMerge w:val="continue"/>
            <w:tcBorders>
              <w:tl2br w:val="nil"/>
              <w:tr2bl w:val="nil"/>
            </w:tcBorders>
            <w:noWrap w:val="0"/>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1591"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val="zh-TW" w:eastAsia="zh-TW"/>
              </w:rPr>
              <w:t>多年平均冰雹日数</w:t>
            </w:r>
            <w:r>
              <w:rPr>
                <w:rFonts w:ascii="Times New Roman" w:hAnsi="Times New Roman" w:eastAsia="宋体" w:cs="Times New Roman"/>
                <w:color w:val="auto"/>
                <w:kern w:val="0"/>
                <w:szCs w:val="21"/>
                <w:highlight w:val="none"/>
                <w:lang w:eastAsia="en-US"/>
              </w:rPr>
              <w:t>(d)</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0.25</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728" w:type="pct"/>
            <w:vMerge w:val="continue"/>
            <w:tcBorders>
              <w:tl2br w:val="nil"/>
              <w:tr2bl w:val="nil"/>
            </w:tcBorders>
            <w:noWrap w:val="0"/>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1591"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val="zh-TW" w:eastAsia="zh-TW"/>
              </w:rPr>
              <w:t>多年平均大风日数</w:t>
            </w:r>
            <w:r>
              <w:rPr>
                <w:rFonts w:ascii="Times New Roman" w:hAnsi="Times New Roman" w:eastAsia="宋体" w:cs="Times New Roman"/>
                <w:color w:val="auto"/>
                <w:kern w:val="0"/>
                <w:szCs w:val="21"/>
                <w:highlight w:val="none"/>
                <w:lang w:eastAsia="en-US"/>
              </w:rPr>
              <w:t>(d)</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1.2</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2320" w:type="pct"/>
            <w:gridSpan w:val="2"/>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rPr>
            </w:pPr>
            <w:r>
              <w:rPr>
                <w:rFonts w:ascii="Times New Roman" w:hAnsi="Times New Roman" w:eastAsia="宋体" w:cs="Times New Roman"/>
                <w:color w:val="auto"/>
                <w:kern w:val="0"/>
                <w:szCs w:val="21"/>
                <w:highlight w:val="none"/>
                <w:lang w:val="zh-TW" w:eastAsia="zh-TW"/>
              </w:rPr>
              <w:t>多年极大风速（</w:t>
            </w:r>
            <w:r>
              <w:rPr>
                <w:rFonts w:ascii="Times New Roman" w:hAnsi="Times New Roman" w:eastAsia="宋体" w:cs="Times New Roman"/>
                <w:color w:val="auto"/>
                <w:kern w:val="0"/>
                <w:szCs w:val="21"/>
                <w:highlight w:val="none"/>
              </w:rPr>
              <w:t>m/s</w:t>
            </w:r>
            <w:r>
              <w:rPr>
                <w:rFonts w:ascii="Times New Roman" w:hAnsi="Times New Roman" w:eastAsia="宋体" w:cs="Times New Roman"/>
                <w:color w:val="auto"/>
                <w:kern w:val="0"/>
                <w:szCs w:val="21"/>
                <w:highlight w:val="none"/>
                <w:lang w:val="zh-TW" w:eastAsia="zh-TW"/>
              </w:rPr>
              <w:t>）</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16.97</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2009-02-12</w:t>
            </w:r>
          </w:p>
        </w:tc>
        <w:tc>
          <w:tcPr>
            <w:tcW w:w="812" w:type="pct"/>
            <w:tcBorders>
              <w:tl2br w:val="nil"/>
              <w:tr2bl w:val="nil"/>
            </w:tcBorders>
            <w:noWrap w:val="0"/>
            <w:tcMar>
              <w:top w:w="80" w:type="dxa"/>
              <w:left w:w="80" w:type="dxa"/>
              <w:bottom w:w="80" w:type="dxa"/>
              <w:right w:w="80" w:type="dxa"/>
            </w:tcMar>
            <w:vAlign w:val="center"/>
          </w:tcPr>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 xml:space="preserve">21.0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2320" w:type="pct"/>
            <w:gridSpan w:val="2"/>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rPr>
            </w:pPr>
            <w:r>
              <w:rPr>
                <w:rFonts w:ascii="Times New Roman" w:hAnsi="Times New Roman" w:eastAsia="宋体" w:cs="Times New Roman"/>
                <w:color w:val="auto"/>
                <w:kern w:val="0"/>
                <w:szCs w:val="21"/>
                <w:highlight w:val="none"/>
                <w:lang w:val="zh-TW" w:eastAsia="zh-TW"/>
              </w:rPr>
              <w:t>多年平均风速（</w:t>
            </w:r>
            <w:r>
              <w:rPr>
                <w:rFonts w:ascii="Times New Roman" w:hAnsi="Times New Roman" w:eastAsia="宋体" w:cs="Times New Roman"/>
                <w:color w:val="auto"/>
                <w:kern w:val="0"/>
                <w:szCs w:val="21"/>
                <w:highlight w:val="none"/>
              </w:rPr>
              <w:t>m/s</w:t>
            </w:r>
            <w:r>
              <w:rPr>
                <w:rFonts w:ascii="Times New Roman" w:hAnsi="Times New Roman" w:eastAsia="宋体" w:cs="Times New Roman"/>
                <w:color w:val="auto"/>
                <w:kern w:val="0"/>
                <w:szCs w:val="21"/>
                <w:highlight w:val="none"/>
                <w:lang w:val="zh-TW" w:eastAsia="zh-TW"/>
              </w:rPr>
              <w:t>）</w:t>
            </w:r>
          </w:p>
        </w:tc>
        <w:tc>
          <w:tcPr>
            <w:tcW w:w="977"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1.66</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2320" w:type="pct"/>
            <w:gridSpan w:val="2"/>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Arial Unicode MS" w:cs="Times New Roman"/>
                <w:color w:val="auto"/>
                <w:kern w:val="0"/>
                <w:szCs w:val="21"/>
                <w:highlight w:val="none"/>
              </w:rPr>
            </w:pPr>
            <w:r>
              <w:rPr>
                <w:rFonts w:ascii="Times New Roman" w:hAnsi="Times New Roman" w:eastAsia="宋体" w:cs="Times New Roman"/>
                <w:color w:val="auto"/>
                <w:kern w:val="0"/>
                <w:szCs w:val="21"/>
                <w:highlight w:val="none"/>
                <w:lang w:val="zh-TW" w:eastAsia="zh-TW"/>
              </w:rPr>
              <w:t>多年主导风向、风向频率</w:t>
            </w:r>
            <w:r>
              <w:rPr>
                <w:rFonts w:ascii="Times New Roman" w:hAnsi="Times New Roman" w:eastAsia="宋体" w:cs="Times New Roman"/>
                <w:color w:val="auto"/>
                <w:kern w:val="0"/>
                <w:szCs w:val="21"/>
                <w:highlight w:val="none"/>
              </w:rPr>
              <w:t>(%)</w:t>
            </w:r>
          </w:p>
        </w:tc>
        <w:tc>
          <w:tcPr>
            <w:tcW w:w="977" w:type="pct"/>
            <w:tcBorders>
              <w:tl2br w:val="nil"/>
              <w:tr2bl w:val="nil"/>
            </w:tcBorders>
            <w:noWrap w:val="0"/>
            <w:tcMar>
              <w:top w:w="80" w:type="dxa"/>
              <w:left w:w="80" w:type="dxa"/>
              <w:bottom w:w="80" w:type="dxa"/>
              <w:right w:w="80" w:type="dxa"/>
            </w:tcMar>
            <w:vAlign w:val="center"/>
          </w:tcPr>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hAnsi="Times New Roman" w:eastAsia="Arial Unicode MS"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NNE</w:t>
            </w:r>
            <w:r>
              <w:rPr>
                <w:rFonts w:ascii="Times New Roman" w:hAnsi="Times New Roman" w:eastAsia="宋体" w:cs="Times New Roman"/>
                <w:color w:val="auto"/>
                <w:kern w:val="0"/>
                <w:szCs w:val="21"/>
                <w:highlight w:val="none"/>
              </w:rPr>
              <w:t>、1</w:t>
            </w:r>
            <w:r>
              <w:rPr>
                <w:rFonts w:ascii="Times New Roman" w:hAnsi="Times New Roman" w:eastAsia="宋体" w:cs="Times New Roman"/>
                <w:color w:val="auto"/>
                <w:kern w:val="0"/>
                <w:szCs w:val="21"/>
                <w:highlight w:val="none"/>
                <w:lang w:eastAsia="en-US"/>
              </w:rPr>
              <w:t>6.96</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exact"/>
          <w:jc w:val="center"/>
        </w:trPr>
        <w:tc>
          <w:tcPr>
            <w:tcW w:w="2320" w:type="pct"/>
            <w:gridSpan w:val="2"/>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val="zh-TW" w:eastAsia="zh-TW"/>
              </w:rPr>
            </w:pPr>
            <w:r>
              <w:rPr>
                <w:rFonts w:ascii="Times New Roman" w:hAnsi="Times New Roman" w:eastAsia="宋体" w:cs="Times New Roman"/>
                <w:color w:val="auto"/>
                <w:kern w:val="0"/>
                <w:szCs w:val="21"/>
                <w:highlight w:val="none"/>
                <w:lang w:val="zh-TW" w:eastAsia="zh-TW"/>
              </w:rPr>
              <w:t>多年静风频率(风速&lt;0.2m/s)</w:t>
            </w:r>
            <w:r>
              <w:rPr>
                <w:rFonts w:ascii="Times New Roman" w:hAnsi="Times New Roman" w:eastAsia="宋体" w:cs="Times New Roman"/>
                <w:color w:val="auto"/>
                <w:kern w:val="0"/>
                <w:szCs w:val="21"/>
                <w:highlight w:val="none"/>
              </w:rPr>
              <w:t>(%)</w:t>
            </w:r>
          </w:p>
        </w:tc>
        <w:tc>
          <w:tcPr>
            <w:tcW w:w="977" w:type="pct"/>
            <w:tcBorders>
              <w:tl2br w:val="nil"/>
              <w:tr2bl w:val="nil"/>
            </w:tcBorders>
            <w:noWrap w:val="0"/>
            <w:tcMar>
              <w:top w:w="80" w:type="dxa"/>
              <w:left w:w="80" w:type="dxa"/>
              <w:bottom w:w="80" w:type="dxa"/>
              <w:right w:w="80" w:type="dxa"/>
            </w:tcMar>
            <w:vAlign w:val="center"/>
          </w:tcPr>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hAnsi="Times New Roman" w:eastAsia="PMingLiU" w:cs="Times New Roman"/>
                <w:color w:val="auto"/>
                <w:kern w:val="0"/>
                <w:szCs w:val="21"/>
                <w:highlight w:val="none"/>
                <w:lang w:eastAsia="en-US"/>
              </w:rPr>
            </w:pPr>
            <w:r>
              <w:rPr>
                <w:rFonts w:ascii="Times New Roman" w:hAnsi="Times New Roman" w:eastAsia="PMingLiU" w:cs="Times New Roman"/>
                <w:color w:val="auto"/>
                <w:kern w:val="0"/>
                <w:szCs w:val="21"/>
                <w:highlight w:val="none"/>
                <w:lang w:val="zh-TW" w:eastAsia="zh-TW"/>
              </w:rPr>
              <w:t>18.20</w:t>
            </w:r>
          </w:p>
        </w:tc>
        <w:tc>
          <w:tcPr>
            <w:tcW w:w="890"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c>
          <w:tcPr>
            <w:tcW w:w="812" w:type="pct"/>
            <w:tcBorders>
              <w:tl2br w:val="nil"/>
              <w:tr2bl w:val="nil"/>
            </w:tcBorders>
            <w:noWrap w:val="0"/>
            <w:tcMar>
              <w:top w:w="80" w:type="dxa"/>
              <w:left w:w="80" w:type="dxa"/>
              <w:bottom w:w="80" w:type="dxa"/>
              <w:right w:w="80" w:type="dxa"/>
            </w:tcMar>
            <w:vAlign w:val="center"/>
          </w:tcPr>
          <w:p>
            <w:pPr>
              <w:autoSpaceDE w:val="0"/>
              <w:autoSpaceDN w:val="0"/>
              <w:jc w:val="center"/>
              <w:rPr>
                <w:rFonts w:ascii="Times New Roman" w:hAnsi="Times New Roman" w:eastAsia="宋体" w:cs="Times New Roman"/>
                <w:color w:val="auto"/>
                <w:kern w:val="0"/>
                <w:szCs w:val="21"/>
                <w:highlight w:val="none"/>
                <w:lang w:eastAsia="en-US"/>
              </w:rPr>
            </w:pPr>
          </w:p>
        </w:tc>
      </w:tr>
    </w:tbl>
    <w:p>
      <w:pPr>
        <w:pStyle w:val="33"/>
        <w:ind w:firstLine="480"/>
        <w:rPr>
          <w:color w:val="auto"/>
          <w:lang w:val="zh-TW" w:eastAsia="en-US"/>
        </w:rPr>
      </w:pPr>
      <w:r>
        <w:rPr>
          <w:color w:val="auto"/>
          <w:lang w:val="zh-TW" w:eastAsia="en-US"/>
        </w:rPr>
        <w:t>1、风速</w:t>
      </w:r>
    </w:p>
    <w:p>
      <w:pPr>
        <w:pStyle w:val="33"/>
        <w:ind w:firstLine="480"/>
        <w:rPr>
          <w:color w:val="auto"/>
          <w:lang w:val="zh-TW"/>
        </w:rPr>
      </w:pPr>
      <w:r>
        <w:rPr>
          <w:color w:val="auto"/>
          <w:lang w:val="zh-TW"/>
        </w:rPr>
        <w:t>临湘地区年平均风速1.66m/s，月平均风速7月份相对较大为1.96m/s，10月份相对较小为1.41m/s，月平均风速如下表。</w:t>
      </w:r>
    </w:p>
    <w:p>
      <w:pPr>
        <w:pStyle w:val="36"/>
        <w:rPr>
          <w:rFonts w:hint="default" w:ascii="Times New Roman" w:hAnsi="Times New Roman" w:eastAsia="宋体" w:cs="Times New Roman"/>
          <w:snapToGrid w:val="0"/>
          <w:color w:val="auto"/>
          <w:kern w:val="0"/>
          <w:sz w:val="24"/>
          <w:highlight w:val="none"/>
        </w:rPr>
      </w:pPr>
      <w:r>
        <w:rPr>
          <w:rFonts w:hint="eastAsia" w:ascii="Times New Roman" w:hAnsi="Times New Roman" w:eastAsia="宋体" w:cs="Times New Roman"/>
          <w:snapToGrid w:val="0"/>
          <w:color w:val="auto"/>
          <w:kern w:val="0"/>
          <w:sz w:val="24"/>
          <w:highlight w:val="none"/>
          <w:lang w:val="en-US" w:eastAsia="zh-CN"/>
        </w:rPr>
        <w:t>表</w:t>
      </w:r>
      <w:r>
        <w:rPr>
          <w:rFonts w:hint="eastAsia" w:ascii="Times New Roman" w:hAnsi="Times New Roman" w:cs="Times New Roman"/>
          <w:snapToGrid w:val="0"/>
          <w:color w:val="auto"/>
          <w:kern w:val="0"/>
          <w:sz w:val="24"/>
          <w:highlight w:val="none"/>
          <w:lang w:val="en-US" w:eastAsia="zh-CN"/>
        </w:rPr>
        <w:t>7.1</w:t>
      </w:r>
      <w:r>
        <w:rPr>
          <w:rFonts w:hint="default" w:ascii="Times New Roman" w:hAnsi="Times New Roman" w:eastAsia="宋体" w:cs="Times New Roman"/>
          <w:snapToGrid w:val="0"/>
          <w:color w:val="auto"/>
          <w:kern w:val="0"/>
          <w:sz w:val="24"/>
          <w:highlight w:val="none"/>
          <w:lang w:val="en-US" w:eastAsia="zh-CN"/>
        </w:rPr>
        <w:t>-2</w:t>
      </w:r>
      <w:r>
        <w:rPr>
          <w:rFonts w:hint="eastAsia" w:ascii="Times New Roman" w:hAnsi="Times New Roman" w:eastAsia="宋体" w:cs="Times New Roman"/>
          <w:snapToGrid w:val="0"/>
          <w:color w:val="auto"/>
          <w:kern w:val="0"/>
          <w:sz w:val="24"/>
          <w:highlight w:val="none"/>
          <w:lang w:val="en-US" w:eastAsia="zh-CN"/>
        </w:rPr>
        <w:t xml:space="preserve">   </w:t>
      </w:r>
      <w:r>
        <w:rPr>
          <w:rFonts w:hint="default" w:ascii="Times New Roman" w:hAnsi="Times New Roman" w:eastAsia="宋体" w:cs="Times New Roman"/>
          <w:snapToGrid w:val="0"/>
          <w:color w:val="auto"/>
          <w:kern w:val="0"/>
          <w:sz w:val="24"/>
          <w:highlight w:val="none"/>
        </w:rPr>
        <w:t>临湘气象站月平均风速统计（2000~2019年）</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48"/>
        <w:gridCol w:w="575"/>
        <w:gridCol w:w="660"/>
        <w:gridCol w:w="617"/>
        <w:gridCol w:w="575"/>
        <w:gridCol w:w="615"/>
        <w:gridCol w:w="575"/>
        <w:gridCol w:w="617"/>
        <w:gridCol w:w="617"/>
        <w:gridCol w:w="617"/>
        <w:gridCol w:w="575"/>
        <w:gridCol w:w="575"/>
        <w:gridCol w:w="660"/>
        <w:gridCol w:w="6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481"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月份</w:t>
            </w:r>
          </w:p>
        </w:tc>
        <w:tc>
          <w:tcPr>
            <w:tcW w:w="326"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1</w:t>
            </w:r>
            <w:r>
              <w:rPr>
                <w:rFonts w:ascii="Times New Roman" w:hAnsi="Times New Roman" w:eastAsia="宋体" w:cs="Times New Roman"/>
                <w:b/>
                <w:bCs/>
                <w:color w:val="auto"/>
                <w:kern w:val="0"/>
                <w:szCs w:val="21"/>
                <w:highlight w:val="none"/>
                <w:lang w:eastAsia="en-US"/>
              </w:rPr>
              <w:t>月</w:t>
            </w:r>
          </w:p>
        </w:tc>
        <w:tc>
          <w:tcPr>
            <w:tcW w:w="374"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2</w:t>
            </w:r>
            <w:r>
              <w:rPr>
                <w:rFonts w:ascii="Times New Roman" w:hAnsi="Times New Roman" w:eastAsia="宋体" w:cs="Times New Roman"/>
                <w:b/>
                <w:bCs/>
                <w:color w:val="auto"/>
                <w:kern w:val="0"/>
                <w:szCs w:val="21"/>
                <w:highlight w:val="none"/>
                <w:lang w:eastAsia="en-US"/>
              </w:rPr>
              <w:t>月</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3</w:t>
            </w:r>
            <w:r>
              <w:rPr>
                <w:rFonts w:ascii="Times New Roman" w:hAnsi="Times New Roman" w:eastAsia="宋体" w:cs="Times New Roman"/>
                <w:b/>
                <w:bCs/>
                <w:color w:val="auto"/>
                <w:kern w:val="0"/>
                <w:szCs w:val="21"/>
                <w:highlight w:val="none"/>
                <w:lang w:eastAsia="en-US"/>
              </w:rPr>
              <w:t>月</w:t>
            </w:r>
          </w:p>
        </w:tc>
        <w:tc>
          <w:tcPr>
            <w:tcW w:w="326"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4</w:t>
            </w:r>
            <w:r>
              <w:rPr>
                <w:rFonts w:ascii="Times New Roman" w:hAnsi="Times New Roman" w:eastAsia="宋体" w:cs="Times New Roman"/>
                <w:b/>
                <w:bCs/>
                <w:color w:val="auto"/>
                <w:kern w:val="0"/>
                <w:szCs w:val="21"/>
                <w:highlight w:val="none"/>
                <w:lang w:eastAsia="en-US"/>
              </w:rPr>
              <w:t>月</w:t>
            </w:r>
          </w:p>
        </w:tc>
        <w:tc>
          <w:tcPr>
            <w:tcW w:w="349"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5</w:t>
            </w:r>
            <w:r>
              <w:rPr>
                <w:rFonts w:ascii="Times New Roman" w:hAnsi="Times New Roman" w:eastAsia="宋体" w:cs="Times New Roman"/>
                <w:b/>
                <w:bCs/>
                <w:color w:val="auto"/>
                <w:kern w:val="0"/>
                <w:szCs w:val="21"/>
                <w:highlight w:val="none"/>
                <w:lang w:eastAsia="en-US"/>
              </w:rPr>
              <w:t>月</w:t>
            </w:r>
          </w:p>
        </w:tc>
        <w:tc>
          <w:tcPr>
            <w:tcW w:w="326"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6</w:t>
            </w:r>
            <w:r>
              <w:rPr>
                <w:rFonts w:ascii="Times New Roman" w:hAnsi="Times New Roman" w:eastAsia="宋体" w:cs="Times New Roman"/>
                <w:b/>
                <w:bCs/>
                <w:color w:val="auto"/>
                <w:kern w:val="0"/>
                <w:szCs w:val="21"/>
                <w:highlight w:val="none"/>
                <w:lang w:eastAsia="en-US"/>
              </w:rPr>
              <w:t>月</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7</w:t>
            </w:r>
            <w:r>
              <w:rPr>
                <w:rFonts w:ascii="Times New Roman" w:hAnsi="Times New Roman" w:eastAsia="宋体" w:cs="Times New Roman"/>
                <w:b/>
                <w:bCs/>
                <w:color w:val="auto"/>
                <w:kern w:val="0"/>
                <w:szCs w:val="21"/>
                <w:highlight w:val="none"/>
                <w:lang w:eastAsia="en-US"/>
              </w:rPr>
              <w:t>月</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8</w:t>
            </w:r>
            <w:r>
              <w:rPr>
                <w:rFonts w:ascii="Times New Roman" w:hAnsi="Times New Roman" w:eastAsia="宋体" w:cs="Times New Roman"/>
                <w:b/>
                <w:bCs/>
                <w:color w:val="auto"/>
                <w:kern w:val="0"/>
                <w:szCs w:val="21"/>
                <w:highlight w:val="none"/>
                <w:lang w:eastAsia="en-US"/>
              </w:rPr>
              <w:t>月</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9</w:t>
            </w:r>
            <w:r>
              <w:rPr>
                <w:rFonts w:ascii="Times New Roman" w:hAnsi="Times New Roman" w:eastAsia="宋体" w:cs="Times New Roman"/>
                <w:b/>
                <w:bCs/>
                <w:color w:val="auto"/>
                <w:kern w:val="0"/>
                <w:szCs w:val="21"/>
                <w:highlight w:val="none"/>
                <w:lang w:eastAsia="en-US"/>
              </w:rPr>
              <w:t>月</w:t>
            </w:r>
          </w:p>
        </w:tc>
        <w:tc>
          <w:tcPr>
            <w:tcW w:w="326"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10</w:t>
            </w:r>
            <w:r>
              <w:rPr>
                <w:rFonts w:ascii="Times New Roman" w:hAnsi="Times New Roman" w:eastAsia="宋体" w:cs="Times New Roman"/>
                <w:b/>
                <w:bCs/>
                <w:color w:val="auto"/>
                <w:kern w:val="0"/>
                <w:szCs w:val="21"/>
                <w:highlight w:val="none"/>
                <w:lang w:eastAsia="en-US"/>
              </w:rPr>
              <w:t>月</w:t>
            </w:r>
          </w:p>
        </w:tc>
        <w:tc>
          <w:tcPr>
            <w:tcW w:w="326"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11</w:t>
            </w:r>
            <w:r>
              <w:rPr>
                <w:rFonts w:ascii="Times New Roman" w:hAnsi="Times New Roman" w:eastAsia="宋体" w:cs="Times New Roman"/>
                <w:b/>
                <w:bCs/>
                <w:color w:val="auto"/>
                <w:kern w:val="0"/>
                <w:szCs w:val="21"/>
                <w:highlight w:val="none"/>
                <w:lang w:eastAsia="en-US"/>
              </w:rPr>
              <w:t>月</w:t>
            </w:r>
          </w:p>
        </w:tc>
        <w:tc>
          <w:tcPr>
            <w:tcW w:w="374"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12</w:t>
            </w:r>
            <w:r>
              <w:rPr>
                <w:rFonts w:ascii="Times New Roman" w:hAnsi="Times New Roman" w:eastAsia="宋体" w:cs="Times New Roman"/>
                <w:b/>
                <w:bCs/>
                <w:color w:val="auto"/>
                <w:kern w:val="0"/>
                <w:szCs w:val="21"/>
                <w:highlight w:val="none"/>
                <w:lang w:eastAsia="en-US"/>
              </w:rPr>
              <w:t>月</w:t>
            </w:r>
          </w:p>
        </w:tc>
        <w:tc>
          <w:tcPr>
            <w:tcW w:w="393"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481"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风速</w:t>
            </w:r>
            <w:r>
              <w:rPr>
                <w:rFonts w:ascii="Times New Roman" w:hAnsi="Times New Roman" w:eastAsia="Noto Sans CJK JP Black" w:cs="Times New Roman"/>
                <w:color w:val="auto"/>
                <w:kern w:val="0"/>
                <w:szCs w:val="21"/>
                <w:highlight w:val="none"/>
                <w:lang w:eastAsia="en-US"/>
              </w:rPr>
              <w:t>m/s</w:t>
            </w:r>
          </w:p>
        </w:tc>
        <w:tc>
          <w:tcPr>
            <w:tcW w:w="326"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1.54</w:t>
            </w:r>
          </w:p>
        </w:tc>
        <w:tc>
          <w:tcPr>
            <w:tcW w:w="374"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1.63</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1.75</w:t>
            </w:r>
          </w:p>
        </w:tc>
        <w:tc>
          <w:tcPr>
            <w:tcW w:w="326"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1.88</w:t>
            </w:r>
          </w:p>
        </w:tc>
        <w:tc>
          <w:tcPr>
            <w:tcW w:w="349"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1.7</w:t>
            </w:r>
          </w:p>
        </w:tc>
        <w:tc>
          <w:tcPr>
            <w:tcW w:w="326"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1.6</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1.96</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1.75</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1.58</w:t>
            </w:r>
          </w:p>
        </w:tc>
        <w:tc>
          <w:tcPr>
            <w:tcW w:w="326"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1.41</w:t>
            </w:r>
          </w:p>
        </w:tc>
        <w:tc>
          <w:tcPr>
            <w:tcW w:w="326"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1.45</w:t>
            </w:r>
          </w:p>
        </w:tc>
        <w:tc>
          <w:tcPr>
            <w:tcW w:w="374"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1.53</w:t>
            </w:r>
          </w:p>
        </w:tc>
        <w:tc>
          <w:tcPr>
            <w:tcW w:w="393"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1.66</w:t>
            </w:r>
          </w:p>
        </w:tc>
      </w:tr>
    </w:tbl>
    <w:p>
      <w:pPr>
        <w:pStyle w:val="33"/>
        <w:ind w:firstLine="480"/>
        <w:rPr>
          <w:rFonts w:ascii="Times New Roman" w:hAnsi="Times New Roman" w:eastAsia="Arial Unicode MS" w:cs="Times New Roman"/>
          <w:color w:val="auto"/>
          <w:kern w:val="0"/>
          <w:sz w:val="24"/>
          <w:highlight w:val="none"/>
          <w:lang w:eastAsia="en-US"/>
        </w:rPr>
      </w:pPr>
      <w:r>
        <w:rPr>
          <w:rFonts w:ascii="Times New Roman" w:hAnsi="Times New Roman" w:eastAsia="宋体" w:cs="Times New Roman"/>
          <w:color w:val="auto"/>
          <w:kern w:val="0"/>
          <w:sz w:val="24"/>
          <w:highlight w:val="none"/>
          <w:lang w:eastAsia="en-US"/>
        </w:rPr>
        <w:t>2、风向</w:t>
      </w:r>
    </w:p>
    <w:p>
      <w:pPr>
        <w:pStyle w:val="33"/>
        <w:ind w:firstLine="480"/>
        <w:rPr>
          <w:rFonts w:ascii="Times New Roman" w:hAnsi="Times New Roman" w:eastAsia="Arial Unicode MS" w:cs="Times New Roman"/>
          <w:color w:val="auto"/>
          <w:kern w:val="0"/>
          <w:sz w:val="24"/>
          <w:highlight w:val="none"/>
        </w:rPr>
      </w:pPr>
      <w:r>
        <w:rPr>
          <w:rFonts w:ascii="Times New Roman" w:hAnsi="Times New Roman" w:eastAsia="宋体" w:cs="Times New Roman"/>
          <w:color w:val="auto"/>
          <w:kern w:val="0"/>
          <w:sz w:val="24"/>
          <w:highlight w:val="none"/>
        </w:rPr>
        <w:t>根据临湘气象站近20年（2000~2019年）的统计资料，临湘气象站主要风向为NNE和NE、N，其中以NNE为主风向，占到全年16.96％左右，临湘的风向玫瑰图下图所示：</w:t>
      </w:r>
    </w:p>
    <w:p>
      <w:pPr>
        <w:autoSpaceDE w:val="0"/>
        <w:autoSpaceDN w:val="0"/>
        <w:spacing w:line="360" w:lineRule="auto"/>
        <w:jc w:val="center"/>
        <w:rPr>
          <w:rFonts w:ascii="Times New Roman" w:hAnsi="Times New Roman" w:eastAsia="Songti SC Regular" w:cs="Times New Roman"/>
          <w:color w:val="auto"/>
          <w:kern w:val="0"/>
          <w:sz w:val="24"/>
          <w:highlight w:val="cyan"/>
          <w:lang w:eastAsia="en-US"/>
        </w:rPr>
      </w:pPr>
      <w:r>
        <w:rPr>
          <w:rFonts w:ascii="Times New Roman" w:hAnsi="Times New Roman" w:eastAsia="Noto Sans CJK JP Black" w:cs="Times New Roman"/>
          <w:color w:val="auto"/>
          <w:kern w:val="0"/>
          <w:sz w:val="22"/>
          <w:szCs w:val="22"/>
          <w:highlight w:val="none"/>
        </w:rPr>
        <w:drawing>
          <wp:inline distT="0" distB="0" distL="114300" distR="114300">
            <wp:extent cx="3409950" cy="3324225"/>
            <wp:effectExtent l="0" t="0" r="0" b="9525"/>
            <wp:docPr id="1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pic:cNvPicPr>
                      <a:picLocks noChangeAspect="1"/>
                    </pic:cNvPicPr>
                  </pic:nvPicPr>
                  <pic:blipFill>
                    <a:blip r:embed="rId49"/>
                    <a:stretch>
                      <a:fillRect/>
                    </a:stretch>
                  </pic:blipFill>
                  <pic:spPr>
                    <a:xfrm>
                      <a:off x="0" y="0"/>
                      <a:ext cx="3409950" cy="3324225"/>
                    </a:xfrm>
                    <a:prstGeom prst="rect">
                      <a:avLst/>
                    </a:prstGeom>
                    <a:noFill/>
                    <a:ln>
                      <a:noFill/>
                    </a:ln>
                  </pic:spPr>
                </pic:pic>
              </a:graphicData>
            </a:graphic>
          </wp:inline>
        </w:drawing>
      </w:r>
    </w:p>
    <w:p>
      <w:pPr>
        <w:pStyle w:val="36"/>
        <w:bidi w:val="0"/>
        <w:rPr>
          <w:color w:val="auto"/>
        </w:rPr>
      </w:pPr>
      <w:r>
        <w:rPr>
          <w:rFonts w:hint="eastAsia"/>
          <w:color w:val="auto"/>
          <w:lang w:val="en-US" w:eastAsia="zh-CN"/>
        </w:rPr>
        <w:t>图7.1-1</w:t>
      </w:r>
      <w:r>
        <w:rPr>
          <w:color w:val="auto"/>
        </w:rPr>
        <w:t>临湘风向玫瑰图（静风频率16.61%）</w:t>
      </w:r>
    </w:p>
    <w:p>
      <w:pPr>
        <w:pStyle w:val="33"/>
        <w:ind w:firstLine="48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3、气温</w:t>
      </w:r>
    </w:p>
    <w:p>
      <w:pPr>
        <w:pStyle w:val="33"/>
        <w:ind w:firstLine="48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临湘地区1月份平均气温最低4.54℃，7月份平均气温最高29.45℃，年平均气温17.41℃。</w:t>
      </w:r>
    </w:p>
    <w:p>
      <w:pPr>
        <w:pStyle w:val="36"/>
        <w:bidi w:val="0"/>
        <w:rPr>
          <w:color w:val="auto"/>
        </w:rPr>
      </w:pPr>
      <w:r>
        <w:rPr>
          <w:rFonts w:hint="eastAsia"/>
          <w:color w:val="auto"/>
          <w:lang w:val="en-US" w:eastAsia="zh-CN"/>
        </w:rPr>
        <w:t>表7.1-3</w:t>
      </w:r>
      <w:r>
        <w:rPr>
          <w:color w:val="auto"/>
        </w:rPr>
        <w:t>临湘气象站月平均气温统计</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48"/>
        <w:gridCol w:w="573"/>
        <w:gridCol w:w="667"/>
        <w:gridCol w:w="619"/>
        <w:gridCol w:w="573"/>
        <w:gridCol w:w="617"/>
        <w:gridCol w:w="573"/>
        <w:gridCol w:w="617"/>
        <w:gridCol w:w="617"/>
        <w:gridCol w:w="617"/>
        <w:gridCol w:w="574"/>
        <w:gridCol w:w="565"/>
        <w:gridCol w:w="666"/>
        <w:gridCol w:w="6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481"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月份</w:t>
            </w:r>
          </w:p>
        </w:tc>
        <w:tc>
          <w:tcPr>
            <w:tcW w:w="325"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1</w:t>
            </w:r>
            <w:r>
              <w:rPr>
                <w:rFonts w:ascii="Times New Roman" w:hAnsi="Times New Roman" w:eastAsia="宋体" w:cs="Times New Roman"/>
                <w:b/>
                <w:bCs/>
                <w:color w:val="auto"/>
                <w:kern w:val="0"/>
                <w:szCs w:val="21"/>
                <w:highlight w:val="none"/>
                <w:lang w:eastAsia="en-US"/>
              </w:rPr>
              <w:t>月</w:t>
            </w:r>
          </w:p>
        </w:tc>
        <w:tc>
          <w:tcPr>
            <w:tcW w:w="378"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2</w:t>
            </w:r>
            <w:r>
              <w:rPr>
                <w:rFonts w:ascii="Times New Roman" w:hAnsi="Times New Roman" w:eastAsia="宋体" w:cs="Times New Roman"/>
                <w:b/>
                <w:bCs/>
                <w:color w:val="auto"/>
                <w:kern w:val="0"/>
                <w:szCs w:val="21"/>
                <w:highlight w:val="none"/>
                <w:lang w:eastAsia="en-US"/>
              </w:rPr>
              <w:t>月</w:t>
            </w:r>
          </w:p>
        </w:tc>
        <w:tc>
          <w:tcPr>
            <w:tcW w:w="351"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3</w:t>
            </w:r>
            <w:r>
              <w:rPr>
                <w:rFonts w:ascii="Times New Roman" w:hAnsi="Times New Roman" w:eastAsia="宋体" w:cs="Times New Roman"/>
                <w:b/>
                <w:bCs/>
                <w:color w:val="auto"/>
                <w:kern w:val="0"/>
                <w:szCs w:val="21"/>
                <w:highlight w:val="none"/>
                <w:lang w:eastAsia="en-US"/>
              </w:rPr>
              <w:t>月</w:t>
            </w:r>
          </w:p>
        </w:tc>
        <w:tc>
          <w:tcPr>
            <w:tcW w:w="325"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4</w:t>
            </w:r>
            <w:r>
              <w:rPr>
                <w:rFonts w:ascii="Times New Roman" w:hAnsi="Times New Roman" w:eastAsia="宋体" w:cs="Times New Roman"/>
                <w:b/>
                <w:bCs/>
                <w:color w:val="auto"/>
                <w:kern w:val="0"/>
                <w:szCs w:val="21"/>
                <w:highlight w:val="none"/>
                <w:lang w:eastAsia="en-US"/>
              </w:rPr>
              <w:t>月</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5</w:t>
            </w:r>
            <w:r>
              <w:rPr>
                <w:rFonts w:ascii="Times New Roman" w:hAnsi="Times New Roman" w:eastAsia="宋体" w:cs="Times New Roman"/>
                <w:b/>
                <w:bCs/>
                <w:color w:val="auto"/>
                <w:kern w:val="0"/>
                <w:szCs w:val="21"/>
                <w:highlight w:val="none"/>
                <w:lang w:eastAsia="en-US"/>
              </w:rPr>
              <w:t>月</w:t>
            </w:r>
          </w:p>
        </w:tc>
        <w:tc>
          <w:tcPr>
            <w:tcW w:w="325"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6</w:t>
            </w:r>
            <w:r>
              <w:rPr>
                <w:rFonts w:ascii="Times New Roman" w:hAnsi="Times New Roman" w:eastAsia="宋体" w:cs="Times New Roman"/>
                <w:b/>
                <w:bCs/>
                <w:color w:val="auto"/>
                <w:kern w:val="0"/>
                <w:szCs w:val="21"/>
                <w:highlight w:val="none"/>
                <w:lang w:eastAsia="en-US"/>
              </w:rPr>
              <w:t>月</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7</w:t>
            </w:r>
            <w:r>
              <w:rPr>
                <w:rFonts w:ascii="Times New Roman" w:hAnsi="Times New Roman" w:eastAsia="宋体" w:cs="Times New Roman"/>
                <w:b/>
                <w:bCs/>
                <w:color w:val="auto"/>
                <w:kern w:val="0"/>
                <w:szCs w:val="21"/>
                <w:highlight w:val="none"/>
                <w:lang w:eastAsia="en-US"/>
              </w:rPr>
              <w:t>月</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8</w:t>
            </w:r>
            <w:r>
              <w:rPr>
                <w:rFonts w:ascii="Times New Roman" w:hAnsi="Times New Roman" w:eastAsia="宋体" w:cs="Times New Roman"/>
                <w:b/>
                <w:bCs/>
                <w:color w:val="auto"/>
                <w:kern w:val="0"/>
                <w:szCs w:val="21"/>
                <w:highlight w:val="none"/>
                <w:lang w:eastAsia="en-US"/>
              </w:rPr>
              <w:t>月</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9</w:t>
            </w:r>
            <w:r>
              <w:rPr>
                <w:rFonts w:ascii="Times New Roman" w:hAnsi="Times New Roman" w:eastAsia="宋体" w:cs="Times New Roman"/>
                <w:b/>
                <w:bCs/>
                <w:color w:val="auto"/>
                <w:kern w:val="0"/>
                <w:szCs w:val="21"/>
                <w:highlight w:val="none"/>
                <w:lang w:eastAsia="en-US"/>
              </w:rPr>
              <w:t>月</w:t>
            </w:r>
          </w:p>
        </w:tc>
        <w:tc>
          <w:tcPr>
            <w:tcW w:w="325"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10</w:t>
            </w:r>
            <w:r>
              <w:rPr>
                <w:rFonts w:ascii="Times New Roman" w:hAnsi="Times New Roman" w:eastAsia="宋体" w:cs="Times New Roman"/>
                <w:b/>
                <w:bCs/>
                <w:color w:val="auto"/>
                <w:kern w:val="0"/>
                <w:szCs w:val="21"/>
                <w:highlight w:val="none"/>
                <w:lang w:eastAsia="en-US"/>
              </w:rPr>
              <w:t>月</w:t>
            </w:r>
          </w:p>
        </w:tc>
        <w:tc>
          <w:tcPr>
            <w:tcW w:w="32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11</w:t>
            </w:r>
            <w:r>
              <w:rPr>
                <w:rFonts w:ascii="Times New Roman" w:hAnsi="Times New Roman" w:eastAsia="宋体" w:cs="Times New Roman"/>
                <w:b/>
                <w:bCs/>
                <w:color w:val="auto"/>
                <w:kern w:val="0"/>
                <w:szCs w:val="21"/>
                <w:highlight w:val="none"/>
                <w:lang w:eastAsia="en-US"/>
              </w:rPr>
              <w:t>月</w:t>
            </w:r>
          </w:p>
        </w:tc>
        <w:tc>
          <w:tcPr>
            <w:tcW w:w="377"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12</w:t>
            </w:r>
            <w:r>
              <w:rPr>
                <w:rFonts w:ascii="Times New Roman" w:hAnsi="Times New Roman" w:eastAsia="宋体" w:cs="Times New Roman"/>
                <w:b/>
                <w:bCs/>
                <w:color w:val="auto"/>
                <w:kern w:val="0"/>
                <w:szCs w:val="21"/>
                <w:highlight w:val="none"/>
                <w:lang w:eastAsia="en-US"/>
              </w:rPr>
              <w:t>月</w:t>
            </w:r>
          </w:p>
        </w:tc>
        <w:tc>
          <w:tcPr>
            <w:tcW w:w="392"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481"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温度℃</w:t>
            </w:r>
          </w:p>
        </w:tc>
        <w:tc>
          <w:tcPr>
            <w:tcW w:w="325"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4.54</w:t>
            </w:r>
          </w:p>
        </w:tc>
        <w:tc>
          <w:tcPr>
            <w:tcW w:w="378"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7.06</w:t>
            </w:r>
          </w:p>
        </w:tc>
        <w:tc>
          <w:tcPr>
            <w:tcW w:w="351"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12.24</w:t>
            </w:r>
          </w:p>
        </w:tc>
        <w:tc>
          <w:tcPr>
            <w:tcW w:w="325"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18.01</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22.49</w:t>
            </w:r>
          </w:p>
        </w:tc>
        <w:tc>
          <w:tcPr>
            <w:tcW w:w="325"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26.11</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29.45</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28.07</w:t>
            </w:r>
          </w:p>
        </w:tc>
        <w:tc>
          <w:tcPr>
            <w:tcW w:w="35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23.98</w:t>
            </w:r>
          </w:p>
        </w:tc>
        <w:tc>
          <w:tcPr>
            <w:tcW w:w="325"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18.38</w:t>
            </w:r>
          </w:p>
        </w:tc>
        <w:tc>
          <w:tcPr>
            <w:tcW w:w="320"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12.27</w:t>
            </w:r>
          </w:p>
        </w:tc>
        <w:tc>
          <w:tcPr>
            <w:tcW w:w="377"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6.54</w:t>
            </w:r>
          </w:p>
        </w:tc>
        <w:tc>
          <w:tcPr>
            <w:tcW w:w="392" w:type="pct"/>
            <w:tcBorders>
              <w:tl2br w:val="nil"/>
              <w:tr2bl w:val="nil"/>
            </w:tcBorders>
            <w:noWrap w:val="0"/>
            <w:vAlign w:val="center"/>
          </w:tcPr>
          <w:p>
            <w:pPr>
              <w:autoSpaceDE w:val="0"/>
              <w:autoSpaceDN w:val="0"/>
              <w:adjustRightInd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17.4</w:t>
            </w:r>
          </w:p>
        </w:tc>
      </w:tr>
    </w:tbl>
    <w:p>
      <w:pPr>
        <w:pStyle w:val="33"/>
        <w:ind w:firstLine="48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4、相对湿度</w:t>
      </w:r>
    </w:p>
    <w:p>
      <w:pPr>
        <w:pStyle w:val="33"/>
        <w:ind w:firstLine="48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临湘地区年平均相对湿度为75.26%，各月平均相对湿度见下表。</w:t>
      </w:r>
    </w:p>
    <w:p>
      <w:pPr>
        <w:pStyle w:val="36"/>
        <w:bidi w:val="0"/>
        <w:rPr>
          <w:color w:val="auto"/>
        </w:rPr>
      </w:pPr>
      <w:r>
        <w:rPr>
          <w:rFonts w:hint="eastAsia"/>
          <w:color w:val="auto"/>
          <w:lang w:val="en-US" w:eastAsia="zh-CN"/>
        </w:rPr>
        <w:t>表7.1-4</w:t>
      </w:r>
      <w:r>
        <w:rPr>
          <w:color w:val="auto"/>
        </w:rPr>
        <w:t>临湘市气象站月平均相对湿度统计</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51"/>
        <w:gridCol w:w="573"/>
        <w:gridCol w:w="665"/>
        <w:gridCol w:w="621"/>
        <w:gridCol w:w="566"/>
        <w:gridCol w:w="621"/>
        <w:gridCol w:w="566"/>
        <w:gridCol w:w="621"/>
        <w:gridCol w:w="621"/>
        <w:gridCol w:w="621"/>
        <w:gridCol w:w="566"/>
        <w:gridCol w:w="566"/>
        <w:gridCol w:w="665"/>
        <w:gridCol w:w="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483" w:type="pct"/>
            <w:tcBorders>
              <w:tl2br w:val="nil"/>
              <w:tr2bl w:val="nil"/>
            </w:tcBorders>
            <w:noWrap w:val="0"/>
            <w:vAlign w:val="center"/>
          </w:tcPr>
          <w:p>
            <w:pPr>
              <w:autoSpaceDE w:val="0"/>
              <w:autoSpaceDN w:val="0"/>
              <w:snapToGrid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月份</w:t>
            </w:r>
          </w:p>
        </w:tc>
        <w:tc>
          <w:tcPr>
            <w:tcW w:w="325" w:type="pct"/>
            <w:tcBorders>
              <w:tl2br w:val="nil"/>
              <w:tr2bl w:val="nil"/>
            </w:tcBorders>
            <w:noWrap w:val="0"/>
            <w:vAlign w:val="center"/>
          </w:tcPr>
          <w:p>
            <w:pPr>
              <w:autoSpaceDE w:val="0"/>
              <w:autoSpaceDN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1</w:t>
            </w:r>
            <w:r>
              <w:rPr>
                <w:rFonts w:ascii="Times New Roman" w:hAnsi="Times New Roman" w:eastAsia="宋体" w:cs="Times New Roman"/>
                <w:b/>
                <w:bCs/>
                <w:color w:val="auto"/>
                <w:kern w:val="0"/>
                <w:szCs w:val="21"/>
                <w:highlight w:val="none"/>
                <w:lang w:eastAsia="en-US"/>
              </w:rPr>
              <w:t>月</w:t>
            </w:r>
          </w:p>
        </w:tc>
        <w:tc>
          <w:tcPr>
            <w:tcW w:w="377" w:type="pct"/>
            <w:tcBorders>
              <w:tl2br w:val="nil"/>
              <w:tr2bl w:val="nil"/>
            </w:tcBorders>
            <w:noWrap w:val="0"/>
            <w:vAlign w:val="center"/>
          </w:tcPr>
          <w:p>
            <w:pPr>
              <w:autoSpaceDE w:val="0"/>
              <w:autoSpaceDN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2</w:t>
            </w:r>
            <w:r>
              <w:rPr>
                <w:rFonts w:ascii="Times New Roman" w:hAnsi="Times New Roman" w:eastAsia="宋体" w:cs="Times New Roman"/>
                <w:b/>
                <w:bCs/>
                <w:color w:val="auto"/>
                <w:kern w:val="0"/>
                <w:szCs w:val="21"/>
                <w:highlight w:val="none"/>
                <w:lang w:eastAsia="en-US"/>
              </w:rPr>
              <w:t>月</w:t>
            </w:r>
          </w:p>
        </w:tc>
        <w:tc>
          <w:tcPr>
            <w:tcW w:w="352" w:type="pct"/>
            <w:tcBorders>
              <w:tl2br w:val="nil"/>
              <w:tr2bl w:val="nil"/>
            </w:tcBorders>
            <w:noWrap w:val="0"/>
            <w:vAlign w:val="center"/>
          </w:tcPr>
          <w:p>
            <w:pPr>
              <w:autoSpaceDE w:val="0"/>
              <w:autoSpaceDN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3</w:t>
            </w:r>
            <w:r>
              <w:rPr>
                <w:rFonts w:ascii="Times New Roman" w:hAnsi="Times New Roman" w:eastAsia="宋体" w:cs="Times New Roman"/>
                <w:b/>
                <w:bCs/>
                <w:color w:val="auto"/>
                <w:kern w:val="0"/>
                <w:szCs w:val="21"/>
                <w:highlight w:val="none"/>
                <w:lang w:eastAsia="en-US"/>
              </w:rPr>
              <w:t>月</w:t>
            </w:r>
          </w:p>
        </w:tc>
        <w:tc>
          <w:tcPr>
            <w:tcW w:w="321" w:type="pct"/>
            <w:tcBorders>
              <w:tl2br w:val="nil"/>
              <w:tr2bl w:val="nil"/>
            </w:tcBorders>
            <w:noWrap w:val="0"/>
            <w:vAlign w:val="center"/>
          </w:tcPr>
          <w:p>
            <w:pPr>
              <w:autoSpaceDE w:val="0"/>
              <w:autoSpaceDN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4</w:t>
            </w:r>
            <w:r>
              <w:rPr>
                <w:rFonts w:ascii="Times New Roman" w:hAnsi="Times New Roman" w:eastAsia="宋体" w:cs="Times New Roman"/>
                <w:b/>
                <w:bCs/>
                <w:color w:val="auto"/>
                <w:kern w:val="0"/>
                <w:szCs w:val="21"/>
                <w:highlight w:val="none"/>
                <w:lang w:eastAsia="en-US"/>
              </w:rPr>
              <w:t>月</w:t>
            </w:r>
          </w:p>
        </w:tc>
        <w:tc>
          <w:tcPr>
            <w:tcW w:w="352" w:type="pct"/>
            <w:tcBorders>
              <w:tl2br w:val="nil"/>
              <w:tr2bl w:val="nil"/>
            </w:tcBorders>
            <w:noWrap w:val="0"/>
            <w:vAlign w:val="center"/>
          </w:tcPr>
          <w:p>
            <w:pPr>
              <w:autoSpaceDE w:val="0"/>
              <w:autoSpaceDN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5</w:t>
            </w:r>
            <w:r>
              <w:rPr>
                <w:rFonts w:ascii="Times New Roman" w:hAnsi="Times New Roman" w:eastAsia="宋体" w:cs="Times New Roman"/>
                <w:b/>
                <w:bCs/>
                <w:color w:val="auto"/>
                <w:kern w:val="0"/>
                <w:szCs w:val="21"/>
                <w:highlight w:val="none"/>
                <w:lang w:eastAsia="en-US"/>
              </w:rPr>
              <w:t>月</w:t>
            </w:r>
          </w:p>
        </w:tc>
        <w:tc>
          <w:tcPr>
            <w:tcW w:w="321" w:type="pct"/>
            <w:tcBorders>
              <w:tl2br w:val="nil"/>
              <w:tr2bl w:val="nil"/>
            </w:tcBorders>
            <w:noWrap w:val="0"/>
            <w:vAlign w:val="center"/>
          </w:tcPr>
          <w:p>
            <w:pPr>
              <w:autoSpaceDE w:val="0"/>
              <w:autoSpaceDN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6</w:t>
            </w:r>
            <w:r>
              <w:rPr>
                <w:rFonts w:ascii="Times New Roman" w:hAnsi="Times New Roman" w:eastAsia="宋体" w:cs="Times New Roman"/>
                <w:b/>
                <w:bCs/>
                <w:color w:val="auto"/>
                <w:kern w:val="0"/>
                <w:szCs w:val="21"/>
                <w:highlight w:val="none"/>
                <w:lang w:eastAsia="en-US"/>
              </w:rPr>
              <w:t>月</w:t>
            </w:r>
          </w:p>
        </w:tc>
        <w:tc>
          <w:tcPr>
            <w:tcW w:w="352" w:type="pct"/>
            <w:tcBorders>
              <w:tl2br w:val="nil"/>
              <w:tr2bl w:val="nil"/>
            </w:tcBorders>
            <w:noWrap w:val="0"/>
            <w:vAlign w:val="center"/>
          </w:tcPr>
          <w:p>
            <w:pPr>
              <w:autoSpaceDE w:val="0"/>
              <w:autoSpaceDN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7</w:t>
            </w:r>
            <w:r>
              <w:rPr>
                <w:rFonts w:ascii="Times New Roman" w:hAnsi="Times New Roman" w:eastAsia="宋体" w:cs="Times New Roman"/>
                <w:b/>
                <w:bCs/>
                <w:color w:val="auto"/>
                <w:kern w:val="0"/>
                <w:szCs w:val="21"/>
                <w:highlight w:val="none"/>
                <w:lang w:eastAsia="en-US"/>
              </w:rPr>
              <w:t>月</w:t>
            </w:r>
          </w:p>
        </w:tc>
        <w:tc>
          <w:tcPr>
            <w:tcW w:w="352" w:type="pct"/>
            <w:tcBorders>
              <w:tl2br w:val="nil"/>
              <w:tr2bl w:val="nil"/>
            </w:tcBorders>
            <w:noWrap w:val="0"/>
            <w:vAlign w:val="center"/>
          </w:tcPr>
          <w:p>
            <w:pPr>
              <w:autoSpaceDE w:val="0"/>
              <w:autoSpaceDN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8</w:t>
            </w:r>
            <w:r>
              <w:rPr>
                <w:rFonts w:ascii="Times New Roman" w:hAnsi="Times New Roman" w:eastAsia="宋体" w:cs="Times New Roman"/>
                <w:b/>
                <w:bCs/>
                <w:color w:val="auto"/>
                <w:kern w:val="0"/>
                <w:szCs w:val="21"/>
                <w:highlight w:val="none"/>
                <w:lang w:eastAsia="en-US"/>
              </w:rPr>
              <w:t>月</w:t>
            </w:r>
          </w:p>
        </w:tc>
        <w:tc>
          <w:tcPr>
            <w:tcW w:w="352" w:type="pct"/>
            <w:tcBorders>
              <w:tl2br w:val="nil"/>
              <w:tr2bl w:val="nil"/>
            </w:tcBorders>
            <w:noWrap w:val="0"/>
            <w:vAlign w:val="center"/>
          </w:tcPr>
          <w:p>
            <w:pPr>
              <w:autoSpaceDE w:val="0"/>
              <w:autoSpaceDN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9</w:t>
            </w:r>
            <w:r>
              <w:rPr>
                <w:rFonts w:ascii="Times New Roman" w:hAnsi="Times New Roman" w:eastAsia="宋体" w:cs="Times New Roman"/>
                <w:b/>
                <w:bCs/>
                <w:color w:val="auto"/>
                <w:kern w:val="0"/>
                <w:szCs w:val="21"/>
                <w:highlight w:val="none"/>
                <w:lang w:eastAsia="en-US"/>
              </w:rPr>
              <w:t>月</w:t>
            </w:r>
          </w:p>
        </w:tc>
        <w:tc>
          <w:tcPr>
            <w:tcW w:w="321" w:type="pct"/>
            <w:tcBorders>
              <w:tl2br w:val="nil"/>
              <w:tr2bl w:val="nil"/>
            </w:tcBorders>
            <w:noWrap w:val="0"/>
            <w:vAlign w:val="center"/>
          </w:tcPr>
          <w:p>
            <w:pPr>
              <w:autoSpaceDE w:val="0"/>
              <w:autoSpaceDN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10</w:t>
            </w:r>
            <w:r>
              <w:rPr>
                <w:rFonts w:ascii="Times New Roman" w:hAnsi="Times New Roman" w:eastAsia="宋体" w:cs="Times New Roman"/>
                <w:b/>
                <w:bCs/>
                <w:color w:val="auto"/>
                <w:kern w:val="0"/>
                <w:szCs w:val="21"/>
                <w:highlight w:val="none"/>
                <w:lang w:eastAsia="en-US"/>
              </w:rPr>
              <w:t>月</w:t>
            </w:r>
          </w:p>
        </w:tc>
        <w:tc>
          <w:tcPr>
            <w:tcW w:w="321" w:type="pct"/>
            <w:tcBorders>
              <w:tl2br w:val="nil"/>
              <w:tr2bl w:val="nil"/>
            </w:tcBorders>
            <w:noWrap w:val="0"/>
            <w:vAlign w:val="center"/>
          </w:tcPr>
          <w:p>
            <w:pPr>
              <w:autoSpaceDE w:val="0"/>
              <w:autoSpaceDN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11</w:t>
            </w:r>
            <w:r>
              <w:rPr>
                <w:rFonts w:ascii="Times New Roman" w:hAnsi="Times New Roman" w:eastAsia="宋体" w:cs="Times New Roman"/>
                <w:b/>
                <w:bCs/>
                <w:color w:val="auto"/>
                <w:kern w:val="0"/>
                <w:szCs w:val="21"/>
                <w:highlight w:val="none"/>
                <w:lang w:eastAsia="en-US"/>
              </w:rPr>
              <w:t>月</w:t>
            </w:r>
          </w:p>
        </w:tc>
        <w:tc>
          <w:tcPr>
            <w:tcW w:w="377" w:type="pct"/>
            <w:tcBorders>
              <w:tl2br w:val="nil"/>
              <w:tr2bl w:val="nil"/>
            </w:tcBorders>
            <w:noWrap w:val="0"/>
            <w:vAlign w:val="center"/>
          </w:tcPr>
          <w:p>
            <w:pPr>
              <w:autoSpaceDE w:val="0"/>
              <w:autoSpaceDN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Noto Sans CJK JP Black" w:cs="Times New Roman"/>
                <w:b/>
                <w:bCs/>
                <w:color w:val="auto"/>
                <w:kern w:val="0"/>
                <w:szCs w:val="21"/>
                <w:highlight w:val="none"/>
                <w:lang w:eastAsia="en-US"/>
              </w:rPr>
              <w:t>12</w:t>
            </w:r>
            <w:r>
              <w:rPr>
                <w:rFonts w:ascii="Times New Roman" w:hAnsi="Times New Roman" w:eastAsia="宋体" w:cs="Times New Roman"/>
                <w:b/>
                <w:bCs/>
                <w:color w:val="auto"/>
                <w:kern w:val="0"/>
                <w:szCs w:val="21"/>
                <w:highlight w:val="none"/>
                <w:lang w:eastAsia="en-US"/>
              </w:rPr>
              <w:t>月</w:t>
            </w:r>
          </w:p>
        </w:tc>
        <w:tc>
          <w:tcPr>
            <w:tcW w:w="394" w:type="pct"/>
            <w:tcBorders>
              <w:tl2br w:val="nil"/>
              <w:tr2bl w:val="nil"/>
            </w:tcBorders>
            <w:noWrap w:val="0"/>
            <w:vAlign w:val="center"/>
          </w:tcPr>
          <w:p>
            <w:pPr>
              <w:autoSpaceDE w:val="0"/>
              <w:autoSpaceDN w:val="0"/>
              <w:jc w:val="center"/>
              <w:rPr>
                <w:rFonts w:ascii="Times New Roman" w:hAnsi="Times New Roman" w:eastAsia="Noto Sans CJK JP Black"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483" w:type="pct"/>
            <w:tcBorders>
              <w:tl2br w:val="nil"/>
              <w:tr2bl w:val="nil"/>
            </w:tcBorders>
            <w:noWrap w:val="0"/>
            <w:vAlign w:val="center"/>
          </w:tcPr>
          <w:p>
            <w:pPr>
              <w:autoSpaceDE w:val="0"/>
              <w:autoSpaceDN w:val="0"/>
              <w:snapToGrid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湿度</w:t>
            </w:r>
            <w:r>
              <w:rPr>
                <w:rFonts w:ascii="Times New Roman" w:hAnsi="Times New Roman" w:eastAsia="Noto Sans CJK JP Black" w:cs="Times New Roman"/>
                <w:color w:val="auto"/>
                <w:kern w:val="0"/>
                <w:szCs w:val="21"/>
                <w:highlight w:val="none"/>
                <w:lang w:eastAsia="en-US"/>
              </w:rPr>
              <w:t>%</w:t>
            </w:r>
          </w:p>
        </w:tc>
        <w:tc>
          <w:tcPr>
            <w:tcW w:w="540" w:type="dxa"/>
            <w:tcBorders>
              <w:tl2br w:val="nil"/>
              <w:tr2bl w:val="nil"/>
            </w:tcBorders>
            <w:noWrap w:val="0"/>
            <w:vAlign w:val="center"/>
          </w:tcPr>
          <w:p>
            <w:pPr>
              <w:autoSpaceDE w:val="0"/>
              <w:autoSpaceDN w:val="0"/>
              <w:jc w:val="center"/>
              <w:textAlignment w:val="top"/>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76.31</w:t>
            </w:r>
          </w:p>
        </w:tc>
        <w:tc>
          <w:tcPr>
            <w:tcW w:w="623" w:type="dxa"/>
            <w:tcBorders>
              <w:tl2br w:val="nil"/>
              <w:tr2bl w:val="nil"/>
            </w:tcBorders>
            <w:noWrap w:val="0"/>
            <w:vAlign w:val="center"/>
          </w:tcPr>
          <w:p>
            <w:pPr>
              <w:autoSpaceDE w:val="0"/>
              <w:autoSpaceDN w:val="0"/>
              <w:jc w:val="center"/>
              <w:textAlignment w:val="top"/>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77.19</w:t>
            </w:r>
          </w:p>
        </w:tc>
        <w:tc>
          <w:tcPr>
            <w:tcW w:w="582" w:type="dxa"/>
            <w:tcBorders>
              <w:tl2br w:val="nil"/>
              <w:tr2bl w:val="nil"/>
            </w:tcBorders>
            <w:noWrap w:val="0"/>
            <w:vAlign w:val="center"/>
          </w:tcPr>
          <w:p>
            <w:pPr>
              <w:autoSpaceDE w:val="0"/>
              <w:autoSpaceDN w:val="0"/>
              <w:jc w:val="center"/>
              <w:textAlignment w:val="top"/>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74.26</w:t>
            </w:r>
          </w:p>
        </w:tc>
        <w:tc>
          <w:tcPr>
            <w:tcW w:w="540" w:type="dxa"/>
            <w:tcBorders>
              <w:tl2br w:val="nil"/>
              <w:tr2bl w:val="nil"/>
            </w:tcBorders>
            <w:noWrap w:val="0"/>
            <w:vAlign w:val="center"/>
          </w:tcPr>
          <w:p>
            <w:pPr>
              <w:autoSpaceDE w:val="0"/>
              <w:autoSpaceDN w:val="0"/>
              <w:jc w:val="center"/>
              <w:textAlignment w:val="top"/>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73.5</w:t>
            </w:r>
          </w:p>
        </w:tc>
        <w:tc>
          <w:tcPr>
            <w:tcW w:w="582" w:type="dxa"/>
            <w:tcBorders>
              <w:tl2br w:val="nil"/>
              <w:tr2bl w:val="nil"/>
            </w:tcBorders>
            <w:noWrap w:val="0"/>
            <w:vAlign w:val="center"/>
          </w:tcPr>
          <w:p>
            <w:pPr>
              <w:autoSpaceDE w:val="0"/>
              <w:autoSpaceDN w:val="0"/>
              <w:jc w:val="center"/>
              <w:textAlignment w:val="top"/>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74.7</w:t>
            </w:r>
          </w:p>
        </w:tc>
        <w:tc>
          <w:tcPr>
            <w:tcW w:w="540" w:type="dxa"/>
            <w:tcBorders>
              <w:tl2br w:val="nil"/>
              <w:tr2bl w:val="nil"/>
            </w:tcBorders>
            <w:noWrap w:val="0"/>
            <w:vAlign w:val="center"/>
          </w:tcPr>
          <w:p>
            <w:pPr>
              <w:autoSpaceDE w:val="0"/>
              <w:autoSpaceDN w:val="0"/>
              <w:jc w:val="center"/>
              <w:textAlignment w:val="top"/>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77.11</w:t>
            </w:r>
          </w:p>
        </w:tc>
        <w:tc>
          <w:tcPr>
            <w:tcW w:w="582" w:type="dxa"/>
            <w:tcBorders>
              <w:tl2br w:val="nil"/>
              <w:tr2bl w:val="nil"/>
            </w:tcBorders>
            <w:noWrap w:val="0"/>
            <w:vAlign w:val="center"/>
          </w:tcPr>
          <w:p>
            <w:pPr>
              <w:autoSpaceDE w:val="0"/>
              <w:autoSpaceDN w:val="0"/>
              <w:jc w:val="center"/>
              <w:textAlignment w:val="top"/>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72.02</w:t>
            </w:r>
          </w:p>
        </w:tc>
        <w:tc>
          <w:tcPr>
            <w:tcW w:w="582" w:type="dxa"/>
            <w:tcBorders>
              <w:tl2br w:val="nil"/>
              <w:tr2bl w:val="nil"/>
            </w:tcBorders>
            <w:noWrap w:val="0"/>
            <w:vAlign w:val="center"/>
          </w:tcPr>
          <w:p>
            <w:pPr>
              <w:autoSpaceDE w:val="0"/>
              <w:autoSpaceDN w:val="0"/>
              <w:jc w:val="center"/>
              <w:textAlignment w:val="top"/>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76.24</w:t>
            </w:r>
          </w:p>
        </w:tc>
        <w:tc>
          <w:tcPr>
            <w:tcW w:w="582" w:type="dxa"/>
            <w:tcBorders>
              <w:tl2br w:val="nil"/>
              <w:tr2bl w:val="nil"/>
            </w:tcBorders>
            <w:noWrap w:val="0"/>
            <w:vAlign w:val="center"/>
          </w:tcPr>
          <w:p>
            <w:pPr>
              <w:autoSpaceDE w:val="0"/>
              <w:autoSpaceDN w:val="0"/>
              <w:jc w:val="center"/>
              <w:textAlignment w:val="top"/>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76.1</w:t>
            </w:r>
          </w:p>
        </w:tc>
        <w:tc>
          <w:tcPr>
            <w:tcW w:w="540" w:type="dxa"/>
            <w:tcBorders>
              <w:tl2br w:val="nil"/>
              <w:tr2bl w:val="nil"/>
            </w:tcBorders>
            <w:noWrap w:val="0"/>
            <w:vAlign w:val="center"/>
          </w:tcPr>
          <w:p>
            <w:pPr>
              <w:autoSpaceDE w:val="0"/>
              <w:autoSpaceDN w:val="0"/>
              <w:jc w:val="center"/>
              <w:textAlignment w:val="top"/>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76.21</w:t>
            </w:r>
          </w:p>
        </w:tc>
        <w:tc>
          <w:tcPr>
            <w:tcW w:w="540" w:type="dxa"/>
            <w:tcBorders>
              <w:tl2br w:val="nil"/>
              <w:tr2bl w:val="nil"/>
            </w:tcBorders>
            <w:noWrap w:val="0"/>
            <w:vAlign w:val="center"/>
          </w:tcPr>
          <w:p>
            <w:pPr>
              <w:autoSpaceDE w:val="0"/>
              <w:autoSpaceDN w:val="0"/>
              <w:jc w:val="center"/>
              <w:textAlignment w:val="top"/>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77.19</w:t>
            </w:r>
          </w:p>
        </w:tc>
        <w:tc>
          <w:tcPr>
            <w:tcW w:w="623" w:type="dxa"/>
            <w:tcBorders>
              <w:tl2br w:val="nil"/>
              <w:tr2bl w:val="nil"/>
            </w:tcBorders>
            <w:noWrap w:val="0"/>
            <w:vAlign w:val="center"/>
          </w:tcPr>
          <w:p>
            <w:pPr>
              <w:autoSpaceDE w:val="0"/>
              <w:autoSpaceDN w:val="0"/>
              <w:jc w:val="center"/>
              <w:textAlignment w:val="top"/>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73.92</w:t>
            </w:r>
          </w:p>
        </w:tc>
        <w:tc>
          <w:tcPr>
            <w:tcW w:w="394" w:type="pct"/>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Cs w:val="21"/>
                <w:highlight w:val="none"/>
                <w:lang w:eastAsia="en-US"/>
              </w:rPr>
            </w:pPr>
            <w:r>
              <w:rPr>
                <w:rFonts w:ascii="Times New Roman" w:hAnsi="Times New Roman" w:eastAsia="Noto Sans CJK JP Black" w:cs="Times New Roman"/>
                <w:color w:val="auto"/>
                <w:kern w:val="0"/>
                <w:szCs w:val="21"/>
                <w:highlight w:val="none"/>
                <w:lang w:eastAsia="en-US"/>
              </w:rPr>
              <w:t>75.4</w:t>
            </w:r>
          </w:p>
        </w:tc>
      </w:tr>
    </w:tbl>
    <w:p>
      <w:pPr>
        <w:pStyle w:val="33"/>
        <w:ind w:firstLine="48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5、降水</w:t>
      </w:r>
    </w:p>
    <w:p>
      <w:pPr>
        <w:pStyle w:val="33"/>
        <w:ind w:firstLine="48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临湘地区降水集中于夏季，1月份降水量最低为62.92mm，6月份降水量最高为232.57mm，各月平均降雨量情况见下表。</w:t>
      </w:r>
    </w:p>
    <w:p>
      <w:pPr>
        <w:pStyle w:val="36"/>
        <w:bidi w:val="0"/>
        <w:rPr>
          <w:color w:val="auto"/>
        </w:rPr>
      </w:pPr>
      <w:r>
        <w:rPr>
          <w:rFonts w:hint="eastAsia"/>
          <w:color w:val="auto"/>
          <w:lang w:val="en-US" w:eastAsia="zh-CN"/>
        </w:rPr>
        <w:t>表7.1-5</w:t>
      </w:r>
      <w:r>
        <w:rPr>
          <w:color w:val="auto"/>
        </w:rPr>
        <w:t>临湘市气象站月平均降水量统计</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16"/>
        <w:gridCol w:w="742"/>
        <w:gridCol w:w="563"/>
        <w:gridCol w:w="688"/>
        <w:gridCol w:w="688"/>
        <w:gridCol w:w="688"/>
        <w:gridCol w:w="688"/>
        <w:gridCol w:w="688"/>
        <w:gridCol w:w="688"/>
        <w:gridCol w:w="563"/>
        <w:gridCol w:w="563"/>
        <w:gridCol w:w="580"/>
        <w:gridCol w:w="5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633" w:type="pct"/>
            <w:tcBorders>
              <w:tl2br w:val="nil"/>
              <w:tr2bl w:val="nil"/>
            </w:tcBorders>
            <w:noWrap w:val="0"/>
            <w:vAlign w:val="center"/>
          </w:tcPr>
          <w:p>
            <w:pPr>
              <w:autoSpaceDE w:val="0"/>
              <w:autoSpaceDN w:val="0"/>
              <w:adjustRightInd w:val="0"/>
              <w:snapToGrid w:val="0"/>
              <w:spacing w:line="400" w:lineRule="exact"/>
              <w:jc w:val="center"/>
              <w:rPr>
                <w:rFonts w:ascii="Times New Roman" w:hAnsi="Times New Roman" w:eastAsia="宋体"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月份</w:t>
            </w:r>
          </w:p>
        </w:tc>
        <w:tc>
          <w:tcPr>
            <w:tcW w:w="421" w:type="pct"/>
            <w:tcBorders>
              <w:tl2br w:val="nil"/>
              <w:tr2bl w:val="nil"/>
            </w:tcBorders>
            <w:noWrap w:val="0"/>
            <w:vAlign w:val="center"/>
          </w:tcPr>
          <w:p>
            <w:pPr>
              <w:autoSpaceDE w:val="0"/>
              <w:autoSpaceDN w:val="0"/>
              <w:adjustRightInd w:val="0"/>
              <w:snapToGrid w:val="0"/>
              <w:spacing w:line="400" w:lineRule="exact"/>
              <w:jc w:val="center"/>
              <w:rPr>
                <w:rFonts w:ascii="Times New Roman" w:hAnsi="Times New Roman" w:eastAsia="宋体"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1月</w:t>
            </w:r>
          </w:p>
        </w:tc>
        <w:tc>
          <w:tcPr>
            <w:tcW w:w="319" w:type="pct"/>
            <w:tcBorders>
              <w:tl2br w:val="nil"/>
              <w:tr2bl w:val="nil"/>
            </w:tcBorders>
            <w:noWrap w:val="0"/>
            <w:vAlign w:val="center"/>
          </w:tcPr>
          <w:p>
            <w:pPr>
              <w:autoSpaceDE w:val="0"/>
              <w:autoSpaceDN w:val="0"/>
              <w:adjustRightInd w:val="0"/>
              <w:snapToGrid w:val="0"/>
              <w:spacing w:line="400" w:lineRule="exact"/>
              <w:jc w:val="center"/>
              <w:rPr>
                <w:rFonts w:ascii="Times New Roman" w:hAnsi="Times New Roman" w:eastAsia="宋体"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2月</w:t>
            </w:r>
          </w:p>
        </w:tc>
        <w:tc>
          <w:tcPr>
            <w:tcW w:w="390" w:type="pct"/>
            <w:tcBorders>
              <w:tl2br w:val="nil"/>
              <w:tr2bl w:val="nil"/>
            </w:tcBorders>
            <w:noWrap w:val="0"/>
            <w:vAlign w:val="center"/>
          </w:tcPr>
          <w:p>
            <w:pPr>
              <w:autoSpaceDE w:val="0"/>
              <w:autoSpaceDN w:val="0"/>
              <w:adjustRightInd w:val="0"/>
              <w:snapToGrid w:val="0"/>
              <w:spacing w:line="400" w:lineRule="exact"/>
              <w:jc w:val="center"/>
              <w:rPr>
                <w:rFonts w:ascii="Times New Roman" w:hAnsi="Times New Roman" w:eastAsia="宋体"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3月</w:t>
            </w:r>
          </w:p>
        </w:tc>
        <w:tc>
          <w:tcPr>
            <w:tcW w:w="390" w:type="pct"/>
            <w:tcBorders>
              <w:tl2br w:val="nil"/>
              <w:tr2bl w:val="nil"/>
            </w:tcBorders>
            <w:noWrap w:val="0"/>
            <w:vAlign w:val="center"/>
          </w:tcPr>
          <w:p>
            <w:pPr>
              <w:autoSpaceDE w:val="0"/>
              <w:autoSpaceDN w:val="0"/>
              <w:adjustRightInd w:val="0"/>
              <w:snapToGrid w:val="0"/>
              <w:spacing w:line="400" w:lineRule="exact"/>
              <w:jc w:val="center"/>
              <w:rPr>
                <w:rFonts w:ascii="Times New Roman" w:hAnsi="Times New Roman" w:eastAsia="宋体"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4月</w:t>
            </w:r>
          </w:p>
        </w:tc>
        <w:tc>
          <w:tcPr>
            <w:tcW w:w="390" w:type="pct"/>
            <w:tcBorders>
              <w:tl2br w:val="nil"/>
              <w:tr2bl w:val="nil"/>
            </w:tcBorders>
            <w:noWrap w:val="0"/>
            <w:vAlign w:val="center"/>
          </w:tcPr>
          <w:p>
            <w:pPr>
              <w:autoSpaceDE w:val="0"/>
              <w:autoSpaceDN w:val="0"/>
              <w:adjustRightInd w:val="0"/>
              <w:snapToGrid w:val="0"/>
              <w:spacing w:line="400" w:lineRule="exact"/>
              <w:jc w:val="center"/>
              <w:rPr>
                <w:rFonts w:ascii="Times New Roman" w:hAnsi="Times New Roman" w:eastAsia="宋体"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5月</w:t>
            </w:r>
          </w:p>
        </w:tc>
        <w:tc>
          <w:tcPr>
            <w:tcW w:w="390" w:type="pct"/>
            <w:tcBorders>
              <w:tl2br w:val="nil"/>
              <w:tr2bl w:val="nil"/>
            </w:tcBorders>
            <w:noWrap w:val="0"/>
            <w:vAlign w:val="center"/>
          </w:tcPr>
          <w:p>
            <w:pPr>
              <w:autoSpaceDE w:val="0"/>
              <w:autoSpaceDN w:val="0"/>
              <w:adjustRightInd w:val="0"/>
              <w:snapToGrid w:val="0"/>
              <w:spacing w:line="400" w:lineRule="exact"/>
              <w:jc w:val="center"/>
              <w:rPr>
                <w:rFonts w:ascii="Times New Roman" w:hAnsi="Times New Roman" w:eastAsia="宋体"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6月</w:t>
            </w:r>
          </w:p>
        </w:tc>
        <w:tc>
          <w:tcPr>
            <w:tcW w:w="390" w:type="pct"/>
            <w:tcBorders>
              <w:tl2br w:val="nil"/>
              <w:tr2bl w:val="nil"/>
            </w:tcBorders>
            <w:noWrap w:val="0"/>
            <w:vAlign w:val="center"/>
          </w:tcPr>
          <w:p>
            <w:pPr>
              <w:autoSpaceDE w:val="0"/>
              <w:autoSpaceDN w:val="0"/>
              <w:adjustRightInd w:val="0"/>
              <w:snapToGrid w:val="0"/>
              <w:spacing w:line="400" w:lineRule="exact"/>
              <w:jc w:val="center"/>
              <w:rPr>
                <w:rFonts w:ascii="Times New Roman" w:hAnsi="Times New Roman" w:eastAsia="宋体"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7月</w:t>
            </w:r>
          </w:p>
        </w:tc>
        <w:tc>
          <w:tcPr>
            <w:tcW w:w="390" w:type="pct"/>
            <w:tcBorders>
              <w:tl2br w:val="nil"/>
              <w:tr2bl w:val="nil"/>
            </w:tcBorders>
            <w:noWrap w:val="0"/>
            <w:vAlign w:val="center"/>
          </w:tcPr>
          <w:p>
            <w:pPr>
              <w:autoSpaceDE w:val="0"/>
              <w:autoSpaceDN w:val="0"/>
              <w:adjustRightInd w:val="0"/>
              <w:snapToGrid w:val="0"/>
              <w:spacing w:line="400" w:lineRule="exact"/>
              <w:jc w:val="center"/>
              <w:rPr>
                <w:rFonts w:ascii="Times New Roman" w:hAnsi="Times New Roman" w:eastAsia="宋体"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8月</w:t>
            </w:r>
          </w:p>
        </w:tc>
        <w:tc>
          <w:tcPr>
            <w:tcW w:w="319" w:type="pct"/>
            <w:tcBorders>
              <w:tl2br w:val="nil"/>
              <w:tr2bl w:val="nil"/>
            </w:tcBorders>
            <w:noWrap w:val="0"/>
            <w:vAlign w:val="center"/>
          </w:tcPr>
          <w:p>
            <w:pPr>
              <w:autoSpaceDE w:val="0"/>
              <w:autoSpaceDN w:val="0"/>
              <w:adjustRightInd w:val="0"/>
              <w:snapToGrid w:val="0"/>
              <w:spacing w:line="400" w:lineRule="exact"/>
              <w:jc w:val="center"/>
              <w:rPr>
                <w:rFonts w:ascii="Times New Roman" w:hAnsi="Times New Roman" w:eastAsia="宋体"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9月</w:t>
            </w:r>
          </w:p>
        </w:tc>
        <w:tc>
          <w:tcPr>
            <w:tcW w:w="319" w:type="pct"/>
            <w:tcBorders>
              <w:tl2br w:val="nil"/>
              <w:tr2bl w:val="nil"/>
            </w:tcBorders>
            <w:noWrap w:val="0"/>
            <w:vAlign w:val="center"/>
          </w:tcPr>
          <w:p>
            <w:pPr>
              <w:autoSpaceDE w:val="0"/>
              <w:autoSpaceDN w:val="0"/>
              <w:adjustRightInd w:val="0"/>
              <w:snapToGrid w:val="0"/>
              <w:spacing w:line="400" w:lineRule="exact"/>
              <w:jc w:val="center"/>
              <w:rPr>
                <w:rFonts w:ascii="Times New Roman" w:hAnsi="Times New Roman" w:eastAsia="宋体"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10月</w:t>
            </w:r>
          </w:p>
        </w:tc>
        <w:tc>
          <w:tcPr>
            <w:tcW w:w="329" w:type="pct"/>
            <w:tcBorders>
              <w:tl2br w:val="nil"/>
              <w:tr2bl w:val="nil"/>
            </w:tcBorders>
            <w:noWrap w:val="0"/>
            <w:vAlign w:val="center"/>
          </w:tcPr>
          <w:p>
            <w:pPr>
              <w:autoSpaceDE w:val="0"/>
              <w:autoSpaceDN w:val="0"/>
              <w:adjustRightInd w:val="0"/>
              <w:snapToGrid w:val="0"/>
              <w:spacing w:line="400" w:lineRule="exact"/>
              <w:jc w:val="center"/>
              <w:rPr>
                <w:rFonts w:ascii="Times New Roman" w:hAnsi="Times New Roman" w:eastAsia="宋体"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11月</w:t>
            </w:r>
          </w:p>
        </w:tc>
        <w:tc>
          <w:tcPr>
            <w:tcW w:w="319" w:type="pct"/>
            <w:tcBorders>
              <w:tl2br w:val="nil"/>
              <w:tr2bl w:val="nil"/>
            </w:tcBorders>
            <w:noWrap w:val="0"/>
            <w:vAlign w:val="center"/>
          </w:tcPr>
          <w:p>
            <w:pPr>
              <w:autoSpaceDE w:val="0"/>
              <w:autoSpaceDN w:val="0"/>
              <w:adjustRightInd w:val="0"/>
              <w:snapToGrid w:val="0"/>
              <w:spacing w:line="400" w:lineRule="exact"/>
              <w:jc w:val="center"/>
              <w:rPr>
                <w:rFonts w:ascii="Times New Roman" w:hAnsi="Times New Roman" w:eastAsia="宋体" w:cs="Times New Roman"/>
                <w:b/>
                <w:bCs/>
                <w:color w:val="auto"/>
                <w:kern w:val="0"/>
                <w:szCs w:val="21"/>
                <w:highlight w:val="none"/>
                <w:lang w:eastAsia="en-US"/>
              </w:rPr>
            </w:pPr>
            <w:r>
              <w:rPr>
                <w:rFonts w:ascii="Times New Roman" w:hAnsi="Times New Roman" w:eastAsia="宋体" w:cs="Times New Roman"/>
                <w:b/>
                <w:bCs/>
                <w:color w:val="auto"/>
                <w:kern w:val="0"/>
                <w:szCs w:val="21"/>
                <w:highlight w:val="none"/>
                <w:lang w:eastAsia="en-US"/>
              </w:rPr>
              <w:t>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633" w:type="pct"/>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Cs w:val="21"/>
                <w:highlight w:val="none"/>
                <w:lang w:eastAsia="en-US"/>
              </w:rPr>
            </w:pPr>
            <w:r>
              <w:rPr>
                <w:rFonts w:ascii="Times New Roman" w:hAnsi="Times New Roman" w:eastAsia="宋体" w:cs="Times New Roman"/>
                <w:color w:val="auto"/>
                <w:kern w:val="0"/>
                <w:szCs w:val="21"/>
                <w:highlight w:val="none"/>
                <w:lang w:eastAsia="en-US"/>
              </w:rPr>
              <w:t>降水量mm</w:t>
            </w:r>
          </w:p>
        </w:tc>
        <w:tc>
          <w:tcPr>
            <w:tcW w:w="421" w:type="pct"/>
            <w:tcBorders>
              <w:tl2br w:val="nil"/>
              <w:tr2bl w:val="nil"/>
            </w:tcBorders>
            <w:noWrap w:val="0"/>
            <w:vAlign w:val="center"/>
          </w:tcPr>
          <w:p>
            <w:pPr>
              <w:autoSpaceDE w:val="0"/>
              <w:autoSpaceDN w:val="0"/>
              <w:adjustRightInd w:val="0"/>
              <w:snapToGrid w:val="0"/>
              <w:jc w:val="center"/>
              <w:textAlignment w:val="center"/>
              <w:rPr>
                <w:rFonts w:ascii="Times New Roman" w:hAnsi="Times New Roman" w:eastAsia="宋体" w:cs="Times New Roman"/>
                <w:color w:val="auto"/>
                <w:szCs w:val="21"/>
                <w:highlight w:val="none"/>
                <w:lang w:eastAsia="en-US"/>
              </w:rPr>
            </w:pPr>
            <w:r>
              <w:rPr>
                <w:rFonts w:ascii="Times New Roman" w:hAnsi="Times New Roman" w:eastAsia="宋体" w:cs="Times New Roman"/>
                <w:color w:val="auto"/>
                <w:kern w:val="0"/>
                <w:szCs w:val="21"/>
                <w:highlight w:val="none"/>
                <w:lang w:eastAsia="en-US"/>
              </w:rPr>
              <w:t>62.92</w:t>
            </w:r>
          </w:p>
        </w:tc>
        <w:tc>
          <w:tcPr>
            <w:tcW w:w="319" w:type="pct"/>
            <w:tcBorders>
              <w:tl2br w:val="nil"/>
              <w:tr2bl w:val="nil"/>
            </w:tcBorders>
            <w:noWrap w:val="0"/>
            <w:vAlign w:val="center"/>
          </w:tcPr>
          <w:p>
            <w:pPr>
              <w:autoSpaceDE w:val="0"/>
              <w:autoSpaceDN w:val="0"/>
              <w:adjustRightInd w:val="0"/>
              <w:snapToGrid w:val="0"/>
              <w:jc w:val="center"/>
              <w:textAlignment w:val="center"/>
              <w:rPr>
                <w:rFonts w:ascii="Times New Roman" w:hAnsi="Times New Roman" w:eastAsia="宋体" w:cs="Times New Roman"/>
                <w:color w:val="auto"/>
                <w:szCs w:val="21"/>
                <w:highlight w:val="none"/>
                <w:lang w:eastAsia="en-US"/>
              </w:rPr>
            </w:pPr>
            <w:r>
              <w:rPr>
                <w:rFonts w:ascii="Times New Roman" w:hAnsi="Times New Roman" w:eastAsia="宋体" w:cs="Times New Roman"/>
                <w:color w:val="auto"/>
                <w:kern w:val="0"/>
                <w:szCs w:val="21"/>
                <w:highlight w:val="none"/>
                <w:lang w:eastAsia="en-US"/>
              </w:rPr>
              <w:t>86.58</w:t>
            </w:r>
          </w:p>
        </w:tc>
        <w:tc>
          <w:tcPr>
            <w:tcW w:w="390" w:type="pct"/>
            <w:tcBorders>
              <w:tl2br w:val="nil"/>
              <w:tr2bl w:val="nil"/>
            </w:tcBorders>
            <w:noWrap w:val="0"/>
            <w:vAlign w:val="center"/>
          </w:tcPr>
          <w:p>
            <w:pPr>
              <w:autoSpaceDE w:val="0"/>
              <w:autoSpaceDN w:val="0"/>
              <w:adjustRightInd w:val="0"/>
              <w:snapToGrid w:val="0"/>
              <w:jc w:val="center"/>
              <w:textAlignment w:val="center"/>
              <w:rPr>
                <w:rFonts w:ascii="Times New Roman" w:hAnsi="Times New Roman" w:eastAsia="宋体" w:cs="Times New Roman"/>
                <w:color w:val="auto"/>
                <w:szCs w:val="21"/>
                <w:highlight w:val="none"/>
                <w:lang w:eastAsia="en-US"/>
              </w:rPr>
            </w:pPr>
            <w:r>
              <w:rPr>
                <w:rFonts w:ascii="Times New Roman" w:hAnsi="Times New Roman" w:eastAsia="宋体" w:cs="Times New Roman"/>
                <w:color w:val="auto"/>
                <w:kern w:val="0"/>
                <w:szCs w:val="21"/>
                <w:highlight w:val="none"/>
                <w:lang w:eastAsia="en-US"/>
              </w:rPr>
              <w:t>121.45</w:t>
            </w:r>
          </w:p>
        </w:tc>
        <w:tc>
          <w:tcPr>
            <w:tcW w:w="390" w:type="pct"/>
            <w:tcBorders>
              <w:tl2br w:val="nil"/>
              <w:tr2bl w:val="nil"/>
            </w:tcBorders>
            <w:noWrap w:val="0"/>
            <w:vAlign w:val="center"/>
          </w:tcPr>
          <w:p>
            <w:pPr>
              <w:autoSpaceDE w:val="0"/>
              <w:autoSpaceDN w:val="0"/>
              <w:adjustRightInd w:val="0"/>
              <w:snapToGrid w:val="0"/>
              <w:jc w:val="center"/>
              <w:textAlignment w:val="center"/>
              <w:rPr>
                <w:rFonts w:ascii="Times New Roman" w:hAnsi="Times New Roman" w:eastAsia="宋体" w:cs="Times New Roman"/>
                <w:color w:val="auto"/>
                <w:szCs w:val="21"/>
                <w:highlight w:val="none"/>
                <w:lang w:eastAsia="en-US"/>
              </w:rPr>
            </w:pPr>
            <w:r>
              <w:rPr>
                <w:rFonts w:ascii="Times New Roman" w:hAnsi="Times New Roman" w:eastAsia="宋体" w:cs="Times New Roman"/>
                <w:color w:val="auto"/>
                <w:kern w:val="0"/>
                <w:szCs w:val="21"/>
                <w:highlight w:val="none"/>
                <w:lang w:eastAsia="en-US"/>
              </w:rPr>
              <w:t>200.98</w:t>
            </w:r>
          </w:p>
        </w:tc>
        <w:tc>
          <w:tcPr>
            <w:tcW w:w="390" w:type="pct"/>
            <w:tcBorders>
              <w:tl2br w:val="nil"/>
              <w:tr2bl w:val="nil"/>
            </w:tcBorders>
            <w:noWrap w:val="0"/>
            <w:vAlign w:val="center"/>
          </w:tcPr>
          <w:p>
            <w:pPr>
              <w:autoSpaceDE w:val="0"/>
              <w:autoSpaceDN w:val="0"/>
              <w:adjustRightInd w:val="0"/>
              <w:snapToGrid w:val="0"/>
              <w:jc w:val="center"/>
              <w:textAlignment w:val="center"/>
              <w:rPr>
                <w:rFonts w:ascii="Times New Roman" w:hAnsi="Times New Roman" w:eastAsia="宋体" w:cs="Times New Roman"/>
                <w:color w:val="auto"/>
                <w:szCs w:val="21"/>
                <w:highlight w:val="none"/>
                <w:lang w:eastAsia="en-US"/>
              </w:rPr>
            </w:pPr>
            <w:r>
              <w:rPr>
                <w:rFonts w:ascii="Times New Roman" w:hAnsi="Times New Roman" w:eastAsia="宋体" w:cs="Times New Roman"/>
                <w:color w:val="auto"/>
                <w:kern w:val="0"/>
                <w:szCs w:val="21"/>
                <w:highlight w:val="none"/>
                <w:lang w:eastAsia="en-US"/>
              </w:rPr>
              <w:t>201.81</w:t>
            </w:r>
          </w:p>
        </w:tc>
        <w:tc>
          <w:tcPr>
            <w:tcW w:w="390" w:type="pct"/>
            <w:tcBorders>
              <w:tl2br w:val="nil"/>
              <w:tr2bl w:val="nil"/>
            </w:tcBorders>
            <w:noWrap w:val="0"/>
            <w:vAlign w:val="center"/>
          </w:tcPr>
          <w:p>
            <w:pPr>
              <w:autoSpaceDE w:val="0"/>
              <w:autoSpaceDN w:val="0"/>
              <w:adjustRightInd w:val="0"/>
              <w:snapToGrid w:val="0"/>
              <w:jc w:val="center"/>
              <w:textAlignment w:val="center"/>
              <w:rPr>
                <w:rFonts w:ascii="Times New Roman" w:hAnsi="Times New Roman" w:eastAsia="宋体" w:cs="Times New Roman"/>
                <w:color w:val="auto"/>
                <w:szCs w:val="21"/>
                <w:highlight w:val="none"/>
                <w:lang w:eastAsia="en-US"/>
              </w:rPr>
            </w:pPr>
            <w:r>
              <w:rPr>
                <w:rFonts w:ascii="Times New Roman" w:hAnsi="Times New Roman" w:eastAsia="宋体" w:cs="Times New Roman"/>
                <w:color w:val="auto"/>
                <w:kern w:val="0"/>
                <w:szCs w:val="21"/>
                <w:highlight w:val="none"/>
                <w:lang w:eastAsia="en-US"/>
              </w:rPr>
              <w:t>232.57</w:t>
            </w:r>
          </w:p>
        </w:tc>
        <w:tc>
          <w:tcPr>
            <w:tcW w:w="390" w:type="pct"/>
            <w:tcBorders>
              <w:tl2br w:val="nil"/>
              <w:tr2bl w:val="nil"/>
            </w:tcBorders>
            <w:noWrap w:val="0"/>
            <w:vAlign w:val="center"/>
          </w:tcPr>
          <w:p>
            <w:pPr>
              <w:autoSpaceDE w:val="0"/>
              <w:autoSpaceDN w:val="0"/>
              <w:adjustRightInd w:val="0"/>
              <w:snapToGrid w:val="0"/>
              <w:jc w:val="center"/>
              <w:textAlignment w:val="center"/>
              <w:rPr>
                <w:rFonts w:ascii="Times New Roman" w:hAnsi="Times New Roman" w:eastAsia="宋体" w:cs="Times New Roman"/>
                <w:color w:val="auto"/>
                <w:szCs w:val="21"/>
                <w:highlight w:val="none"/>
                <w:lang w:eastAsia="en-US"/>
              </w:rPr>
            </w:pPr>
            <w:r>
              <w:rPr>
                <w:rFonts w:ascii="Times New Roman" w:hAnsi="Times New Roman" w:eastAsia="宋体" w:cs="Times New Roman"/>
                <w:color w:val="auto"/>
                <w:kern w:val="0"/>
                <w:szCs w:val="21"/>
                <w:highlight w:val="none"/>
                <w:lang w:eastAsia="en-US"/>
              </w:rPr>
              <w:t>191.23</w:t>
            </w:r>
          </w:p>
        </w:tc>
        <w:tc>
          <w:tcPr>
            <w:tcW w:w="390" w:type="pct"/>
            <w:tcBorders>
              <w:tl2br w:val="nil"/>
              <w:tr2bl w:val="nil"/>
            </w:tcBorders>
            <w:noWrap w:val="0"/>
            <w:vAlign w:val="center"/>
          </w:tcPr>
          <w:p>
            <w:pPr>
              <w:autoSpaceDE w:val="0"/>
              <w:autoSpaceDN w:val="0"/>
              <w:adjustRightInd w:val="0"/>
              <w:snapToGrid w:val="0"/>
              <w:jc w:val="center"/>
              <w:textAlignment w:val="center"/>
              <w:rPr>
                <w:rFonts w:ascii="Times New Roman" w:hAnsi="Times New Roman" w:eastAsia="宋体" w:cs="Times New Roman"/>
                <w:color w:val="auto"/>
                <w:szCs w:val="21"/>
                <w:highlight w:val="none"/>
                <w:lang w:eastAsia="en-US"/>
              </w:rPr>
            </w:pPr>
            <w:r>
              <w:rPr>
                <w:rFonts w:ascii="Times New Roman" w:hAnsi="Times New Roman" w:eastAsia="宋体" w:cs="Times New Roman"/>
                <w:color w:val="auto"/>
                <w:kern w:val="0"/>
                <w:szCs w:val="21"/>
                <w:highlight w:val="none"/>
                <w:lang w:eastAsia="en-US"/>
              </w:rPr>
              <w:t>139.13</w:t>
            </w:r>
          </w:p>
        </w:tc>
        <w:tc>
          <w:tcPr>
            <w:tcW w:w="319" w:type="pct"/>
            <w:tcBorders>
              <w:tl2br w:val="nil"/>
              <w:tr2bl w:val="nil"/>
            </w:tcBorders>
            <w:noWrap w:val="0"/>
            <w:vAlign w:val="center"/>
          </w:tcPr>
          <w:p>
            <w:pPr>
              <w:autoSpaceDE w:val="0"/>
              <w:autoSpaceDN w:val="0"/>
              <w:adjustRightInd w:val="0"/>
              <w:snapToGrid w:val="0"/>
              <w:jc w:val="center"/>
              <w:textAlignment w:val="center"/>
              <w:rPr>
                <w:rFonts w:ascii="Times New Roman" w:hAnsi="Times New Roman" w:eastAsia="宋体" w:cs="Times New Roman"/>
                <w:color w:val="auto"/>
                <w:szCs w:val="21"/>
                <w:highlight w:val="none"/>
                <w:lang w:eastAsia="en-US"/>
              </w:rPr>
            </w:pPr>
            <w:r>
              <w:rPr>
                <w:rFonts w:ascii="Times New Roman" w:hAnsi="Times New Roman" w:eastAsia="宋体" w:cs="Times New Roman"/>
                <w:color w:val="auto"/>
                <w:kern w:val="0"/>
                <w:szCs w:val="21"/>
                <w:highlight w:val="none"/>
                <w:lang w:eastAsia="en-US"/>
              </w:rPr>
              <w:t>90.08</w:t>
            </w:r>
          </w:p>
        </w:tc>
        <w:tc>
          <w:tcPr>
            <w:tcW w:w="319" w:type="pct"/>
            <w:tcBorders>
              <w:tl2br w:val="nil"/>
              <w:tr2bl w:val="nil"/>
            </w:tcBorders>
            <w:noWrap w:val="0"/>
            <w:vAlign w:val="center"/>
          </w:tcPr>
          <w:p>
            <w:pPr>
              <w:autoSpaceDE w:val="0"/>
              <w:autoSpaceDN w:val="0"/>
              <w:adjustRightInd w:val="0"/>
              <w:snapToGrid w:val="0"/>
              <w:jc w:val="center"/>
              <w:textAlignment w:val="center"/>
              <w:rPr>
                <w:rFonts w:ascii="Times New Roman" w:hAnsi="Times New Roman" w:eastAsia="宋体" w:cs="Times New Roman"/>
                <w:color w:val="auto"/>
                <w:szCs w:val="21"/>
                <w:highlight w:val="none"/>
                <w:lang w:eastAsia="en-US"/>
              </w:rPr>
            </w:pPr>
            <w:r>
              <w:rPr>
                <w:rFonts w:ascii="Times New Roman" w:hAnsi="Times New Roman" w:eastAsia="宋体" w:cs="Times New Roman"/>
                <w:color w:val="auto"/>
                <w:kern w:val="0"/>
                <w:szCs w:val="21"/>
                <w:highlight w:val="none"/>
                <w:lang w:eastAsia="en-US"/>
              </w:rPr>
              <w:t>74.04</w:t>
            </w:r>
          </w:p>
        </w:tc>
        <w:tc>
          <w:tcPr>
            <w:tcW w:w="329" w:type="pct"/>
            <w:tcBorders>
              <w:tl2br w:val="nil"/>
              <w:tr2bl w:val="nil"/>
            </w:tcBorders>
            <w:noWrap w:val="0"/>
            <w:vAlign w:val="center"/>
          </w:tcPr>
          <w:p>
            <w:pPr>
              <w:autoSpaceDE w:val="0"/>
              <w:autoSpaceDN w:val="0"/>
              <w:adjustRightInd w:val="0"/>
              <w:snapToGrid w:val="0"/>
              <w:jc w:val="center"/>
              <w:textAlignment w:val="center"/>
              <w:rPr>
                <w:rFonts w:ascii="Times New Roman" w:hAnsi="Times New Roman" w:eastAsia="宋体" w:cs="Times New Roman"/>
                <w:color w:val="auto"/>
                <w:szCs w:val="21"/>
                <w:highlight w:val="none"/>
                <w:lang w:eastAsia="en-US"/>
              </w:rPr>
            </w:pPr>
            <w:r>
              <w:rPr>
                <w:rFonts w:ascii="Times New Roman" w:hAnsi="Times New Roman" w:eastAsia="宋体" w:cs="Times New Roman"/>
                <w:color w:val="auto"/>
                <w:kern w:val="0"/>
                <w:szCs w:val="21"/>
                <w:highlight w:val="none"/>
                <w:lang w:eastAsia="en-US"/>
              </w:rPr>
              <w:t>92.42</w:t>
            </w:r>
          </w:p>
        </w:tc>
        <w:tc>
          <w:tcPr>
            <w:tcW w:w="319" w:type="pct"/>
            <w:tcBorders>
              <w:tl2br w:val="nil"/>
              <w:tr2bl w:val="nil"/>
            </w:tcBorders>
            <w:noWrap w:val="0"/>
            <w:vAlign w:val="center"/>
          </w:tcPr>
          <w:p>
            <w:pPr>
              <w:autoSpaceDE w:val="0"/>
              <w:autoSpaceDN w:val="0"/>
              <w:adjustRightInd w:val="0"/>
              <w:snapToGrid w:val="0"/>
              <w:jc w:val="center"/>
              <w:textAlignment w:val="center"/>
              <w:rPr>
                <w:rFonts w:ascii="Times New Roman" w:hAnsi="Times New Roman" w:eastAsia="宋体" w:cs="Times New Roman"/>
                <w:color w:val="auto"/>
                <w:szCs w:val="21"/>
                <w:highlight w:val="none"/>
                <w:lang w:eastAsia="en-US"/>
              </w:rPr>
            </w:pPr>
            <w:r>
              <w:rPr>
                <w:rFonts w:ascii="Times New Roman" w:hAnsi="Times New Roman" w:eastAsia="宋体" w:cs="Times New Roman"/>
                <w:color w:val="auto"/>
                <w:kern w:val="0"/>
                <w:szCs w:val="21"/>
                <w:highlight w:val="none"/>
                <w:lang w:eastAsia="en-US"/>
              </w:rPr>
              <w:t>46.57</w:t>
            </w:r>
          </w:p>
        </w:tc>
      </w:tr>
    </w:tbl>
    <w:p>
      <w:pPr>
        <w:pStyle w:val="3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b/>
          <w:bCs/>
          <w:color w:val="auto"/>
          <w:kern w:val="0"/>
          <w:sz w:val="24"/>
          <w:highlight w:val="none"/>
          <w:lang w:eastAsia="en-US"/>
        </w:rPr>
      </w:pPr>
      <w:r>
        <w:rPr>
          <w:rFonts w:hint="eastAsia" w:cs="Times New Roman"/>
          <w:b/>
          <w:bCs/>
          <w:color w:val="auto"/>
          <w:kern w:val="0"/>
          <w:sz w:val="24"/>
          <w:highlight w:val="none"/>
          <w:lang w:val="en-US" w:eastAsia="zh-CN"/>
        </w:rPr>
        <w:t>（2）</w:t>
      </w:r>
      <w:r>
        <w:rPr>
          <w:rFonts w:ascii="Times New Roman" w:hAnsi="Times New Roman" w:eastAsia="宋体" w:cs="Times New Roman"/>
          <w:b/>
          <w:bCs/>
          <w:color w:val="auto"/>
          <w:kern w:val="0"/>
          <w:sz w:val="24"/>
          <w:highlight w:val="none"/>
          <w:lang w:eastAsia="en-US"/>
        </w:rPr>
        <w:t>基准年气象特征分析</w:t>
      </w:r>
    </w:p>
    <w:p>
      <w:pPr>
        <w:pStyle w:val="3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b/>
          <w:bCs/>
          <w:color w:val="auto"/>
          <w:kern w:val="0"/>
          <w:sz w:val="24"/>
          <w:highlight w:val="none"/>
          <w:lang w:eastAsia="en-US"/>
        </w:rPr>
      </w:pPr>
      <w:r>
        <w:rPr>
          <w:rFonts w:ascii="Times New Roman" w:hAnsi="Times New Roman" w:eastAsia="宋体" w:cs="Times New Roman"/>
          <w:b/>
          <w:bCs/>
          <w:color w:val="auto"/>
          <w:kern w:val="0"/>
          <w:sz w:val="24"/>
          <w:highlight w:val="none"/>
          <w:lang w:eastAsia="en-US"/>
        </w:rPr>
        <w:t>1、地面气象资料</w:t>
      </w:r>
    </w:p>
    <w:p>
      <w:pPr>
        <w:pStyle w:val="33"/>
        <w:ind w:firstLine="48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本评价的基准年为2019年，采用距项目最近的气象站——临湘气象站2019年1月1日~2019年12月31日一年的气象资料作为地面气象资料，该地面气象站基本情况如下。</w:t>
      </w:r>
    </w:p>
    <w:p>
      <w:pPr>
        <w:pStyle w:val="36"/>
        <w:bidi w:val="0"/>
        <w:rPr>
          <w:color w:val="auto"/>
        </w:rPr>
      </w:pPr>
      <w:r>
        <w:rPr>
          <w:rFonts w:hint="eastAsia"/>
          <w:color w:val="auto"/>
          <w:lang w:val="en-US" w:eastAsia="zh-CN"/>
        </w:rPr>
        <w:t>表7.1-6</w:t>
      </w:r>
      <w:r>
        <w:rPr>
          <w:color w:val="auto"/>
        </w:rPr>
        <w:t xml:space="preserve"> 地面气象站基本信息表</w:t>
      </w:r>
    </w:p>
    <w:tbl>
      <w:tblPr>
        <w:tblStyle w:val="2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96"/>
        <w:gridCol w:w="1095"/>
        <w:gridCol w:w="1271"/>
        <w:gridCol w:w="1185"/>
        <w:gridCol w:w="1102"/>
        <w:gridCol w:w="832"/>
        <w:gridCol w:w="996"/>
        <w:gridCol w:w="14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9" w:hRule="atLeast"/>
          <w:tblHeader/>
          <w:jc w:val="center"/>
        </w:trPr>
        <w:tc>
          <w:tcPr>
            <w:tcW w:w="609" w:type="pct"/>
            <w:vMerge w:val="restart"/>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气象站</w:t>
            </w:r>
            <w:r>
              <w:rPr>
                <w:rFonts w:ascii="Times New Roman" w:hAnsi="Times New Roman" w:eastAsia="宋体" w:cs="Times New Roman"/>
                <w:b/>
                <w:bCs/>
                <w:color w:val="auto"/>
                <w:kern w:val="0"/>
                <w:sz w:val="21"/>
                <w:szCs w:val="21"/>
                <w:highlight w:val="none"/>
                <w:lang w:eastAsia="en-US"/>
              </w:rPr>
              <w:br w:type="textWrapping"/>
            </w:r>
            <w:r>
              <w:rPr>
                <w:rFonts w:ascii="Times New Roman" w:hAnsi="Times New Roman" w:eastAsia="宋体" w:cs="Times New Roman"/>
                <w:b/>
                <w:bCs/>
                <w:color w:val="auto"/>
                <w:kern w:val="0"/>
                <w:sz w:val="21"/>
                <w:szCs w:val="21"/>
                <w:highlight w:val="none"/>
                <w:lang w:eastAsia="en-US"/>
              </w:rPr>
              <w:t>名称</w:t>
            </w:r>
          </w:p>
        </w:tc>
        <w:tc>
          <w:tcPr>
            <w:tcW w:w="608" w:type="pct"/>
            <w:vMerge w:val="restart"/>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气象站</w:t>
            </w:r>
            <w:r>
              <w:rPr>
                <w:rFonts w:ascii="Times New Roman" w:hAnsi="Times New Roman" w:eastAsia="宋体" w:cs="Times New Roman"/>
                <w:b/>
                <w:bCs/>
                <w:color w:val="auto"/>
                <w:kern w:val="0"/>
                <w:sz w:val="21"/>
                <w:szCs w:val="21"/>
                <w:highlight w:val="none"/>
                <w:lang w:eastAsia="en-US"/>
              </w:rPr>
              <w:br w:type="textWrapping"/>
            </w:r>
            <w:r>
              <w:rPr>
                <w:rFonts w:ascii="Times New Roman" w:hAnsi="Times New Roman" w:eastAsia="宋体" w:cs="Times New Roman"/>
                <w:b/>
                <w:bCs/>
                <w:color w:val="auto"/>
                <w:kern w:val="0"/>
                <w:sz w:val="21"/>
                <w:szCs w:val="21"/>
                <w:highlight w:val="none"/>
                <w:lang w:eastAsia="en-US"/>
              </w:rPr>
              <w:t>编号</w:t>
            </w:r>
          </w:p>
        </w:tc>
        <w:tc>
          <w:tcPr>
            <w:tcW w:w="1364" w:type="pct"/>
            <w:gridSpan w:val="2"/>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气象站经纬度</w:t>
            </w:r>
          </w:p>
        </w:tc>
        <w:tc>
          <w:tcPr>
            <w:tcW w:w="612" w:type="pct"/>
            <w:vMerge w:val="restart"/>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相对距离/km</w:t>
            </w:r>
          </w:p>
        </w:tc>
        <w:tc>
          <w:tcPr>
            <w:tcW w:w="462" w:type="pct"/>
            <w:vMerge w:val="restart"/>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海拔高度/m</w:t>
            </w:r>
          </w:p>
        </w:tc>
        <w:tc>
          <w:tcPr>
            <w:tcW w:w="553" w:type="pct"/>
            <w:vMerge w:val="restart"/>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数据年份</w:t>
            </w:r>
          </w:p>
        </w:tc>
        <w:tc>
          <w:tcPr>
            <w:tcW w:w="790" w:type="pct"/>
            <w:vMerge w:val="restart"/>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气象要素</w:t>
            </w:r>
          </w:p>
        </w:tc>
      </w:tr>
      <w:tr>
        <w:trPr>
          <w:trHeight w:val="349" w:hRule="atLeast"/>
          <w:jc w:val="center"/>
        </w:trPr>
        <w:tc>
          <w:tcPr>
            <w:tcW w:w="609" w:type="pct"/>
            <w:vMerge w:val="continue"/>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p>
        </w:tc>
        <w:tc>
          <w:tcPr>
            <w:tcW w:w="608" w:type="pct"/>
            <w:vMerge w:val="continue"/>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p>
        </w:tc>
        <w:tc>
          <w:tcPr>
            <w:tcW w:w="706" w:type="pct"/>
            <w:tcBorders>
              <w:tl2br w:val="nil"/>
              <w:tr2bl w:val="nil"/>
            </w:tcBorders>
            <w:shd w:val="clear" w:color="auto" w:fill="FFFFFF"/>
            <w:noWrap w:val="0"/>
            <w:vAlign w:val="center"/>
          </w:tcPr>
          <w:p>
            <w:pPr>
              <w:autoSpaceDE w:val="0"/>
              <w:autoSpaceDN w:val="0"/>
              <w:spacing w:before="48" w:beforeLines="20" w:after="48" w:afterLines="20"/>
              <w:jc w:val="center"/>
              <w:rPr>
                <w:rFonts w:ascii="Times New Roman" w:hAnsi="Times New Roman" w:eastAsia="宋体" w:cs="Times New Roman"/>
                <w:b/>
                <w:bCs/>
                <w:snapToGrid w:val="0"/>
                <w:color w:val="auto"/>
                <w:kern w:val="24"/>
                <w:sz w:val="21"/>
                <w:szCs w:val="21"/>
                <w:highlight w:val="none"/>
                <w:lang w:eastAsia="en-US"/>
              </w:rPr>
            </w:pPr>
            <w:r>
              <w:rPr>
                <w:rFonts w:ascii="Times New Roman" w:hAnsi="Times New Roman" w:eastAsia="宋体" w:cs="Times New Roman"/>
                <w:b/>
                <w:bCs/>
                <w:snapToGrid w:val="0"/>
                <w:color w:val="auto"/>
                <w:kern w:val="24"/>
                <w:sz w:val="21"/>
                <w:szCs w:val="21"/>
                <w:highlight w:val="none"/>
                <w:lang w:eastAsia="en-US"/>
              </w:rPr>
              <w:t>经度</w:t>
            </w:r>
          </w:p>
        </w:tc>
        <w:tc>
          <w:tcPr>
            <w:tcW w:w="657" w:type="pct"/>
            <w:tcBorders>
              <w:tl2br w:val="nil"/>
              <w:tr2bl w:val="nil"/>
            </w:tcBorders>
            <w:shd w:val="clear" w:color="auto" w:fill="FFFFFF"/>
            <w:noWrap w:val="0"/>
            <w:vAlign w:val="center"/>
          </w:tcPr>
          <w:p>
            <w:pPr>
              <w:autoSpaceDE w:val="0"/>
              <w:autoSpaceDN w:val="0"/>
              <w:spacing w:before="48" w:beforeLines="20" w:after="48" w:afterLines="20"/>
              <w:jc w:val="center"/>
              <w:rPr>
                <w:rFonts w:ascii="Times New Roman" w:hAnsi="Times New Roman" w:eastAsia="宋体" w:cs="Times New Roman"/>
                <w:b/>
                <w:bCs/>
                <w:snapToGrid w:val="0"/>
                <w:color w:val="auto"/>
                <w:kern w:val="24"/>
                <w:sz w:val="21"/>
                <w:szCs w:val="21"/>
                <w:highlight w:val="none"/>
                <w:lang w:eastAsia="en-US"/>
              </w:rPr>
            </w:pPr>
            <w:r>
              <w:rPr>
                <w:rFonts w:ascii="Times New Roman" w:hAnsi="Times New Roman" w:eastAsia="宋体" w:cs="Times New Roman"/>
                <w:b/>
                <w:bCs/>
                <w:snapToGrid w:val="0"/>
                <w:color w:val="auto"/>
                <w:kern w:val="24"/>
                <w:sz w:val="21"/>
                <w:szCs w:val="21"/>
                <w:highlight w:val="none"/>
                <w:lang w:eastAsia="en-US"/>
              </w:rPr>
              <w:t>纬度</w:t>
            </w:r>
          </w:p>
        </w:tc>
        <w:tc>
          <w:tcPr>
            <w:tcW w:w="612" w:type="pct"/>
            <w:vMerge w:val="continue"/>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p>
        </w:tc>
        <w:tc>
          <w:tcPr>
            <w:tcW w:w="462" w:type="pct"/>
            <w:vMerge w:val="continue"/>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p>
        </w:tc>
        <w:tc>
          <w:tcPr>
            <w:tcW w:w="553" w:type="pct"/>
            <w:vMerge w:val="continue"/>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p>
        </w:tc>
        <w:tc>
          <w:tcPr>
            <w:tcW w:w="790" w:type="pct"/>
            <w:vMerge w:val="continue"/>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p>
        </w:tc>
      </w:tr>
      <w:tr>
        <w:trPr>
          <w:trHeight w:val="349" w:hRule="atLeast"/>
          <w:jc w:val="center"/>
        </w:trPr>
        <w:tc>
          <w:tcPr>
            <w:tcW w:w="609" w:type="pct"/>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snapToGrid w:val="0"/>
                <w:color w:val="auto"/>
                <w:kern w:val="24"/>
                <w:sz w:val="21"/>
                <w:szCs w:val="21"/>
                <w:highlight w:val="none"/>
              </w:rPr>
              <w:t>临湘</w:t>
            </w:r>
            <w:r>
              <w:rPr>
                <w:rFonts w:ascii="Times New Roman" w:hAnsi="Times New Roman" w:eastAsia="宋体" w:cs="Times New Roman"/>
                <w:snapToGrid w:val="0"/>
                <w:color w:val="auto"/>
                <w:kern w:val="24"/>
                <w:sz w:val="21"/>
                <w:szCs w:val="21"/>
                <w:highlight w:val="none"/>
                <w:lang w:eastAsia="en-US"/>
              </w:rPr>
              <w:t>气象站</w:t>
            </w:r>
          </w:p>
        </w:tc>
        <w:tc>
          <w:tcPr>
            <w:tcW w:w="608" w:type="pct"/>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snapToGrid w:val="0"/>
                <w:color w:val="auto"/>
                <w:kern w:val="24"/>
                <w:sz w:val="21"/>
                <w:szCs w:val="21"/>
                <w:highlight w:val="none"/>
                <w:lang w:eastAsia="en-US"/>
              </w:rPr>
              <w:t>57585</w:t>
            </w:r>
          </w:p>
        </w:tc>
        <w:tc>
          <w:tcPr>
            <w:tcW w:w="706" w:type="pct"/>
            <w:tcBorders>
              <w:tl2br w:val="nil"/>
              <w:tr2bl w:val="nil"/>
            </w:tcBorders>
            <w:shd w:val="clear" w:color="auto" w:fill="FFFFFF"/>
            <w:noWrap w:val="0"/>
            <w:vAlign w:val="center"/>
          </w:tcPr>
          <w:p>
            <w:pPr>
              <w:autoSpaceDE w:val="0"/>
              <w:autoSpaceDN w:val="0"/>
              <w:spacing w:before="48" w:beforeLines="20" w:after="48" w:afterLines="20"/>
              <w:jc w:val="center"/>
              <w:rPr>
                <w:rFonts w:ascii="Times New Roman" w:hAnsi="Times New Roman" w:eastAsia="宋体" w:cs="Times New Roman"/>
                <w:snapToGrid w:val="0"/>
                <w:color w:val="auto"/>
                <w:kern w:val="24"/>
                <w:sz w:val="21"/>
                <w:szCs w:val="21"/>
                <w:highlight w:val="none"/>
                <w:lang w:eastAsia="en-US"/>
              </w:rPr>
            </w:pPr>
            <w:r>
              <w:rPr>
                <w:rFonts w:ascii="Times New Roman" w:hAnsi="Times New Roman" w:eastAsia="宋体" w:cs="Times New Roman"/>
                <w:snapToGrid w:val="0"/>
                <w:color w:val="auto"/>
                <w:kern w:val="24"/>
                <w:sz w:val="21"/>
                <w:szCs w:val="21"/>
                <w:highlight w:val="none"/>
                <w:lang w:eastAsia="en-US"/>
              </w:rPr>
              <w:t>113.448E</w:t>
            </w:r>
          </w:p>
        </w:tc>
        <w:tc>
          <w:tcPr>
            <w:tcW w:w="657" w:type="pct"/>
            <w:tcBorders>
              <w:tl2br w:val="nil"/>
              <w:tr2bl w:val="nil"/>
            </w:tcBorders>
            <w:shd w:val="clear" w:color="auto" w:fill="FFFFFF"/>
            <w:noWrap w:val="0"/>
            <w:vAlign w:val="center"/>
          </w:tcPr>
          <w:p>
            <w:pPr>
              <w:autoSpaceDE w:val="0"/>
              <w:autoSpaceDN w:val="0"/>
              <w:spacing w:before="48" w:beforeLines="20" w:after="48" w:afterLines="20"/>
              <w:jc w:val="center"/>
              <w:rPr>
                <w:rFonts w:ascii="Times New Roman" w:hAnsi="Times New Roman" w:eastAsia="宋体" w:cs="Times New Roman"/>
                <w:snapToGrid w:val="0"/>
                <w:color w:val="auto"/>
                <w:kern w:val="24"/>
                <w:sz w:val="21"/>
                <w:szCs w:val="21"/>
                <w:highlight w:val="none"/>
                <w:lang w:eastAsia="en-US"/>
              </w:rPr>
            </w:pPr>
            <w:r>
              <w:rPr>
                <w:rFonts w:ascii="Times New Roman" w:hAnsi="Times New Roman" w:eastAsia="宋体" w:cs="Times New Roman"/>
                <w:snapToGrid w:val="0"/>
                <w:color w:val="auto"/>
                <w:kern w:val="24"/>
                <w:sz w:val="21"/>
                <w:szCs w:val="21"/>
                <w:highlight w:val="none"/>
                <w:lang w:eastAsia="en-US"/>
              </w:rPr>
              <w:t>29.4811N</w:t>
            </w:r>
          </w:p>
        </w:tc>
        <w:tc>
          <w:tcPr>
            <w:tcW w:w="612" w:type="pct"/>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18.6</w:t>
            </w:r>
          </w:p>
        </w:tc>
        <w:tc>
          <w:tcPr>
            <w:tcW w:w="462" w:type="pct"/>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60.4m</w:t>
            </w:r>
          </w:p>
        </w:tc>
        <w:tc>
          <w:tcPr>
            <w:tcW w:w="553" w:type="pct"/>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2019</w:t>
            </w:r>
          </w:p>
        </w:tc>
        <w:tc>
          <w:tcPr>
            <w:tcW w:w="790" w:type="pct"/>
            <w:tcBorders>
              <w:tl2br w:val="nil"/>
              <w:tr2bl w:val="nil"/>
            </w:tcBorders>
            <w:shd w:val="clear" w:color="auto" w:fill="FFFFFF"/>
            <w:noWrap w:val="0"/>
            <w:vAlign w:val="center"/>
          </w:tcPr>
          <w:p>
            <w:pPr>
              <w:autoSpaceDE w:val="0"/>
              <w:autoSpaceDN w:val="0"/>
              <w:adjustRightInd w:val="0"/>
              <w:snapToGrid w:val="0"/>
              <w:spacing w:before="24" w:after="24"/>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温度、风向、风速、总云、低云</w:t>
            </w:r>
          </w:p>
        </w:tc>
      </w:tr>
    </w:tbl>
    <w:p>
      <w:pPr>
        <w:pStyle w:val="33"/>
        <w:ind w:firstLine="480"/>
        <w:rPr>
          <w:rFonts w:ascii="Times New Roman" w:hAnsi="Times New Roman" w:eastAsia="宋体" w:cs="Times New Roman"/>
          <w:color w:val="auto"/>
          <w:kern w:val="0"/>
          <w:sz w:val="24"/>
          <w:highlight w:val="none"/>
          <w:lang w:eastAsia="en-US"/>
        </w:rPr>
      </w:pPr>
      <w:r>
        <w:rPr>
          <w:rFonts w:ascii="Times New Roman" w:hAnsi="Times New Roman" w:eastAsia="宋体" w:cs="Times New Roman"/>
          <w:color w:val="auto"/>
          <w:kern w:val="0"/>
          <w:sz w:val="24"/>
          <w:highlight w:val="none"/>
          <w:lang w:eastAsia="en-US"/>
        </w:rPr>
        <w:t>根据临湘气象站2019年全年逐时数据对当地的温度、风速、风向风频等进行统计，具体情况如下：</w:t>
      </w:r>
    </w:p>
    <w:p>
      <w:pPr>
        <w:pStyle w:val="33"/>
        <w:ind w:firstLine="480"/>
        <w:rPr>
          <w:rFonts w:ascii="Times New Roman" w:hAnsi="Times New Roman" w:eastAsia="宋体" w:cs="Times New Roman"/>
          <w:color w:val="auto"/>
          <w:kern w:val="0"/>
          <w:sz w:val="24"/>
          <w:highlight w:val="none"/>
          <w:lang w:eastAsia="en-US"/>
        </w:rPr>
      </w:pPr>
      <w:r>
        <w:rPr>
          <w:rFonts w:ascii="Times New Roman" w:hAnsi="Times New Roman" w:eastAsia="宋体" w:cs="Times New Roman"/>
          <w:color w:val="auto"/>
          <w:kern w:val="0"/>
          <w:sz w:val="24"/>
          <w:highlight w:val="none"/>
          <w:lang w:eastAsia="en-US"/>
        </w:rPr>
        <w:t>1、气温</w:t>
      </w:r>
    </w:p>
    <w:p>
      <w:pPr>
        <w:pStyle w:val="36"/>
        <w:bidi w:val="0"/>
        <w:rPr>
          <w:color w:val="auto"/>
        </w:rPr>
      </w:pPr>
      <w:r>
        <w:rPr>
          <w:rFonts w:hint="eastAsia"/>
          <w:color w:val="auto"/>
          <w:lang w:val="en-US" w:eastAsia="zh-CN"/>
        </w:rPr>
        <w:t xml:space="preserve">表7.1-7 </w:t>
      </w:r>
      <w:r>
        <w:rPr>
          <w:color w:val="auto"/>
        </w:rPr>
        <w:t>2019年平均温度的月变化</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623"/>
        <w:gridCol w:w="623"/>
        <w:gridCol w:w="722"/>
        <w:gridCol w:w="722"/>
        <w:gridCol w:w="722"/>
        <w:gridCol w:w="722"/>
        <w:gridCol w:w="722"/>
        <w:gridCol w:w="722"/>
        <w:gridCol w:w="722"/>
        <w:gridCol w:w="722"/>
        <w:gridCol w:w="722"/>
        <w:gridCol w:w="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8" w:hRule="atLeast"/>
          <w:jc w:val="center"/>
        </w:trPr>
        <w:tc>
          <w:tcPr>
            <w:tcW w:w="338"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月份</w:t>
            </w:r>
          </w:p>
        </w:tc>
        <w:tc>
          <w:tcPr>
            <w:tcW w:w="347"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1月</w:t>
            </w:r>
          </w:p>
        </w:tc>
        <w:tc>
          <w:tcPr>
            <w:tcW w:w="347"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2月</w:t>
            </w:r>
          </w:p>
        </w:tc>
        <w:tc>
          <w:tcPr>
            <w:tcW w:w="402"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3月</w:t>
            </w:r>
          </w:p>
        </w:tc>
        <w:tc>
          <w:tcPr>
            <w:tcW w:w="402"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4月</w:t>
            </w:r>
          </w:p>
        </w:tc>
        <w:tc>
          <w:tcPr>
            <w:tcW w:w="402"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5月</w:t>
            </w:r>
          </w:p>
        </w:tc>
        <w:tc>
          <w:tcPr>
            <w:tcW w:w="402"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6月</w:t>
            </w:r>
          </w:p>
        </w:tc>
        <w:tc>
          <w:tcPr>
            <w:tcW w:w="402"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7月</w:t>
            </w:r>
          </w:p>
        </w:tc>
        <w:tc>
          <w:tcPr>
            <w:tcW w:w="402"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8月</w:t>
            </w:r>
          </w:p>
        </w:tc>
        <w:tc>
          <w:tcPr>
            <w:tcW w:w="402"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9月</w:t>
            </w:r>
          </w:p>
        </w:tc>
        <w:tc>
          <w:tcPr>
            <w:tcW w:w="402"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10月</w:t>
            </w:r>
          </w:p>
        </w:tc>
        <w:tc>
          <w:tcPr>
            <w:tcW w:w="402"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11月</w:t>
            </w:r>
          </w:p>
        </w:tc>
        <w:tc>
          <w:tcPr>
            <w:tcW w:w="347"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8" w:hRule="atLeast"/>
          <w:jc w:val="center"/>
        </w:trPr>
        <w:tc>
          <w:tcPr>
            <w:tcW w:w="338" w:type="pct"/>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温度（ºC）</w:t>
            </w:r>
          </w:p>
        </w:tc>
        <w:tc>
          <w:tcPr>
            <w:tcW w:w="347" w:type="pct"/>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4.56</w:t>
            </w:r>
          </w:p>
        </w:tc>
        <w:tc>
          <w:tcPr>
            <w:tcW w:w="347" w:type="pct"/>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4.55</w:t>
            </w:r>
          </w:p>
        </w:tc>
        <w:tc>
          <w:tcPr>
            <w:tcW w:w="402" w:type="pct"/>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12.96</w:t>
            </w:r>
          </w:p>
        </w:tc>
        <w:tc>
          <w:tcPr>
            <w:tcW w:w="402" w:type="pct"/>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18.33</w:t>
            </w:r>
          </w:p>
        </w:tc>
        <w:tc>
          <w:tcPr>
            <w:tcW w:w="402" w:type="pct"/>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21.54</w:t>
            </w:r>
          </w:p>
        </w:tc>
        <w:tc>
          <w:tcPr>
            <w:tcW w:w="402" w:type="pct"/>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26.35</w:t>
            </w:r>
          </w:p>
        </w:tc>
        <w:tc>
          <w:tcPr>
            <w:tcW w:w="402" w:type="pct"/>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29.23</w:t>
            </w:r>
          </w:p>
        </w:tc>
        <w:tc>
          <w:tcPr>
            <w:tcW w:w="402" w:type="pct"/>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30.47</w:t>
            </w:r>
          </w:p>
        </w:tc>
        <w:tc>
          <w:tcPr>
            <w:tcW w:w="402" w:type="pct"/>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25.87</w:t>
            </w:r>
          </w:p>
        </w:tc>
        <w:tc>
          <w:tcPr>
            <w:tcW w:w="402" w:type="pct"/>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19.29</w:t>
            </w:r>
          </w:p>
        </w:tc>
        <w:tc>
          <w:tcPr>
            <w:tcW w:w="402" w:type="pct"/>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13.78</w:t>
            </w:r>
          </w:p>
        </w:tc>
        <w:tc>
          <w:tcPr>
            <w:tcW w:w="347" w:type="pct"/>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8.00</w:t>
            </w:r>
          </w:p>
        </w:tc>
      </w:tr>
    </w:tbl>
    <w:p>
      <w:pPr>
        <w:autoSpaceDE w:val="0"/>
        <w:autoSpaceDN w:val="0"/>
        <w:adjustRightInd w:val="0"/>
        <w:snapToGrid w:val="0"/>
        <w:spacing w:before="240" w:beforeLines="100" w:line="360" w:lineRule="auto"/>
        <w:ind w:left="-210" w:leftChars="-100"/>
        <w:jc w:val="center"/>
        <w:rPr>
          <w:rFonts w:ascii="Times New Roman" w:hAnsi="Times New Roman" w:eastAsia="宋体" w:cs="Times New Roman"/>
          <w:snapToGrid w:val="0"/>
          <w:color w:val="auto"/>
          <w:kern w:val="0"/>
          <w:sz w:val="24"/>
          <w:highlight w:val="none"/>
          <w:lang w:eastAsia="en-US"/>
        </w:rPr>
      </w:pPr>
      <w:r>
        <w:rPr>
          <w:rFonts w:ascii="Times New Roman" w:hAnsi="Times New Roman" w:eastAsia="Noto Sans CJK JP Black" w:cs="Times New Roman"/>
          <w:color w:val="auto"/>
          <w:kern w:val="0"/>
          <w:sz w:val="22"/>
          <w:szCs w:val="22"/>
          <w:highlight w:val="none"/>
        </w:rPr>
        <w:drawing>
          <wp:inline distT="0" distB="0" distL="114300" distR="114300">
            <wp:extent cx="5278755" cy="1711325"/>
            <wp:effectExtent l="0" t="0" r="17145" b="3175"/>
            <wp:docPr id="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pic:cNvPicPr>
                      <a:picLocks noChangeAspect="1"/>
                    </pic:cNvPicPr>
                  </pic:nvPicPr>
                  <pic:blipFill>
                    <a:blip r:embed="rId50"/>
                    <a:stretch>
                      <a:fillRect/>
                    </a:stretch>
                  </pic:blipFill>
                  <pic:spPr>
                    <a:xfrm>
                      <a:off x="0" y="0"/>
                      <a:ext cx="5278755" cy="1711325"/>
                    </a:xfrm>
                    <a:prstGeom prst="rect">
                      <a:avLst/>
                    </a:prstGeom>
                    <a:noFill/>
                    <a:ln>
                      <a:noFill/>
                    </a:ln>
                  </pic:spPr>
                </pic:pic>
              </a:graphicData>
            </a:graphic>
          </wp:inline>
        </w:drawing>
      </w:r>
    </w:p>
    <w:p>
      <w:pPr>
        <w:pStyle w:val="36"/>
        <w:bidi w:val="0"/>
        <w:rPr>
          <w:rFonts w:ascii="Times New Roman" w:hAnsi="Times New Roman" w:eastAsia="黑体" w:cs="Times New Roman"/>
          <w:snapToGrid w:val="0"/>
          <w:color w:val="auto"/>
          <w:kern w:val="0"/>
          <w:sz w:val="24"/>
          <w:highlight w:val="none"/>
        </w:rPr>
      </w:pPr>
      <w:r>
        <w:rPr>
          <w:rFonts w:hint="eastAsia" w:eastAsia="黑体" w:cs="Times New Roman"/>
          <w:snapToGrid w:val="0"/>
          <w:color w:val="auto"/>
          <w:kern w:val="0"/>
          <w:sz w:val="24"/>
          <w:highlight w:val="none"/>
          <w:lang w:val="en-US" w:eastAsia="zh-CN"/>
        </w:rPr>
        <w:t>图7.1-2</w:t>
      </w:r>
      <w:r>
        <w:rPr>
          <w:rFonts w:ascii="Times New Roman" w:hAnsi="Times New Roman" w:eastAsia="黑体" w:cs="Times New Roman"/>
          <w:snapToGrid w:val="0"/>
          <w:color w:val="auto"/>
          <w:kern w:val="0"/>
          <w:sz w:val="24"/>
          <w:highlight w:val="none"/>
        </w:rPr>
        <w:t xml:space="preserve"> 2019年年平均气温月变化曲线</w:t>
      </w:r>
    </w:p>
    <w:p>
      <w:pPr>
        <w:autoSpaceDE w:val="0"/>
        <w:autoSpaceDN w:val="0"/>
        <w:spacing w:line="360" w:lineRule="auto"/>
        <w:ind w:firstLine="480" w:firstLineChars="200"/>
        <w:jc w:val="left"/>
        <w:rPr>
          <w:rFonts w:ascii="Times New Roman" w:hAnsi="Times New Roman" w:eastAsia="宋体" w:cs="Times New Roman"/>
          <w:color w:val="auto"/>
          <w:kern w:val="0"/>
          <w:sz w:val="24"/>
          <w:highlight w:val="none"/>
          <w:lang w:eastAsia="en-US"/>
        </w:rPr>
      </w:pPr>
      <w:r>
        <w:rPr>
          <w:rFonts w:ascii="Times New Roman" w:hAnsi="Times New Roman" w:eastAsia="宋体" w:cs="Times New Roman"/>
          <w:color w:val="auto"/>
          <w:kern w:val="0"/>
          <w:sz w:val="24"/>
          <w:highlight w:val="none"/>
          <w:lang w:eastAsia="en-US"/>
        </w:rPr>
        <w:t>2、风速</w:t>
      </w:r>
    </w:p>
    <w:p>
      <w:pPr>
        <w:pStyle w:val="36"/>
        <w:bidi w:val="0"/>
        <w:rPr>
          <w:color w:val="auto"/>
        </w:rPr>
      </w:pPr>
      <w:r>
        <w:rPr>
          <w:rFonts w:hint="eastAsia"/>
          <w:color w:val="auto"/>
          <w:lang w:val="en-US" w:eastAsia="zh-CN"/>
        </w:rPr>
        <w:t>表7.1-8</w:t>
      </w:r>
      <w:r>
        <w:rPr>
          <w:color w:val="auto"/>
        </w:rPr>
        <w:t xml:space="preserve"> 2019年年平均风速的月变化</w:t>
      </w:r>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661"/>
        <w:gridCol w:w="661"/>
        <w:gridCol w:w="661"/>
        <w:gridCol w:w="661"/>
        <w:gridCol w:w="661"/>
        <w:gridCol w:w="661"/>
        <w:gridCol w:w="661"/>
        <w:gridCol w:w="661"/>
        <w:gridCol w:w="661"/>
        <w:gridCol w:w="674"/>
        <w:gridCol w:w="673"/>
        <w:gridCol w:w="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1027"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0"/>
                <w:szCs w:val="20"/>
                <w:highlight w:val="none"/>
                <w:lang w:eastAsia="en-US"/>
              </w:rPr>
            </w:pPr>
            <w:r>
              <w:rPr>
                <w:rFonts w:ascii="Times New Roman" w:hAnsi="Times New Roman" w:eastAsia="宋体" w:cs="Times New Roman"/>
                <w:b/>
                <w:bCs/>
                <w:color w:val="auto"/>
                <w:kern w:val="0"/>
                <w:sz w:val="20"/>
                <w:szCs w:val="20"/>
                <w:highlight w:val="none"/>
                <w:lang w:eastAsia="en-US"/>
              </w:rPr>
              <w:t>月份</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0"/>
                <w:szCs w:val="20"/>
                <w:highlight w:val="none"/>
                <w:lang w:eastAsia="en-US"/>
              </w:rPr>
            </w:pPr>
            <w:r>
              <w:rPr>
                <w:rFonts w:ascii="Times New Roman" w:hAnsi="Times New Roman" w:eastAsia="宋体" w:cs="Times New Roman"/>
                <w:b/>
                <w:bCs/>
                <w:color w:val="auto"/>
                <w:kern w:val="0"/>
                <w:sz w:val="20"/>
                <w:szCs w:val="20"/>
                <w:highlight w:val="none"/>
                <w:lang w:eastAsia="en-US"/>
              </w:rPr>
              <w:t>1月</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0"/>
                <w:szCs w:val="20"/>
                <w:highlight w:val="none"/>
                <w:lang w:eastAsia="en-US"/>
              </w:rPr>
            </w:pPr>
            <w:r>
              <w:rPr>
                <w:rFonts w:ascii="Times New Roman" w:hAnsi="Times New Roman" w:eastAsia="宋体" w:cs="Times New Roman"/>
                <w:b/>
                <w:bCs/>
                <w:color w:val="auto"/>
                <w:kern w:val="0"/>
                <w:sz w:val="20"/>
                <w:szCs w:val="20"/>
                <w:highlight w:val="none"/>
                <w:lang w:eastAsia="en-US"/>
              </w:rPr>
              <w:t>2月</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0"/>
                <w:szCs w:val="20"/>
                <w:highlight w:val="none"/>
                <w:lang w:eastAsia="en-US"/>
              </w:rPr>
            </w:pPr>
            <w:r>
              <w:rPr>
                <w:rFonts w:ascii="Times New Roman" w:hAnsi="Times New Roman" w:eastAsia="宋体" w:cs="Times New Roman"/>
                <w:b/>
                <w:bCs/>
                <w:color w:val="auto"/>
                <w:kern w:val="0"/>
                <w:sz w:val="20"/>
                <w:szCs w:val="20"/>
                <w:highlight w:val="none"/>
                <w:lang w:eastAsia="en-US"/>
              </w:rPr>
              <w:t>3月</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0"/>
                <w:szCs w:val="20"/>
                <w:highlight w:val="none"/>
                <w:lang w:eastAsia="en-US"/>
              </w:rPr>
            </w:pPr>
            <w:r>
              <w:rPr>
                <w:rFonts w:ascii="Times New Roman" w:hAnsi="Times New Roman" w:eastAsia="宋体" w:cs="Times New Roman"/>
                <w:b/>
                <w:bCs/>
                <w:color w:val="auto"/>
                <w:kern w:val="0"/>
                <w:sz w:val="20"/>
                <w:szCs w:val="20"/>
                <w:highlight w:val="none"/>
                <w:lang w:eastAsia="en-US"/>
              </w:rPr>
              <w:t>4月</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0"/>
                <w:szCs w:val="20"/>
                <w:highlight w:val="none"/>
                <w:lang w:eastAsia="en-US"/>
              </w:rPr>
            </w:pPr>
            <w:r>
              <w:rPr>
                <w:rFonts w:ascii="Times New Roman" w:hAnsi="Times New Roman" w:eastAsia="宋体" w:cs="Times New Roman"/>
                <w:b/>
                <w:bCs/>
                <w:color w:val="auto"/>
                <w:kern w:val="0"/>
                <w:sz w:val="20"/>
                <w:szCs w:val="20"/>
                <w:highlight w:val="none"/>
                <w:lang w:eastAsia="en-US"/>
              </w:rPr>
              <w:t>5月</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0"/>
                <w:szCs w:val="20"/>
                <w:highlight w:val="none"/>
                <w:lang w:eastAsia="en-US"/>
              </w:rPr>
            </w:pPr>
            <w:r>
              <w:rPr>
                <w:rFonts w:ascii="Times New Roman" w:hAnsi="Times New Roman" w:eastAsia="宋体" w:cs="Times New Roman"/>
                <w:b/>
                <w:bCs/>
                <w:color w:val="auto"/>
                <w:kern w:val="0"/>
                <w:sz w:val="20"/>
                <w:szCs w:val="20"/>
                <w:highlight w:val="none"/>
                <w:lang w:eastAsia="en-US"/>
              </w:rPr>
              <w:t>6月</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0"/>
                <w:szCs w:val="20"/>
                <w:highlight w:val="none"/>
                <w:lang w:eastAsia="en-US"/>
              </w:rPr>
            </w:pPr>
            <w:r>
              <w:rPr>
                <w:rFonts w:ascii="Times New Roman" w:hAnsi="Times New Roman" w:eastAsia="宋体" w:cs="Times New Roman"/>
                <w:b/>
                <w:bCs/>
                <w:color w:val="auto"/>
                <w:kern w:val="0"/>
                <w:sz w:val="20"/>
                <w:szCs w:val="20"/>
                <w:highlight w:val="none"/>
                <w:lang w:eastAsia="en-US"/>
              </w:rPr>
              <w:t>7月</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0"/>
                <w:szCs w:val="20"/>
                <w:highlight w:val="none"/>
                <w:lang w:eastAsia="en-US"/>
              </w:rPr>
            </w:pPr>
            <w:r>
              <w:rPr>
                <w:rFonts w:ascii="Times New Roman" w:hAnsi="Times New Roman" w:eastAsia="宋体" w:cs="Times New Roman"/>
                <w:b/>
                <w:bCs/>
                <w:color w:val="auto"/>
                <w:kern w:val="0"/>
                <w:sz w:val="20"/>
                <w:szCs w:val="20"/>
                <w:highlight w:val="none"/>
                <w:lang w:eastAsia="en-US"/>
              </w:rPr>
              <w:t>8月</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0"/>
                <w:szCs w:val="20"/>
                <w:highlight w:val="none"/>
                <w:lang w:eastAsia="en-US"/>
              </w:rPr>
            </w:pPr>
            <w:r>
              <w:rPr>
                <w:rFonts w:ascii="Times New Roman" w:hAnsi="Times New Roman" w:eastAsia="宋体" w:cs="Times New Roman"/>
                <w:b/>
                <w:bCs/>
                <w:color w:val="auto"/>
                <w:kern w:val="0"/>
                <w:sz w:val="20"/>
                <w:szCs w:val="20"/>
                <w:highlight w:val="none"/>
                <w:lang w:eastAsia="en-US"/>
              </w:rPr>
              <w:t>9月</w:t>
            </w:r>
          </w:p>
        </w:tc>
        <w:tc>
          <w:tcPr>
            <w:tcW w:w="674"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0"/>
                <w:szCs w:val="20"/>
                <w:highlight w:val="none"/>
                <w:lang w:eastAsia="en-US"/>
              </w:rPr>
            </w:pPr>
            <w:r>
              <w:rPr>
                <w:rFonts w:ascii="Times New Roman" w:hAnsi="Times New Roman" w:eastAsia="宋体" w:cs="Times New Roman"/>
                <w:b/>
                <w:bCs/>
                <w:color w:val="auto"/>
                <w:kern w:val="0"/>
                <w:sz w:val="20"/>
                <w:szCs w:val="20"/>
                <w:highlight w:val="none"/>
                <w:lang w:eastAsia="en-US"/>
              </w:rPr>
              <w:t>10月</w:t>
            </w:r>
          </w:p>
        </w:tc>
        <w:tc>
          <w:tcPr>
            <w:tcW w:w="673"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0"/>
                <w:szCs w:val="20"/>
                <w:highlight w:val="none"/>
                <w:lang w:eastAsia="en-US"/>
              </w:rPr>
            </w:pPr>
            <w:r>
              <w:rPr>
                <w:rFonts w:ascii="Times New Roman" w:hAnsi="Times New Roman" w:eastAsia="宋体" w:cs="Times New Roman"/>
                <w:b/>
                <w:bCs/>
                <w:color w:val="auto"/>
                <w:kern w:val="0"/>
                <w:sz w:val="20"/>
                <w:szCs w:val="20"/>
                <w:highlight w:val="none"/>
                <w:lang w:eastAsia="en-US"/>
              </w:rPr>
              <w:t>11月</w:t>
            </w:r>
          </w:p>
        </w:tc>
        <w:tc>
          <w:tcPr>
            <w:tcW w:w="579"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b/>
                <w:bCs/>
                <w:color w:val="auto"/>
                <w:kern w:val="0"/>
                <w:sz w:val="20"/>
                <w:szCs w:val="20"/>
                <w:highlight w:val="none"/>
                <w:lang w:eastAsia="en-US"/>
              </w:rPr>
            </w:pPr>
            <w:r>
              <w:rPr>
                <w:rFonts w:ascii="Times New Roman" w:hAnsi="Times New Roman" w:eastAsia="宋体" w:cs="Times New Roman"/>
                <w:b/>
                <w:bCs/>
                <w:color w:val="auto"/>
                <w:kern w:val="0"/>
                <w:sz w:val="20"/>
                <w:szCs w:val="20"/>
                <w:highlight w:val="none"/>
                <w:lang w:eastAsia="en-US"/>
              </w:rPr>
              <w:t>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1027"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风速（m/s）</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Noto Sans CJK JP Black" w:cs="Times New Roman"/>
                <w:color w:val="auto"/>
                <w:kern w:val="0"/>
                <w:sz w:val="22"/>
                <w:szCs w:val="22"/>
                <w:highlight w:val="none"/>
                <w:lang w:eastAsia="en-US"/>
              </w:rPr>
              <w:t>1.41</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Noto Sans CJK JP Black" w:cs="Times New Roman"/>
                <w:color w:val="auto"/>
                <w:kern w:val="0"/>
                <w:sz w:val="22"/>
                <w:szCs w:val="22"/>
                <w:highlight w:val="none"/>
                <w:lang w:eastAsia="en-US"/>
              </w:rPr>
              <w:t>1.61</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Noto Sans CJK JP Black" w:cs="Times New Roman"/>
                <w:color w:val="auto"/>
                <w:kern w:val="0"/>
                <w:sz w:val="22"/>
                <w:szCs w:val="22"/>
                <w:highlight w:val="none"/>
                <w:lang w:eastAsia="en-US"/>
              </w:rPr>
              <w:t>1.48</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Noto Sans CJK JP Black" w:cs="Times New Roman"/>
                <w:color w:val="auto"/>
                <w:kern w:val="0"/>
                <w:sz w:val="22"/>
                <w:szCs w:val="22"/>
                <w:highlight w:val="none"/>
                <w:lang w:eastAsia="en-US"/>
              </w:rPr>
              <w:t>1.89</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Noto Sans CJK JP Black" w:cs="Times New Roman"/>
                <w:color w:val="auto"/>
                <w:kern w:val="0"/>
                <w:sz w:val="22"/>
                <w:szCs w:val="22"/>
                <w:highlight w:val="none"/>
                <w:lang w:eastAsia="en-US"/>
              </w:rPr>
              <w:t>1.37</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Noto Sans CJK JP Black" w:cs="Times New Roman"/>
                <w:color w:val="auto"/>
                <w:kern w:val="0"/>
                <w:sz w:val="22"/>
                <w:szCs w:val="22"/>
                <w:highlight w:val="none"/>
                <w:lang w:eastAsia="en-US"/>
              </w:rPr>
              <w:t>1.57</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Noto Sans CJK JP Black" w:cs="Times New Roman"/>
                <w:color w:val="auto"/>
                <w:kern w:val="0"/>
                <w:sz w:val="22"/>
                <w:szCs w:val="22"/>
                <w:highlight w:val="none"/>
                <w:lang w:eastAsia="en-US"/>
              </w:rPr>
              <w:t>1.8</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Noto Sans CJK JP Black" w:cs="Times New Roman"/>
                <w:color w:val="auto"/>
                <w:kern w:val="0"/>
                <w:sz w:val="22"/>
                <w:szCs w:val="22"/>
                <w:highlight w:val="none"/>
                <w:lang w:eastAsia="en-US"/>
              </w:rPr>
              <w:t>1.66</w:t>
            </w:r>
          </w:p>
        </w:tc>
        <w:tc>
          <w:tcPr>
            <w:tcW w:w="661"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Noto Sans CJK JP Black" w:cs="Times New Roman"/>
                <w:color w:val="auto"/>
                <w:kern w:val="0"/>
                <w:sz w:val="22"/>
                <w:szCs w:val="22"/>
                <w:highlight w:val="none"/>
                <w:lang w:eastAsia="en-US"/>
              </w:rPr>
              <w:t>1.56</w:t>
            </w:r>
          </w:p>
        </w:tc>
        <w:tc>
          <w:tcPr>
            <w:tcW w:w="674"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Noto Sans CJK JP Black" w:cs="Times New Roman"/>
                <w:color w:val="auto"/>
                <w:kern w:val="0"/>
                <w:sz w:val="22"/>
                <w:szCs w:val="22"/>
                <w:highlight w:val="none"/>
                <w:lang w:eastAsia="en-US"/>
              </w:rPr>
              <w:t>1.37</w:t>
            </w:r>
          </w:p>
        </w:tc>
        <w:tc>
          <w:tcPr>
            <w:tcW w:w="673"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Noto Sans CJK JP Black" w:cs="Times New Roman"/>
                <w:color w:val="auto"/>
                <w:kern w:val="0"/>
                <w:sz w:val="22"/>
                <w:szCs w:val="22"/>
                <w:highlight w:val="none"/>
                <w:lang w:eastAsia="en-US"/>
              </w:rPr>
              <w:t>1.33</w:t>
            </w:r>
          </w:p>
        </w:tc>
        <w:tc>
          <w:tcPr>
            <w:tcW w:w="579" w:type="dxa"/>
            <w:tcBorders>
              <w:tl2br w:val="nil"/>
              <w:tr2bl w:val="nil"/>
            </w:tcBorders>
            <w:noWrap w:val="0"/>
            <w:vAlign w:val="center"/>
          </w:tcPr>
          <w:p>
            <w:pPr>
              <w:autoSpaceDE w:val="0"/>
              <w:autoSpaceDN w:val="0"/>
              <w:ind w:left="-105" w:leftChars="-50" w:right="-105" w:rightChars="-5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Noto Sans CJK JP Black" w:cs="Times New Roman"/>
                <w:color w:val="auto"/>
                <w:kern w:val="0"/>
                <w:sz w:val="22"/>
                <w:szCs w:val="22"/>
                <w:highlight w:val="none"/>
                <w:lang w:eastAsia="en-US"/>
              </w:rPr>
              <w:t>1.28</w:t>
            </w:r>
          </w:p>
        </w:tc>
      </w:tr>
    </w:tbl>
    <w:p>
      <w:pPr>
        <w:autoSpaceDE w:val="0"/>
        <w:autoSpaceDN w:val="0"/>
        <w:adjustRightInd w:val="0"/>
        <w:snapToGrid w:val="0"/>
        <w:spacing w:before="240" w:beforeLines="100" w:line="360" w:lineRule="auto"/>
        <w:ind w:left="-210" w:leftChars="-100"/>
        <w:jc w:val="center"/>
        <w:rPr>
          <w:rFonts w:ascii="Times New Roman" w:hAnsi="Times New Roman" w:eastAsia="宋体" w:cs="Times New Roman"/>
          <w:snapToGrid w:val="0"/>
          <w:color w:val="auto"/>
          <w:kern w:val="0"/>
          <w:sz w:val="24"/>
          <w:highlight w:val="none"/>
          <w:lang w:eastAsia="en-US"/>
        </w:rPr>
      </w:pPr>
      <w:r>
        <w:rPr>
          <w:rFonts w:ascii="Times New Roman" w:hAnsi="Times New Roman" w:eastAsia="Noto Sans CJK JP Black" w:cs="Times New Roman"/>
          <w:color w:val="auto"/>
          <w:kern w:val="0"/>
          <w:sz w:val="22"/>
          <w:szCs w:val="22"/>
          <w:highlight w:val="none"/>
        </w:rPr>
        <w:drawing>
          <wp:inline distT="0" distB="0" distL="114300" distR="114300">
            <wp:extent cx="5278755" cy="1756410"/>
            <wp:effectExtent l="0" t="0" r="17145" b="15240"/>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pic:cNvPicPr>
                      <a:picLocks noChangeAspect="1"/>
                    </pic:cNvPicPr>
                  </pic:nvPicPr>
                  <pic:blipFill>
                    <a:blip r:embed="rId51"/>
                    <a:stretch>
                      <a:fillRect/>
                    </a:stretch>
                  </pic:blipFill>
                  <pic:spPr>
                    <a:xfrm>
                      <a:off x="0" y="0"/>
                      <a:ext cx="5278755" cy="1756410"/>
                    </a:xfrm>
                    <a:prstGeom prst="rect">
                      <a:avLst/>
                    </a:prstGeom>
                    <a:noFill/>
                    <a:ln>
                      <a:noFill/>
                    </a:ln>
                  </pic:spPr>
                </pic:pic>
              </a:graphicData>
            </a:graphic>
          </wp:inline>
        </w:drawing>
      </w:r>
    </w:p>
    <w:p>
      <w:pPr>
        <w:pStyle w:val="36"/>
        <w:bidi w:val="0"/>
        <w:rPr>
          <w:rFonts w:ascii="Times New Roman" w:hAnsi="Times New Roman" w:eastAsia="黑体" w:cs="Times New Roman"/>
          <w:snapToGrid w:val="0"/>
          <w:color w:val="auto"/>
          <w:kern w:val="0"/>
          <w:sz w:val="24"/>
          <w:highlight w:val="none"/>
        </w:rPr>
      </w:pPr>
      <w:r>
        <w:rPr>
          <w:rFonts w:hint="eastAsia" w:eastAsia="黑体" w:cs="Times New Roman"/>
          <w:snapToGrid w:val="0"/>
          <w:color w:val="auto"/>
          <w:kern w:val="0"/>
          <w:sz w:val="24"/>
          <w:highlight w:val="none"/>
          <w:lang w:val="en-US" w:eastAsia="zh-CN"/>
        </w:rPr>
        <w:t>图7.1-3</w:t>
      </w:r>
      <w:r>
        <w:rPr>
          <w:rFonts w:ascii="Times New Roman" w:hAnsi="Times New Roman" w:eastAsia="黑体" w:cs="Times New Roman"/>
          <w:snapToGrid w:val="0"/>
          <w:color w:val="auto"/>
          <w:kern w:val="0"/>
          <w:sz w:val="24"/>
          <w:highlight w:val="none"/>
        </w:rPr>
        <w:t xml:space="preserve"> 2019年年平均风速月变化曲线</w:t>
      </w:r>
    </w:p>
    <w:p>
      <w:pPr>
        <w:autoSpaceDE w:val="0"/>
        <w:autoSpaceDN w:val="0"/>
        <w:spacing w:line="360" w:lineRule="auto"/>
        <w:ind w:firstLine="480" w:firstLineChars="200"/>
        <w:jc w:val="left"/>
        <w:rPr>
          <w:rFonts w:hint="eastAsia" w:eastAsia="黑体" w:cs="Times New Roman"/>
          <w:snapToGrid w:val="0"/>
          <w:color w:val="auto"/>
          <w:kern w:val="0"/>
          <w:sz w:val="24"/>
          <w:highlight w:val="none"/>
          <w:lang w:val="en-US" w:eastAsia="en-US"/>
        </w:rPr>
      </w:pPr>
      <w:r>
        <w:rPr>
          <w:rFonts w:ascii="Times New Roman" w:hAnsi="Times New Roman" w:eastAsia="宋体" w:cs="Times New Roman"/>
          <w:color w:val="auto"/>
          <w:kern w:val="0"/>
          <w:sz w:val="24"/>
          <w:highlight w:val="none"/>
          <w:lang w:eastAsia="en-US"/>
        </w:rPr>
        <w:t>3、风向、风频</w:t>
      </w:r>
    </w:p>
    <w:p>
      <w:pPr>
        <w:pStyle w:val="36"/>
        <w:bidi w:val="0"/>
        <w:rPr>
          <w:color w:val="auto"/>
        </w:rPr>
      </w:pPr>
      <w:r>
        <w:rPr>
          <w:rFonts w:hint="eastAsia"/>
          <w:color w:val="auto"/>
          <w:lang w:val="en-US" w:eastAsia="zh-CN"/>
        </w:rPr>
        <w:t>表7.1-9 2019</w:t>
      </w:r>
      <w:r>
        <w:rPr>
          <w:color w:val="auto"/>
        </w:rPr>
        <w:t>年年均风频的月变化、季变化变及年变化情况</w:t>
      </w:r>
    </w:p>
    <w:tbl>
      <w:tblPr>
        <w:tblStyle w:val="27"/>
        <w:tblW w:w="89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70"/>
        <w:gridCol w:w="527"/>
        <w:gridCol w:w="528"/>
        <w:gridCol w:w="528"/>
        <w:gridCol w:w="440"/>
        <w:gridCol w:w="428"/>
        <w:gridCol w:w="428"/>
        <w:gridCol w:w="428"/>
        <w:gridCol w:w="428"/>
        <w:gridCol w:w="528"/>
        <w:gridCol w:w="528"/>
        <w:gridCol w:w="528"/>
        <w:gridCol w:w="543"/>
        <w:gridCol w:w="428"/>
        <w:gridCol w:w="578"/>
        <w:gridCol w:w="428"/>
        <w:gridCol w:w="513"/>
        <w:gridCol w:w="5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blHeader/>
          <w:jc w:val="center"/>
        </w:trPr>
        <w:tc>
          <w:tcPr>
            <w:tcW w:w="570" w:type="dxa"/>
            <w:tcBorders>
              <w:tl2br w:val="nil"/>
              <w:tr2bl w:val="nil"/>
            </w:tcBorders>
            <w:noWrap w:val="0"/>
            <w:vAlign w:val="center"/>
          </w:tcPr>
          <w:p>
            <w:pPr>
              <w:autoSpaceDE w:val="0"/>
              <w:autoSpaceDN w:val="0"/>
              <w:adjustRightInd w:val="0"/>
              <w:snapToGrid w:val="0"/>
              <w:ind w:left="-105" w:leftChars="-50" w:right="-105" w:rightChars="-5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风向</w:t>
            </w:r>
          </w:p>
          <w:p>
            <w:pPr>
              <w:autoSpaceDE w:val="0"/>
              <w:autoSpaceDN w:val="0"/>
              <w:adjustRightInd w:val="0"/>
              <w:snapToGrid w:val="0"/>
              <w:ind w:left="-105" w:leftChars="-50" w:right="-105" w:rightChars="-5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风频%</w:t>
            </w:r>
          </w:p>
        </w:tc>
        <w:tc>
          <w:tcPr>
            <w:tcW w:w="527"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N</w:t>
            </w:r>
          </w:p>
        </w:tc>
        <w:tc>
          <w:tcPr>
            <w:tcW w:w="528"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NNE</w:t>
            </w:r>
          </w:p>
        </w:tc>
        <w:tc>
          <w:tcPr>
            <w:tcW w:w="528"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NE</w:t>
            </w:r>
          </w:p>
        </w:tc>
        <w:tc>
          <w:tcPr>
            <w:tcW w:w="440"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ENE</w:t>
            </w:r>
          </w:p>
        </w:tc>
        <w:tc>
          <w:tcPr>
            <w:tcW w:w="428"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E</w:t>
            </w:r>
          </w:p>
        </w:tc>
        <w:tc>
          <w:tcPr>
            <w:tcW w:w="428"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ESE</w:t>
            </w:r>
          </w:p>
        </w:tc>
        <w:tc>
          <w:tcPr>
            <w:tcW w:w="428"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SE</w:t>
            </w:r>
          </w:p>
        </w:tc>
        <w:tc>
          <w:tcPr>
            <w:tcW w:w="428"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SSE</w:t>
            </w:r>
          </w:p>
        </w:tc>
        <w:tc>
          <w:tcPr>
            <w:tcW w:w="528"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S</w:t>
            </w:r>
          </w:p>
        </w:tc>
        <w:tc>
          <w:tcPr>
            <w:tcW w:w="528"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SSW</w:t>
            </w:r>
          </w:p>
        </w:tc>
        <w:tc>
          <w:tcPr>
            <w:tcW w:w="528"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SW</w:t>
            </w:r>
          </w:p>
        </w:tc>
        <w:tc>
          <w:tcPr>
            <w:tcW w:w="543"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WSW</w:t>
            </w:r>
          </w:p>
        </w:tc>
        <w:tc>
          <w:tcPr>
            <w:tcW w:w="428"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W</w:t>
            </w:r>
          </w:p>
        </w:tc>
        <w:tc>
          <w:tcPr>
            <w:tcW w:w="578"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WNW</w:t>
            </w:r>
          </w:p>
        </w:tc>
        <w:tc>
          <w:tcPr>
            <w:tcW w:w="428"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NW</w:t>
            </w:r>
          </w:p>
        </w:tc>
        <w:tc>
          <w:tcPr>
            <w:tcW w:w="513"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NNW</w:t>
            </w:r>
          </w:p>
        </w:tc>
        <w:tc>
          <w:tcPr>
            <w:tcW w:w="562" w:type="dxa"/>
            <w:tcBorders>
              <w:tl2br w:val="nil"/>
              <w:tr2bl w:val="nil"/>
            </w:tcBorders>
            <w:noWrap/>
            <w:tcMar>
              <w:top w:w="14" w:type="dxa"/>
              <w:left w:w="14" w:type="dxa"/>
              <w:bottom w:w="0" w:type="dxa"/>
              <w:right w:w="14" w:type="dxa"/>
            </w:tcMar>
            <w:vAlign w:val="center"/>
          </w:tcPr>
          <w:p>
            <w:pPr>
              <w:autoSpaceDE w:val="0"/>
              <w:autoSpaceDN w:val="0"/>
              <w:adjustRightInd w:val="0"/>
              <w:snapToGrid w:val="0"/>
              <w:jc w:val="center"/>
              <w:rPr>
                <w:rFonts w:ascii="Times New Roman" w:hAnsi="Times New Roman" w:eastAsia="宋体" w:cs="Times New Roman"/>
                <w:b/>
                <w:color w:val="auto"/>
                <w:kern w:val="0"/>
                <w:sz w:val="20"/>
                <w:szCs w:val="20"/>
                <w:highlight w:val="none"/>
                <w:lang w:eastAsia="en-US"/>
              </w:rPr>
            </w:pPr>
            <w:r>
              <w:rPr>
                <w:rFonts w:ascii="Times New Roman" w:hAnsi="Times New Roman" w:eastAsia="宋体" w:cs="Times New Roman"/>
                <w:b/>
                <w:color w:val="auto"/>
                <w:kern w:val="0"/>
                <w:sz w:val="20"/>
                <w:szCs w:val="20"/>
                <w:highlight w:val="none"/>
                <w:lang w:eastAsia="en-US"/>
              </w:rPr>
              <w:t>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1月</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13.58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30.51</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15.19</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5.51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2.02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1.08</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0.54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0.54</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4.97</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3.63</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2.28</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0.81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0.67</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2.02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3.76</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6.32</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2月</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17.26</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35.57</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13.84</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3.42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0.89</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0.6</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1.19</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2.83</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3.27</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0.6</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0.15</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0.45</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1.04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2.08</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5.51</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3月</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9.54</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11.42</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4.3</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3.9</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2.15</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2.02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1.88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8.33</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9.41</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5.51</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1.88</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1.88</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3.49</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3.49</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4.3</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4月</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10.28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16.39</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10.83</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4.44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2.08</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0.56</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0.69</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1.67</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8.89</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17.22</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7.64</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1.39</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1.11</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2.22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2.78</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6.94</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5月</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9.41</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12.63</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4.7</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1.34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0.81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0.54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0.81</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6.45</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9.95</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6.99</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0.4</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3.23</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5.78</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5.65</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6月</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7.78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12.22</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14.72</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6.67</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1.25</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0.28</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0.69</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1.25</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8.61</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18.33</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8.61</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0.97</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0.97</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1.81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2.92</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4.03</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8.89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7月</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7.12</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11.16</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10.62</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4.84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0.54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1.34</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10.08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22.04</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13.84</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1.21</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1.08</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2.02</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4.84</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8月</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12.77</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16.53</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18.15</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7.66</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0.81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0.81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0.81</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3.76</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7.93</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6.18</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1.34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1.34</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2.42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4.44</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9.14</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9月</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16.39</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24.58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20.97</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8.61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0.42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0.42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0.14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0.42</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0.83</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1.53</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1.53</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0.69</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0.83</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1.25</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1.81</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5.42</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14.17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10月</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15.32</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23.39</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14.78</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5.24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0.67</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0.27</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0.13</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0.27</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2.96</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4.7</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2.69</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0.54</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1.88</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2.96</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6.72</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17.07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11月</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10.42</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22.36</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14.17</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6.81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2.64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1.25</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0.42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0.69</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2.64</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5.97</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4.03</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1.39</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0.56</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1.81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2.64</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2.36</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19.86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12月</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8.47</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22.45</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15.73</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6.85</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0.67</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0.13</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1.48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9.01</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4.44</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1.21</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0.27</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0.4</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1.75</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3.36</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2.69</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19.49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春季</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9.74</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16.67</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11.64</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4.48</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2.45</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1.18</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1.09</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1.45</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7.88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12.14</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6.7</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1.49</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1.13</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2.99</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4.03</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5.62</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夏季</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9.24</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13.32</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14.49</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6.39</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0.54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0.5</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1.13</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7.47</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16.08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9.56</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1.31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1.18</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1.77</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3.13</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6.02</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秋季</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14.06</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23.44</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16.62</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6.87</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0.64</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0.23</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0.46</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2.15</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4.08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2.75</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0.82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0.64</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1.65</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2.47</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4.85</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17.03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冬季</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12.96</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29.31</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14.95</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5.32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1.76</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0.88</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0.42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1.06</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5.69</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1.39</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0.42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0.51</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3.1</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4.81</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11.99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70"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全年</w:t>
            </w:r>
          </w:p>
        </w:tc>
        <w:tc>
          <w:tcPr>
            <w:tcW w:w="527"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11.48</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20.63</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14.42</w:t>
            </w:r>
          </w:p>
        </w:tc>
        <w:tc>
          <w:tcPr>
            <w:tcW w:w="440"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5.76</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1.67</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0.81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0.56</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1.03</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5.81</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9.06</w:t>
            </w:r>
          </w:p>
        </w:tc>
        <w:tc>
          <w:tcPr>
            <w:tcW w:w="5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5.13</w:t>
            </w:r>
          </w:p>
        </w:tc>
        <w:tc>
          <w:tcPr>
            <w:tcW w:w="543"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1.02</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0.87</w:t>
            </w:r>
          </w:p>
        </w:tc>
        <w:tc>
          <w:tcPr>
            <w:tcW w:w="57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2.01</w:t>
            </w:r>
          </w:p>
        </w:tc>
        <w:tc>
          <w:tcPr>
            <w:tcW w:w="428"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3.18</w:t>
            </w:r>
          </w:p>
        </w:tc>
        <w:tc>
          <w:tcPr>
            <w:tcW w:w="513" w:type="dxa"/>
            <w:tcBorders>
              <w:tl2br w:val="nil"/>
              <w:tr2bl w:val="nil"/>
            </w:tcBorders>
            <w:noWrap w:val="0"/>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5.33</w:t>
            </w:r>
          </w:p>
        </w:tc>
        <w:tc>
          <w:tcPr>
            <w:tcW w:w="562" w:type="dxa"/>
            <w:tcBorders>
              <w:tl2br w:val="nil"/>
              <w:tr2bl w:val="nil"/>
            </w:tcBorders>
            <w:noWrap/>
            <w:tcMar>
              <w:top w:w="14" w:type="dxa"/>
              <w:left w:w="14" w:type="dxa"/>
              <w:bottom w:w="0" w:type="dxa"/>
              <w:right w:w="14" w:type="dxa"/>
            </w:tcMar>
            <w:vAlign w:val="center"/>
          </w:tcPr>
          <w:p>
            <w:pPr>
              <w:autoSpaceDE w:val="0"/>
              <w:autoSpaceDN w:val="0"/>
              <w:jc w:val="center"/>
              <w:rPr>
                <w:rFonts w:ascii="Times New Roman" w:hAnsi="Times New Roman" w:eastAsia="宋体" w:cs="Times New Roman"/>
                <w:color w:val="auto"/>
                <w:kern w:val="0"/>
                <w:sz w:val="20"/>
                <w:szCs w:val="20"/>
                <w:highlight w:val="none"/>
                <w:lang w:eastAsia="en-US"/>
              </w:rPr>
            </w:pPr>
            <w:r>
              <w:rPr>
                <w:rFonts w:ascii="Times New Roman" w:hAnsi="Times New Roman" w:eastAsia="宋体" w:cs="Times New Roman"/>
                <w:color w:val="auto"/>
                <w:kern w:val="0"/>
                <w:sz w:val="20"/>
                <w:szCs w:val="20"/>
                <w:highlight w:val="none"/>
                <w:lang w:eastAsia="en-US"/>
              </w:rPr>
              <w:t>11.23</w:t>
            </w:r>
          </w:p>
        </w:tc>
      </w:tr>
    </w:tbl>
    <w:p>
      <w:pPr>
        <w:autoSpaceDE w:val="0"/>
        <w:autoSpaceDN w:val="0"/>
        <w:jc w:val="left"/>
        <w:rPr>
          <w:rFonts w:ascii="Times New Roman" w:hAnsi="Times New Roman" w:eastAsia="宋体" w:cs="Times New Roman"/>
          <w:color w:val="auto"/>
          <w:kern w:val="0"/>
          <w:sz w:val="24"/>
          <w:highlight w:val="none"/>
          <w:lang w:eastAsia="en-US"/>
        </w:rPr>
      </w:pPr>
      <w:r>
        <w:rPr>
          <w:rFonts w:ascii="Times New Roman" w:hAnsi="Times New Roman" w:eastAsia="Noto Sans CJK JP Black" w:cs="Times New Roman"/>
          <w:color w:val="auto"/>
          <w:kern w:val="0"/>
          <w:sz w:val="22"/>
          <w:szCs w:val="22"/>
          <w:highlight w:val="none"/>
        </w:rPr>
        <w:drawing>
          <wp:inline distT="0" distB="0" distL="114300" distR="114300">
            <wp:extent cx="5278755" cy="7585075"/>
            <wp:effectExtent l="0" t="0" r="17145" b="15875"/>
            <wp:docPr id="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pic:cNvPicPr>
                      <a:picLocks noChangeAspect="1"/>
                    </pic:cNvPicPr>
                  </pic:nvPicPr>
                  <pic:blipFill>
                    <a:blip r:embed="rId52"/>
                    <a:stretch>
                      <a:fillRect/>
                    </a:stretch>
                  </pic:blipFill>
                  <pic:spPr>
                    <a:xfrm>
                      <a:off x="0" y="0"/>
                      <a:ext cx="5278755" cy="7585075"/>
                    </a:xfrm>
                    <a:prstGeom prst="rect">
                      <a:avLst/>
                    </a:prstGeom>
                    <a:noFill/>
                    <a:ln>
                      <a:noFill/>
                    </a:ln>
                  </pic:spPr>
                </pic:pic>
              </a:graphicData>
            </a:graphic>
          </wp:inline>
        </w:drawing>
      </w:r>
    </w:p>
    <w:p>
      <w:pPr>
        <w:pStyle w:val="36"/>
        <w:bidi w:val="0"/>
        <w:rPr>
          <w:color w:val="auto"/>
          <w:highlight w:val="none"/>
        </w:rPr>
      </w:pPr>
      <w:r>
        <w:rPr>
          <w:rFonts w:hint="eastAsia"/>
          <w:color w:val="auto"/>
          <w:highlight w:val="none"/>
          <w:lang w:val="en-US" w:eastAsia="zh-CN"/>
        </w:rPr>
        <w:t xml:space="preserve">图7.1-4 </w:t>
      </w:r>
      <w:r>
        <w:rPr>
          <w:color w:val="auto"/>
          <w:highlight w:val="none"/>
        </w:rPr>
        <w:t>2019年风频玫瑰图</w:t>
      </w:r>
    </w:p>
    <w:p>
      <w:pPr>
        <w:pStyle w:val="33"/>
        <w:ind w:firstLine="480"/>
        <w:rPr>
          <w:rFonts w:ascii="Times New Roman" w:hAnsi="Times New Roman" w:eastAsia="宋体" w:cs="Times New Roman"/>
          <w:b/>
          <w:bCs/>
          <w:color w:val="auto"/>
          <w:kern w:val="0"/>
          <w:sz w:val="24"/>
          <w:highlight w:val="none"/>
          <w:lang w:eastAsia="en-US"/>
        </w:rPr>
      </w:pPr>
      <w:r>
        <w:rPr>
          <w:rFonts w:ascii="Times New Roman" w:hAnsi="Times New Roman" w:eastAsia="宋体" w:cs="Times New Roman"/>
          <w:b/>
          <w:bCs/>
          <w:color w:val="auto"/>
          <w:kern w:val="0"/>
          <w:sz w:val="24"/>
          <w:highlight w:val="none"/>
          <w:lang w:eastAsia="en-US"/>
        </w:rPr>
        <w:t>2、高空气象资料</w:t>
      </w:r>
    </w:p>
    <w:p>
      <w:pPr>
        <w:pStyle w:val="33"/>
        <w:ind w:firstLine="480"/>
        <w:rPr>
          <w:rFonts w:ascii="Times New Roman" w:hAnsi="Times New Roman" w:eastAsia="宋体" w:cs="Times New Roman"/>
          <w:color w:val="auto"/>
          <w:kern w:val="0"/>
          <w:sz w:val="24"/>
          <w:highlight w:val="none"/>
          <w:lang w:eastAsia="en-US"/>
        </w:rPr>
      </w:pPr>
      <w:r>
        <w:rPr>
          <w:rFonts w:ascii="Times New Roman" w:hAnsi="Times New Roman" w:eastAsia="宋体" w:cs="Times New Roman"/>
          <w:color w:val="auto"/>
          <w:kern w:val="0"/>
          <w:sz w:val="24"/>
          <w:highlight w:val="none"/>
          <w:lang w:eastAsia="en-US"/>
        </w:rPr>
        <w:t>本项目高空气象数据由中国气象局国家气象信息中心基于国际上前沿的模式与同化方案(GFS/GSI)，建成全球大气再分析系统(CRAS)，通过多层次循环同化试验，不断强化中国特有观测资料的同化应用，研制出10年以上长度的“中国全球大气再分析中间产品(CRA-Interim，2008-2019年)”，时间分辨率为6小时，水平分辨率为34公里，垂直层次64层。提取37个层次的高空模拟气象数据，层次为1000～100hPa每间隔25hPa为一个层次。高空气象因子包括气压、离地高度、干球温度、露点温度、风向和风速。站台编号为00057585，站点经纬度为北纬29.48°、东经113.45°。其基本信息如下。</w:t>
      </w:r>
    </w:p>
    <w:p>
      <w:pPr>
        <w:pStyle w:val="36"/>
        <w:bidi w:val="0"/>
        <w:rPr>
          <w:color w:val="auto"/>
          <w:lang w:eastAsia="en-US"/>
        </w:rPr>
      </w:pPr>
      <w:r>
        <w:rPr>
          <w:rFonts w:hint="eastAsia"/>
          <w:color w:val="auto"/>
          <w:lang w:val="en-US" w:eastAsia="zh-CN"/>
        </w:rPr>
        <w:t>表7.1-10</w:t>
      </w:r>
      <w:r>
        <w:rPr>
          <w:color w:val="auto"/>
        </w:rPr>
        <w:t>模拟气象数据信息</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034"/>
        <w:gridCol w:w="1624"/>
        <w:gridCol w:w="1430"/>
        <w:gridCol w:w="1866"/>
        <w:gridCol w:w="19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1203" w:type="pct"/>
            <w:gridSpan w:val="2"/>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模拟点经纬度</w:t>
            </w:r>
          </w:p>
        </w:tc>
        <w:tc>
          <w:tcPr>
            <w:tcW w:w="902" w:type="pct"/>
            <w:vMerge w:val="restart"/>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相对距离/km</w:t>
            </w:r>
          </w:p>
        </w:tc>
        <w:tc>
          <w:tcPr>
            <w:tcW w:w="794" w:type="pct"/>
            <w:vMerge w:val="restart"/>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数据年份</w:t>
            </w:r>
          </w:p>
        </w:tc>
        <w:tc>
          <w:tcPr>
            <w:tcW w:w="1036" w:type="pct"/>
            <w:vMerge w:val="restart"/>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模拟气象要素</w:t>
            </w:r>
          </w:p>
        </w:tc>
        <w:tc>
          <w:tcPr>
            <w:tcW w:w="1063" w:type="pct"/>
            <w:vMerge w:val="restart"/>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r>
              <w:rPr>
                <w:rFonts w:ascii="Times New Roman" w:hAnsi="Times New Roman" w:eastAsia="宋体" w:cs="Times New Roman"/>
                <w:b/>
                <w:bCs/>
                <w:color w:val="auto"/>
                <w:kern w:val="0"/>
                <w:sz w:val="21"/>
                <w:szCs w:val="21"/>
                <w:highlight w:val="none"/>
                <w:lang w:eastAsia="en-US"/>
              </w:rPr>
              <w:t>模拟方式</w:t>
            </w:r>
          </w:p>
        </w:tc>
      </w:tr>
      <w:tr>
        <w:trPr>
          <w:trHeight w:val="340" w:hRule="atLeast"/>
          <w:jc w:val="center"/>
        </w:trPr>
        <w:tc>
          <w:tcPr>
            <w:tcW w:w="629" w:type="pct"/>
            <w:tcBorders>
              <w:tl2br w:val="nil"/>
              <w:tr2bl w:val="nil"/>
            </w:tcBorders>
            <w:noWrap w:val="0"/>
            <w:vAlign w:val="center"/>
          </w:tcPr>
          <w:p>
            <w:pPr>
              <w:autoSpaceDE w:val="0"/>
              <w:autoSpaceDN w:val="0"/>
              <w:spacing w:before="48" w:beforeLines="20" w:after="48" w:afterLines="20"/>
              <w:jc w:val="center"/>
              <w:rPr>
                <w:rFonts w:ascii="Times New Roman" w:hAnsi="Times New Roman" w:eastAsia="宋体" w:cs="Times New Roman"/>
                <w:b/>
                <w:bCs/>
                <w:snapToGrid w:val="0"/>
                <w:color w:val="auto"/>
                <w:kern w:val="24"/>
                <w:sz w:val="21"/>
                <w:szCs w:val="21"/>
                <w:highlight w:val="none"/>
                <w:lang w:eastAsia="en-US"/>
              </w:rPr>
            </w:pPr>
            <w:r>
              <w:rPr>
                <w:rFonts w:ascii="Times New Roman" w:hAnsi="Times New Roman" w:eastAsia="宋体" w:cs="Times New Roman"/>
                <w:b/>
                <w:bCs/>
                <w:snapToGrid w:val="0"/>
                <w:color w:val="auto"/>
                <w:kern w:val="24"/>
                <w:sz w:val="21"/>
                <w:szCs w:val="21"/>
                <w:highlight w:val="none"/>
                <w:lang w:eastAsia="en-US"/>
              </w:rPr>
              <w:t>经度</w:t>
            </w:r>
          </w:p>
        </w:tc>
        <w:tc>
          <w:tcPr>
            <w:tcW w:w="573" w:type="pct"/>
            <w:tcBorders>
              <w:tl2br w:val="nil"/>
              <w:tr2bl w:val="nil"/>
            </w:tcBorders>
            <w:noWrap w:val="0"/>
            <w:vAlign w:val="center"/>
          </w:tcPr>
          <w:p>
            <w:pPr>
              <w:autoSpaceDE w:val="0"/>
              <w:autoSpaceDN w:val="0"/>
              <w:spacing w:before="48" w:beforeLines="20" w:after="48" w:afterLines="20"/>
              <w:jc w:val="center"/>
              <w:rPr>
                <w:rFonts w:ascii="Times New Roman" w:hAnsi="Times New Roman" w:eastAsia="宋体" w:cs="Times New Roman"/>
                <w:b/>
                <w:bCs/>
                <w:snapToGrid w:val="0"/>
                <w:color w:val="auto"/>
                <w:kern w:val="24"/>
                <w:sz w:val="21"/>
                <w:szCs w:val="21"/>
                <w:highlight w:val="none"/>
                <w:lang w:eastAsia="en-US"/>
              </w:rPr>
            </w:pPr>
            <w:r>
              <w:rPr>
                <w:rFonts w:ascii="Times New Roman" w:hAnsi="Times New Roman" w:eastAsia="宋体" w:cs="Times New Roman"/>
                <w:b/>
                <w:bCs/>
                <w:snapToGrid w:val="0"/>
                <w:color w:val="auto"/>
                <w:kern w:val="24"/>
                <w:sz w:val="21"/>
                <w:szCs w:val="21"/>
                <w:highlight w:val="none"/>
                <w:lang w:eastAsia="en-US"/>
              </w:rPr>
              <w:t>纬度</w:t>
            </w:r>
          </w:p>
        </w:tc>
        <w:tc>
          <w:tcPr>
            <w:tcW w:w="902" w:type="pct"/>
            <w:vMerge w:val="continue"/>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p>
        </w:tc>
        <w:tc>
          <w:tcPr>
            <w:tcW w:w="794" w:type="pct"/>
            <w:vMerge w:val="continue"/>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p>
        </w:tc>
        <w:tc>
          <w:tcPr>
            <w:tcW w:w="1036" w:type="pct"/>
            <w:vMerge w:val="continue"/>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p>
        </w:tc>
        <w:tc>
          <w:tcPr>
            <w:tcW w:w="1063" w:type="pct"/>
            <w:vMerge w:val="continue"/>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b/>
                <w:bCs/>
                <w:color w:val="auto"/>
                <w:kern w:val="0"/>
                <w:sz w:val="21"/>
                <w:szCs w:val="21"/>
                <w:highlight w:val="none"/>
                <w:lang w:eastAsia="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29" w:type="pct"/>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113.45E</w:t>
            </w:r>
          </w:p>
        </w:tc>
        <w:tc>
          <w:tcPr>
            <w:tcW w:w="573" w:type="pct"/>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29.48N</w:t>
            </w:r>
          </w:p>
        </w:tc>
        <w:tc>
          <w:tcPr>
            <w:tcW w:w="902" w:type="pct"/>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18.8</w:t>
            </w:r>
          </w:p>
        </w:tc>
        <w:tc>
          <w:tcPr>
            <w:tcW w:w="794" w:type="pct"/>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2019</w:t>
            </w:r>
          </w:p>
        </w:tc>
        <w:tc>
          <w:tcPr>
            <w:tcW w:w="1036" w:type="pct"/>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气压、离地高度、干球温度等</w:t>
            </w:r>
          </w:p>
        </w:tc>
        <w:tc>
          <w:tcPr>
            <w:tcW w:w="1063" w:type="pct"/>
            <w:tcBorders>
              <w:tl2br w:val="nil"/>
              <w:tr2bl w:val="nil"/>
            </w:tcBorders>
            <w:noWrap w:val="0"/>
            <w:vAlign w:val="center"/>
          </w:tcPr>
          <w:p>
            <w:pPr>
              <w:autoSpaceDE w:val="0"/>
              <w:autoSpaceDN w:val="0"/>
              <w:adjustRightInd w:val="0"/>
              <w:snapToGrid w:val="0"/>
              <w:spacing w:before="24" w:after="24"/>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中尺度气象模型WRF模拟数据</w:t>
            </w:r>
          </w:p>
        </w:tc>
      </w:tr>
    </w:tbl>
    <w:p>
      <w:pPr>
        <w:pStyle w:val="32"/>
        <w:bidi w:val="0"/>
        <w:rPr>
          <w:rFonts w:hint="eastAsia"/>
          <w:color w:val="auto"/>
          <w:lang w:val="en-US" w:eastAsia="en-US"/>
        </w:rPr>
      </w:pPr>
      <w:r>
        <w:rPr>
          <w:rFonts w:hint="eastAsia"/>
          <w:color w:val="auto"/>
          <w:lang w:val="en-US" w:eastAsia="zh-CN"/>
        </w:rPr>
        <w:t>7.1.2</w:t>
      </w:r>
      <w:r>
        <w:rPr>
          <w:rFonts w:hint="eastAsia"/>
          <w:color w:val="auto"/>
          <w:lang w:val="en-US" w:eastAsia="en-US"/>
        </w:rPr>
        <w:t>地形数据</w:t>
      </w:r>
    </w:p>
    <w:p>
      <w:pPr>
        <w:pStyle w:val="33"/>
        <w:ind w:firstLine="480"/>
        <w:rPr>
          <w:rFonts w:ascii="Times New Roman" w:hAnsi="Times New Roman" w:eastAsia="宋体" w:cs="Times New Roman"/>
          <w:color w:val="auto"/>
          <w:kern w:val="0"/>
          <w:sz w:val="24"/>
          <w:highlight w:val="none"/>
          <w:lang w:val="en-GB"/>
        </w:rPr>
      </w:pPr>
      <w:r>
        <w:rPr>
          <w:rFonts w:ascii="Times New Roman" w:hAnsi="Times New Roman" w:eastAsia="宋体" w:cs="Times New Roman"/>
          <w:color w:val="auto"/>
          <w:kern w:val="0"/>
          <w:sz w:val="24"/>
          <w:highlight w:val="none"/>
          <w:lang w:val="en-GB"/>
        </w:rPr>
        <w:t>本预测采用的地形资料取自SRTM数据库，分辨率90m。项目区地形高程如下图所示。</w:t>
      </w:r>
    </w:p>
    <w:p>
      <w:pPr>
        <w:pStyle w:val="12"/>
        <w:ind w:left="0" w:leftChars="0" w:firstLine="0" w:firstLineChars="0"/>
        <w:rPr>
          <w:color w:val="auto"/>
          <w:highlight w:val="none"/>
          <w:lang w:eastAsia="en-US"/>
        </w:rPr>
      </w:pPr>
      <w:r>
        <w:rPr>
          <w:rFonts w:ascii="Times New Roman" w:hAnsi="Times New Roman" w:eastAsia="宋体" w:cs="Times New Roman"/>
          <w:color w:val="auto"/>
          <w:kern w:val="0"/>
          <w:sz w:val="24"/>
          <w:highlight w:val="none"/>
        </w:rPr>
        <mc:AlternateContent>
          <mc:Choice Requires="wpg">
            <w:drawing>
              <wp:anchor distT="0" distB="0" distL="114300" distR="114300" simplePos="0" relativeHeight="251665408" behindDoc="0" locked="0" layoutInCell="1" allowOverlap="1">
                <wp:simplePos x="0" y="0"/>
                <wp:positionH relativeFrom="column">
                  <wp:posOffset>2849880</wp:posOffset>
                </wp:positionH>
                <wp:positionV relativeFrom="paragraph">
                  <wp:posOffset>711835</wp:posOffset>
                </wp:positionV>
                <wp:extent cx="934085" cy="681355"/>
                <wp:effectExtent l="76200" t="4445" r="18415" b="38100"/>
                <wp:wrapNone/>
                <wp:docPr id="38" name="组合 38"/>
                <wp:cNvGraphicFramePr/>
                <a:graphic xmlns:a="http://schemas.openxmlformats.org/drawingml/2006/main">
                  <a:graphicData uri="http://schemas.microsoft.com/office/word/2010/wordprocessingGroup">
                    <wpg:wgp>
                      <wpg:cNvGrpSpPr/>
                      <wpg:grpSpPr>
                        <a:xfrm>
                          <a:off x="0" y="0"/>
                          <a:ext cx="934085" cy="681355"/>
                          <a:chOff x="0" y="0"/>
                          <a:chExt cx="934085" cy="681355"/>
                        </a:xfrm>
                        <a:effectLst/>
                      </wpg:grpSpPr>
                      <wps:wsp>
                        <wps:cNvPr id="39" name="圆角矩形标注 27"/>
                        <wps:cNvSpPr>
                          <a:spLocks noChangeArrowheads="1"/>
                        </wps:cNvSpPr>
                        <wps:spPr bwMode="auto">
                          <a:xfrm>
                            <a:off x="219075" y="0"/>
                            <a:ext cx="715010" cy="333375"/>
                          </a:xfrm>
                          <a:prstGeom prst="wedgeRoundRectCallout">
                            <a:avLst>
                              <a:gd name="adj1" fmla="val -86926"/>
                              <a:gd name="adj2" fmla="val 155690"/>
                              <a:gd name="adj3" fmla="val 16667"/>
                            </a:avLst>
                          </a:prstGeom>
                          <a:solidFill>
                            <a:srgbClr val="FFFFFF"/>
                          </a:solidFill>
                          <a:ln w="6350" algn="ctr">
                            <a:solidFill>
                              <a:srgbClr val="000000"/>
                            </a:solidFill>
                            <a:miter lim="800000"/>
                          </a:ln>
                          <a:effectLst/>
                        </wps:spPr>
                        <wps:txbx>
                          <w:txbxContent>
                            <w:p>
                              <w:pPr>
                                <w:ind w:left="-105" w:leftChars="-50" w:right="-105" w:rightChars="-50"/>
                                <w:jc w:val="center"/>
                                <w:rPr>
                                  <w:color w:val="000000"/>
                                </w:rPr>
                              </w:pPr>
                              <w:r>
                                <w:rPr>
                                  <w:rFonts w:hint="eastAsia"/>
                                  <w:color w:val="000000"/>
                                </w:rPr>
                                <w:t>项目位置</w:t>
                              </w:r>
                            </w:p>
                          </w:txbxContent>
                        </wps:txbx>
                        <wps:bodyPr rot="0" vert="horz" wrap="square" lIns="91440" tIns="45720" rIns="91440" bIns="45720" anchor="ctr" anchorCtr="0" upright="1">
                          <a:noAutofit/>
                        </wps:bodyPr>
                      </wps:wsp>
                      <wps:wsp>
                        <wps:cNvPr id="40" name="任意多边形 269"/>
                        <wps:cNvSpPr>
                          <a:spLocks noChangeAspect="1"/>
                        </wps:cNvSpPr>
                        <wps:spPr bwMode="auto">
                          <a:xfrm>
                            <a:off x="0" y="609600"/>
                            <a:ext cx="46355" cy="71755"/>
                          </a:xfrm>
                          <a:custGeom>
                            <a:avLst/>
                            <a:gdLst>
                              <a:gd name="T0" fmla="*/ 0 w 1094"/>
                              <a:gd name="T1" fmla="*/ 3581 h 1683"/>
                              <a:gd name="T2" fmla="*/ 41186 w 1094"/>
                              <a:gd name="T3" fmla="*/ 0 h 1683"/>
                              <a:gd name="T4" fmla="*/ 46355 w 1094"/>
                              <a:gd name="T5" fmla="*/ 68557 h 1683"/>
                              <a:gd name="T6" fmla="*/ 17415 w 1094"/>
                              <a:gd name="T7" fmla="*/ 71755 h 1683"/>
                              <a:gd name="T8" fmla="*/ 17034 w 1094"/>
                              <a:gd name="T9" fmla="*/ 70135 h 1683"/>
                              <a:gd name="T10" fmla="*/ 6356 w 1094"/>
                              <a:gd name="T11" fmla="*/ 71371 h 1683"/>
                              <a:gd name="T12" fmla="*/ 0 w 1094"/>
                              <a:gd name="T13" fmla="*/ 3581 h 16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94" h="1683">
                                <a:moveTo>
                                  <a:pt x="0" y="84"/>
                                </a:moveTo>
                                <a:lnTo>
                                  <a:pt x="972" y="0"/>
                                </a:lnTo>
                                <a:lnTo>
                                  <a:pt x="1094" y="1608"/>
                                </a:lnTo>
                                <a:lnTo>
                                  <a:pt x="411" y="1683"/>
                                </a:lnTo>
                                <a:lnTo>
                                  <a:pt x="402" y="1645"/>
                                </a:lnTo>
                                <a:lnTo>
                                  <a:pt x="150" y="1674"/>
                                </a:lnTo>
                                <a:lnTo>
                                  <a:pt x="0" y="84"/>
                                </a:lnTo>
                                <a:close/>
                              </a:path>
                            </a:pathLst>
                          </a:custGeom>
                          <a:noFill/>
                          <a:ln w="19050" cap="flat" cmpd="sng">
                            <a:solidFill>
                              <a:srgbClr val="FF0000"/>
                            </a:solidFill>
                            <a:prstDash val="solid"/>
                            <a:round/>
                            <a:headEnd type="none" w="med" len="med"/>
                            <a:tailEnd type="none" w="med" len="me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24.4pt;margin-top:56.05pt;height:53.65pt;width:73.55pt;z-index:251665408;mso-width-relative:page;mso-height-relative:page;" coordsize="934085,681355" o:gfxdata="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BYAAABkcnMvUEsBAhQAFAAAAAgAh07iQBE5aa7aAAAACwEAAA8AAAAAAAAAAQAgAAAAOAAA&#10;AGRycy9kb3ducmV2LnhtbFBLAQIUABQAAAAIAIdO4kBSr8AVRwUAAFEPAAAOAAAAAAAAAAEAIAAA&#10;AD8BAABkcnMvZTJvRG9jLnhtbFBLBQYAAAAABgAGAFkBAAD4CAAAAAA=&#10;">
                <o:lock v:ext="edit" aspectratio="f"/>
                <v:shape id="圆角矩形标注 27" o:spid="_x0000_s1026" o:spt="62" type="#_x0000_t62" style="position:absolute;left:219075;top:0;height:333375;width:715010;v-text-anchor:middle;" fillcolor="#FFFFFF" filled="t" stroked="t" coordsize="21600,21600" o:gfxdata="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x2PYb0AAADbAAAADwAAAAAAAAABACAAAAA4AAAAZHJzL2Rvd25yZXYu&#10;eG1sUEsBAhQAFAAAAAgAh07iQDMvBZ47AAAAOQAAABAAAAAAAAAAAQAgAAAAIgEAAGRycy9zaGFw&#10;ZXhtbC54bWxQSwUGAAAAAAYABgBbAQAAzAMAAAAA&#10;" adj="-7976,44429,14400">
                  <v:fill on="t" focussize="0,0"/>
                  <v:stroke weight="0.5pt" color="#000000" miterlimit="8" joinstyle="miter"/>
                  <v:imagedata o:title=""/>
                  <o:lock v:ext="edit" aspectratio="f"/>
                  <v:textbox>
                    <w:txbxContent>
                      <w:p>
                        <w:pPr>
                          <w:ind w:left="-105" w:leftChars="-50" w:right="-105" w:rightChars="-50"/>
                          <w:jc w:val="center"/>
                          <w:rPr>
                            <w:color w:val="000000"/>
                          </w:rPr>
                        </w:pPr>
                        <w:r>
                          <w:rPr>
                            <w:rFonts w:hint="eastAsia"/>
                            <w:color w:val="000000"/>
                          </w:rPr>
                          <w:t>项目位置</w:t>
                        </w:r>
                      </w:p>
                    </w:txbxContent>
                  </v:textbox>
                </v:shape>
                <v:shape id="任意多边形 269" o:spid="_x0000_s1026" o:spt="100" style="position:absolute;left:0;top:609600;height:71755;width:46355;" filled="f" stroked="t" coordsize="1094,1683" o:gfxdata="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PeKpS7AAAA2wAAAA8AAAAAAAAAAQAgAAAAOAAAAGRycy9kb3ducmV2Lnht&#10;bFBLAQIUABQAAAAIAIdO4kAzLwWeOwAAADkAAAAQAAAAAAAAAAEAIAAAACABAABkcnMvc2hhcGV4&#10;bWwueG1sUEsFBgAAAAAGAAYAWwEAAMoDAAAAAA==&#10;" path="m0,84l972,0,1094,1608,411,1683,402,1645,150,1674,0,84xe">
                  <v:path o:connectlocs="0,152676;1745134,0;1964155,2922939;737908,3059287;721765,2990218;269316,3042915;0,152676" o:connectangles="0,0,0,0,0,0,0"/>
                  <v:fill on="f" focussize="0,0"/>
                  <v:stroke weight="1.5pt" color="#FF0000" joinstyle="round"/>
                  <v:imagedata o:title=""/>
                  <o:lock v:ext="edit" aspectratio="t"/>
                </v:shape>
              </v:group>
            </w:pict>
          </mc:Fallback>
        </mc:AlternateContent>
      </w:r>
      <w:r>
        <w:rPr>
          <w:color w:val="auto"/>
          <w:highlight w:val="none"/>
        </w:rPr>
        <w:drawing>
          <wp:inline distT="0" distB="0" distL="114300" distR="114300">
            <wp:extent cx="5580380" cy="3609340"/>
            <wp:effectExtent l="0" t="0" r="1270" b="10160"/>
            <wp:docPr id="2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3"/>
                    <pic:cNvPicPr>
                      <a:picLocks noChangeAspect="1"/>
                    </pic:cNvPicPr>
                  </pic:nvPicPr>
                  <pic:blipFill>
                    <a:blip r:embed="rId53"/>
                    <a:stretch>
                      <a:fillRect/>
                    </a:stretch>
                  </pic:blipFill>
                  <pic:spPr>
                    <a:xfrm>
                      <a:off x="0" y="0"/>
                      <a:ext cx="5580380" cy="3609340"/>
                    </a:xfrm>
                    <a:prstGeom prst="rect">
                      <a:avLst/>
                    </a:prstGeom>
                    <a:noFill/>
                    <a:ln>
                      <a:noFill/>
                    </a:ln>
                  </pic:spPr>
                </pic:pic>
              </a:graphicData>
            </a:graphic>
          </wp:inline>
        </w:drawing>
      </w:r>
    </w:p>
    <w:p>
      <w:pPr>
        <w:pStyle w:val="36"/>
        <w:bidi w:val="0"/>
        <w:rPr>
          <w:color w:val="auto"/>
        </w:rPr>
      </w:pPr>
      <w:r>
        <w:rPr>
          <w:rFonts w:hint="eastAsia"/>
          <w:color w:val="auto"/>
          <w:lang w:val="en-US" w:eastAsia="zh-CN"/>
        </w:rPr>
        <w:t>图7.1-5</w:t>
      </w:r>
      <w:r>
        <w:rPr>
          <w:color w:val="auto"/>
        </w:rPr>
        <w:t>评价区地形高程示意图</w:t>
      </w:r>
    </w:p>
    <w:p>
      <w:pPr>
        <w:pStyle w:val="32"/>
        <w:bidi w:val="0"/>
        <w:rPr>
          <w:rFonts w:hint="eastAsia"/>
          <w:color w:val="auto"/>
          <w:lang w:val="en-US" w:eastAsia="en-US"/>
        </w:rPr>
      </w:pPr>
      <w:r>
        <w:rPr>
          <w:rFonts w:hint="eastAsia"/>
          <w:color w:val="auto"/>
          <w:lang w:val="en-US" w:eastAsia="zh-CN"/>
        </w:rPr>
        <w:t>7.1.3</w:t>
      </w:r>
      <w:r>
        <w:rPr>
          <w:rFonts w:hint="eastAsia"/>
          <w:color w:val="auto"/>
          <w:lang w:val="en-US" w:eastAsia="en-US"/>
        </w:rPr>
        <w:t>地表特征参数</w:t>
      </w:r>
    </w:p>
    <w:p>
      <w:pPr>
        <w:pStyle w:val="33"/>
        <w:ind w:firstLine="480"/>
        <w:rPr>
          <w:rFonts w:ascii="Times New Roman" w:hAnsi="Times New Roman" w:eastAsia="宋体" w:cs="Times New Roman"/>
          <w:color w:val="auto"/>
          <w:kern w:val="0"/>
          <w:sz w:val="24"/>
          <w:highlight w:val="none"/>
          <w:lang w:val="en-GB"/>
        </w:rPr>
      </w:pPr>
      <w:r>
        <w:rPr>
          <w:rFonts w:ascii="Times New Roman" w:hAnsi="Times New Roman" w:eastAsia="宋体" w:cs="Times New Roman"/>
          <w:color w:val="auto"/>
          <w:kern w:val="0"/>
          <w:sz w:val="24"/>
          <w:highlight w:val="none"/>
          <w:lang w:val="en-GB"/>
        </w:rPr>
        <w:t>根据项目所处位置及地表特征，本项目不分扇区，地面时间周期按季取值，AERMET通用地表类型为城市，AERMET通用地表湿度条件为潮湿气候，根据地表类型得到的地面特征参数见下表。</w:t>
      </w:r>
    </w:p>
    <w:p>
      <w:pPr>
        <w:pStyle w:val="36"/>
        <w:bidi w:val="0"/>
        <w:rPr>
          <w:rFonts w:ascii="Times New Roman" w:hAnsi="Times New Roman" w:eastAsia="黑体" w:cs="Times New Roman"/>
          <w:snapToGrid w:val="0"/>
          <w:color w:val="auto"/>
          <w:kern w:val="0"/>
          <w:highlight w:val="none"/>
        </w:rPr>
      </w:pPr>
      <w:r>
        <w:rPr>
          <w:rFonts w:hint="eastAsia"/>
          <w:color w:val="auto"/>
        </w:rPr>
        <w:t>表</w:t>
      </w:r>
      <w:r>
        <w:rPr>
          <w:rFonts w:hint="eastAsia"/>
          <w:color w:val="auto"/>
          <w:lang w:val="en-US" w:eastAsia="zh-CN"/>
        </w:rPr>
        <w:t>7.1</w:t>
      </w:r>
      <w:r>
        <w:rPr>
          <w:rFonts w:hint="eastAsia"/>
          <w:color w:val="auto"/>
        </w:rPr>
        <w:t>-1</w:t>
      </w:r>
      <w:r>
        <w:rPr>
          <w:rFonts w:hint="eastAsia"/>
          <w:color w:val="auto"/>
          <w:lang w:val="en-US" w:eastAsia="zh-CN"/>
        </w:rPr>
        <w:t>1</w:t>
      </w:r>
      <w:r>
        <w:rPr>
          <w:color w:val="auto"/>
        </w:rPr>
        <w:t>进一步预测地面特征参数表</w:t>
      </w:r>
    </w:p>
    <w:tbl>
      <w:tblPr>
        <w:tblStyle w:val="27"/>
        <w:tblW w:w="8936" w:type="dxa"/>
        <w:tblInd w:w="9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763"/>
        <w:gridCol w:w="1689"/>
        <w:gridCol w:w="1371"/>
        <w:gridCol w:w="1371"/>
        <w:gridCol w:w="13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b/>
                <w:color w:val="auto"/>
                <w:kern w:val="0"/>
                <w:sz w:val="21"/>
                <w:szCs w:val="21"/>
                <w:highlight w:val="none"/>
                <w:lang w:eastAsia="en-US"/>
              </w:rPr>
            </w:pPr>
            <w:r>
              <w:rPr>
                <w:rFonts w:ascii="Times New Roman" w:hAnsi="Times New Roman" w:eastAsia="宋体" w:cs="Times New Roman"/>
                <w:b/>
                <w:color w:val="auto"/>
                <w:kern w:val="0"/>
                <w:sz w:val="21"/>
                <w:szCs w:val="21"/>
                <w:highlight w:val="none"/>
                <w:lang w:eastAsia="en-US"/>
              </w:rPr>
              <w:t>序号</w:t>
            </w:r>
          </w:p>
        </w:tc>
        <w:tc>
          <w:tcPr>
            <w:tcW w:w="1763" w:type="dxa"/>
            <w:tcBorders>
              <w:tl2br w:val="nil"/>
              <w:tr2bl w:val="nil"/>
            </w:tcBorders>
            <w:noWrap w:val="0"/>
            <w:vAlign w:val="center"/>
          </w:tcPr>
          <w:p>
            <w:pPr>
              <w:autoSpaceDE w:val="0"/>
              <w:autoSpaceDN w:val="0"/>
              <w:jc w:val="center"/>
              <w:rPr>
                <w:rFonts w:ascii="Times New Roman" w:hAnsi="Times New Roman" w:eastAsia="Noto Sans CJK JP Black" w:cs="Times New Roman"/>
                <w:b/>
                <w:color w:val="auto"/>
                <w:kern w:val="0"/>
                <w:sz w:val="21"/>
                <w:szCs w:val="21"/>
                <w:highlight w:val="none"/>
                <w:lang w:eastAsia="en-US"/>
              </w:rPr>
            </w:pPr>
            <w:r>
              <w:rPr>
                <w:rFonts w:ascii="Times New Roman" w:hAnsi="Times New Roman" w:eastAsia="宋体" w:cs="Times New Roman"/>
                <w:b/>
                <w:color w:val="auto"/>
                <w:kern w:val="0"/>
                <w:sz w:val="21"/>
                <w:szCs w:val="21"/>
                <w:highlight w:val="none"/>
                <w:lang w:eastAsia="en-US"/>
              </w:rPr>
              <w:t>扇区</w:t>
            </w:r>
          </w:p>
        </w:tc>
        <w:tc>
          <w:tcPr>
            <w:tcW w:w="1689" w:type="dxa"/>
            <w:tcBorders>
              <w:tl2br w:val="nil"/>
              <w:tr2bl w:val="nil"/>
            </w:tcBorders>
            <w:noWrap w:val="0"/>
            <w:vAlign w:val="center"/>
          </w:tcPr>
          <w:p>
            <w:pPr>
              <w:autoSpaceDE w:val="0"/>
              <w:autoSpaceDN w:val="0"/>
              <w:jc w:val="center"/>
              <w:rPr>
                <w:rFonts w:ascii="Times New Roman" w:hAnsi="Times New Roman" w:eastAsia="Noto Sans CJK JP Black" w:cs="Times New Roman"/>
                <w:b/>
                <w:color w:val="auto"/>
                <w:kern w:val="0"/>
                <w:sz w:val="21"/>
                <w:szCs w:val="21"/>
                <w:highlight w:val="none"/>
                <w:lang w:eastAsia="en-US"/>
              </w:rPr>
            </w:pPr>
            <w:r>
              <w:rPr>
                <w:rFonts w:ascii="Times New Roman" w:hAnsi="Times New Roman" w:eastAsia="宋体" w:cs="Times New Roman"/>
                <w:b/>
                <w:color w:val="auto"/>
                <w:kern w:val="0"/>
                <w:sz w:val="21"/>
                <w:szCs w:val="21"/>
                <w:highlight w:val="none"/>
                <w:lang w:eastAsia="en-US"/>
              </w:rPr>
              <w:t>时段</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b/>
                <w:color w:val="auto"/>
                <w:kern w:val="0"/>
                <w:sz w:val="21"/>
                <w:szCs w:val="21"/>
                <w:highlight w:val="none"/>
                <w:lang w:eastAsia="en-US"/>
              </w:rPr>
            </w:pPr>
            <w:r>
              <w:rPr>
                <w:rFonts w:ascii="Times New Roman" w:hAnsi="Times New Roman" w:eastAsia="宋体" w:cs="Times New Roman"/>
                <w:b/>
                <w:color w:val="auto"/>
                <w:kern w:val="0"/>
                <w:sz w:val="21"/>
                <w:szCs w:val="21"/>
                <w:highlight w:val="none"/>
                <w:lang w:eastAsia="en-US"/>
              </w:rPr>
              <w:t>正午反照率</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b/>
                <w:color w:val="auto"/>
                <w:kern w:val="0"/>
                <w:sz w:val="21"/>
                <w:szCs w:val="21"/>
                <w:highlight w:val="none"/>
                <w:lang w:eastAsia="en-US"/>
              </w:rPr>
            </w:pPr>
            <w:r>
              <w:rPr>
                <w:rFonts w:ascii="Times New Roman" w:hAnsi="Times New Roman" w:eastAsia="Noto Sans CJK JP Black" w:cs="Times New Roman"/>
                <w:b/>
                <w:color w:val="auto"/>
                <w:kern w:val="0"/>
                <w:sz w:val="21"/>
                <w:szCs w:val="21"/>
                <w:highlight w:val="none"/>
                <w:lang w:eastAsia="en-US"/>
              </w:rPr>
              <w:t>BOWEN</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b/>
                <w:color w:val="auto"/>
                <w:kern w:val="0"/>
                <w:sz w:val="21"/>
                <w:szCs w:val="21"/>
                <w:highlight w:val="none"/>
                <w:lang w:eastAsia="en-US"/>
              </w:rPr>
            </w:pPr>
            <w:r>
              <w:rPr>
                <w:rFonts w:ascii="Times New Roman" w:hAnsi="Times New Roman" w:eastAsia="宋体" w:cs="Times New Roman"/>
                <w:b/>
                <w:color w:val="auto"/>
                <w:kern w:val="0"/>
                <w:sz w:val="21"/>
                <w:szCs w:val="21"/>
                <w:highlight w:val="none"/>
                <w:lang w:eastAsia="en-US"/>
              </w:rPr>
              <w:t>粗糙度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1</w:t>
            </w:r>
          </w:p>
        </w:tc>
        <w:tc>
          <w:tcPr>
            <w:tcW w:w="1763"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0~360</w:t>
            </w:r>
          </w:p>
        </w:tc>
        <w:tc>
          <w:tcPr>
            <w:tcW w:w="1689"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冬季</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0.35</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0.5</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2</w:t>
            </w:r>
          </w:p>
        </w:tc>
        <w:tc>
          <w:tcPr>
            <w:tcW w:w="1763"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0~360</w:t>
            </w:r>
          </w:p>
        </w:tc>
        <w:tc>
          <w:tcPr>
            <w:tcW w:w="1689"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春季</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0.14</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0.5</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3</w:t>
            </w:r>
          </w:p>
        </w:tc>
        <w:tc>
          <w:tcPr>
            <w:tcW w:w="1763"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0~360</w:t>
            </w:r>
          </w:p>
        </w:tc>
        <w:tc>
          <w:tcPr>
            <w:tcW w:w="1689"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夏季</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0.16</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1</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4</w:t>
            </w:r>
          </w:p>
        </w:tc>
        <w:tc>
          <w:tcPr>
            <w:tcW w:w="1763"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0~360</w:t>
            </w:r>
          </w:p>
        </w:tc>
        <w:tc>
          <w:tcPr>
            <w:tcW w:w="1689"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宋体" w:cs="Times New Roman"/>
                <w:color w:val="auto"/>
                <w:kern w:val="0"/>
                <w:sz w:val="21"/>
                <w:szCs w:val="21"/>
                <w:highlight w:val="none"/>
                <w:lang w:eastAsia="en-US"/>
              </w:rPr>
              <w:t>秋季</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0.18</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1</w:t>
            </w:r>
          </w:p>
        </w:tc>
        <w:tc>
          <w:tcPr>
            <w:tcW w:w="1371" w:type="dxa"/>
            <w:tcBorders>
              <w:tl2br w:val="nil"/>
              <w:tr2bl w:val="nil"/>
            </w:tcBorders>
            <w:noWrap w:val="0"/>
            <w:vAlign w:val="center"/>
          </w:tcPr>
          <w:p>
            <w:pPr>
              <w:autoSpaceDE w:val="0"/>
              <w:autoSpaceDN w:val="0"/>
              <w:jc w:val="center"/>
              <w:rPr>
                <w:rFonts w:ascii="Times New Roman" w:hAnsi="Times New Roman" w:eastAsia="Noto Sans CJK JP Black" w:cs="Times New Roman"/>
                <w:color w:val="auto"/>
                <w:kern w:val="0"/>
                <w:sz w:val="21"/>
                <w:szCs w:val="21"/>
                <w:highlight w:val="none"/>
                <w:lang w:eastAsia="en-US"/>
              </w:rPr>
            </w:pPr>
            <w:r>
              <w:rPr>
                <w:rFonts w:ascii="Times New Roman" w:hAnsi="Times New Roman" w:eastAsia="Noto Sans CJK JP Black" w:cs="Times New Roman"/>
                <w:color w:val="auto"/>
                <w:kern w:val="0"/>
                <w:sz w:val="21"/>
                <w:szCs w:val="21"/>
                <w:highlight w:val="none"/>
                <w:lang w:eastAsia="en-US"/>
              </w:rPr>
              <w:t>1</w:t>
            </w:r>
          </w:p>
        </w:tc>
      </w:tr>
    </w:tbl>
    <w:p>
      <w:pPr>
        <w:pStyle w:val="32"/>
        <w:bidi w:val="0"/>
        <w:rPr>
          <w:rFonts w:hint="eastAsia"/>
          <w:color w:val="auto"/>
          <w:lang w:val="en-US" w:eastAsia="en-US"/>
        </w:rPr>
      </w:pPr>
      <w:r>
        <w:rPr>
          <w:rFonts w:hint="eastAsia"/>
          <w:color w:val="auto"/>
          <w:lang w:val="en-US" w:eastAsia="zh-CN"/>
        </w:rPr>
        <w:t>7.1.4</w:t>
      </w:r>
      <w:r>
        <w:rPr>
          <w:rFonts w:hint="eastAsia"/>
          <w:color w:val="auto"/>
          <w:lang w:val="en-US" w:eastAsia="en-US"/>
        </w:rPr>
        <w:t>预测模型</w:t>
      </w:r>
    </w:p>
    <w:p>
      <w:pPr>
        <w:pStyle w:val="33"/>
        <w:ind w:firstLine="48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根据估算结果可知，本项目大气评价等级为一级，本报告采用大气导则推荐的AERMOD模型，采用六五软件工作室及北京尚云环境有限公司开发的EIAProA2018 Ver2.6版软件对项目大气环境影响进行预测评价。评价基准年（2019年）内存在风速≤0.5m/s的持续时间为17h，未超过72h，全年静风频率为11.23%，未超过35%，可直接采用AERMOD模型预测结果，无需使用CALPUFF模型进行进一步模拟。</w:t>
      </w:r>
    </w:p>
    <w:p>
      <w:pPr>
        <w:pStyle w:val="32"/>
        <w:bidi w:val="0"/>
        <w:rPr>
          <w:rFonts w:hint="eastAsia"/>
          <w:color w:val="auto"/>
          <w:lang w:val="en-US" w:eastAsia="en-US"/>
        </w:rPr>
      </w:pPr>
      <w:r>
        <w:rPr>
          <w:rFonts w:hint="eastAsia"/>
          <w:color w:val="auto"/>
          <w:lang w:val="en-US" w:eastAsia="zh-CN"/>
        </w:rPr>
        <w:t>7.1.5</w:t>
      </w:r>
      <w:r>
        <w:rPr>
          <w:rFonts w:hint="eastAsia"/>
          <w:color w:val="auto"/>
          <w:lang w:val="en-US" w:eastAsia="en-US"/>
        </w:rPr>
        <w:t>预测范围和预测内容</w:t>
      </w:r>
    </w:p>
    <w:p>
      <w:pPr>
        <w:pStyle w:val="33"/>
        <w:ind w:firstLine="480"/>
        <w:rPr>
          <w:rFonts w:ascii="Times New Roman" w:hAnsi="Times New Roman" w:eastAsia="宋体" w:cs="Times New Roman"/>
          <w:b/>
          <w:bCs/>
          <w:color w:val="auto"/>
          <w:kern w:val="0"/>
          <w:sz w:val="24"/>
          <w:highlight w:val="none"/>
          <w:lang w:eastAsia="en-US"/>
        </w:rPr>
      </w:pPr>
      <w:r>
        <w:rPr>
          <w:rFonts w:hint="eastAsia" w:cs="Times New Roman"/>
          <w:b/>
          <w:bCs/>
          <w:color w:val="auto"/>
          <w:kern w:val="0"/>
          <w:sz w:val="24"/>
          <w:highlight w:val="none"/>
          <w:lang w:val="en-US" w:eastAsia="zh-CN"/>
        </w:rPr>
        <w:t>（1）</w:t>
      </w:r>
      <w:r>
        <w:rPr>
          <w:rFonts w:ascii="Times New Roman" w:hAnsi="Times New Roman" w:eastAsia="宋体" w:cs="Times New Roman"/>
          <w:b/>
          <w:bCs/>
          <w:color w:val="auto"/>
          <w:kern w:val="0"/>
          <w:sz w:val="24"/>
          <w:highlight w:val="none"/>
          <w:lang w:eastAsia="en-US"/>
        </w:rPr>
        <w:t>预测范围</w:t>
      </w:r>
    </w:p>
    <w:p>
      <w:pPr>
        <w:pStyle w:val="33"/>
        <w:ind w:firstLine="48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根据本项目大气评价工作等级及评价范围，综合考虑拟建项目实际建设情况，结合厂区周边环境特征和气象条件，本次大气环境影响预测范围覆盖整个评价范围，为以项目厂址为中心，边长6×6km的的矩形区域。预测网格采用直角坐标网格，东西为X轴，南北为Y轴。本项目预测网格采用近密远疏的设置，距项目中心500m内网格间距为50m，500m外到3000m的网格间距为100m，本项目预测范围见下图。</w:t>
      </w:r>
    </w:p>
    <w:p>
      <w:pPr>
        <w:rPr>
          <w:color w:val="auto"/>
        </w:rPr>
      </w:pPr>
      <w:r>
        <w:rPr>
          <w:color w:val="auto"/>
        </w:rPr>
        <w:drawing>
          <wp:inline distT="0" distB="0" distL="114300" distR="114300">
            <wp:extent cx="5573395" cy="5348605"/>
            <wp:effectExtent l="0" t="0" r="8255" b="444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54"/>
                    <a:stretch>
                      <a:fillRect/>
                    </a:stretch>
                  </pic:blipFill>
                  <pic:spPr>
                    <a:xfrm>
                      <a:off x="0" y="0"/>
                      <a:ext cx="5573395" cy="5348605"/>
                    </a:xfrm>
                    <a:prstGeom prst="rect">
                      <a:avLst/>
                    </a:prstGeom>
                    <a:noFill/>
                    <a:ln>
                      <a:noFill/>
                    </a:ln>
                  </pic:spPr>
                </pic:pic>
              </a:graphicData>
            </a:graphic>
          </wp:inline>
        </w:drawing>
      </w:r>
    </w:p>
    <w:p>
      <w:pPr>
        <w:pStyle w:val="36"/>
        <w:bidi w:val="0"/>
        <w:rPr>
          <w:color w:val="auto"/>
          <w:lang w:eastAsia="en-US"/>
        </w:rPr>
      </w:pPr>
      <w:r>
        <w:rPr>
          <w:rFonts w:hint="eastAsia"/>
          <w:color w:val="auto"/>
          <w:lang w:val="en-US" w:eastAsia="zh-CN"/>
        </w:rPr>
        <w:t>图7.1-6</w:t>
      </w:r>
      <w:r>
        <w:rPr>
          <w:color w:val="auto"/>
        </w:rPr>
        <w:t>大气预测范围图</w:t>
      </w:r>
    </w:p>
    <w:p>
      <w:pPr>
        <w:pStyle w:val="33"/>
        <w:ind w:firstLine="480"/>
        <w:rPr>
          <w:rFonts w:ascii="Times New Roman" w:hAnsi="Times New Roman" w:eastAsia="宋体" w:cs="Times New Roman"/>
          <w:b/>
          <w:color w:val="auto"/>
          <w:kern w:val="0"/>
          <w:sz w:val="24"/>
          <w:szCs w:val="24"/>
          <w:highlight w:val="none"/>
          <w:lang w:eastAsia="en-US"/>
        </w:rPr>
      </w:pPr>
      <w:r>
        <w:rPr>
          <w:rFonts w:hint="eastAsia" w:cs="Times New Roman"/>
          <w:b/>
          <w:color w:val="auto"/>
          <w:kern w:val="0"/>
          <w:sz w:val="24"/>
          <w:szCs w:val="24"/>
          <w:highlight w:val="none"/>
          <w:lang w:val="en-US" w:eastAsia="zh-CN"/>
        </w:rPr>
        <w:t>（2</w:t>
      </w:r>
      <w:r>
        <w:rPr>
          <w:rFonts w:hint="eastAsia" w:cs="Times New Roman"/>
          <w:b/>
          <w:color w:val="auto"/>
          <w:kern w:val="0"/>
          <w:sz w:val="24"/>
          <w:szCs w:val="24"/>
          <w:highlight w:val="none"/>
          <w:lang w:eastAsia="zh-CN"/>
        </w:rPr>
        <w:t>）</w:t>
      </w:r>
      <w:r>
        <w:rPr>
          <w:rFonts w:ascii="Times New Roman" w:hAnsi="Times New Roman" w:eastAsia="宋体" w:cs="Times New Roman"/>
          <w:b/>
          <w:color w:val="auto"/>
          <w:kern w:val="0"/>
          <w:sz w:val="24"/>
          <w:szCs w:val="24"/>
          <w:highlight w:val="none"/>
          <w:lang w:eastAsia="en-US"/>
        </w:rPr>
        <w:t>预测因子</w:t>
      </w:r>
    </w:p>
    <w:p>
      <w:pPr>
        <w:pStyle w:val="33"/>
        <w:ind w:firstLine="48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由于本项目</w:t>
      </w:r>
      <w:r>
        <w:rPr>
          <w:rFonts w:hint="eastAsia" w:ascii="Times New Roman" w:hAnsi="Times New Roman" w:eastAsia="宋体" w:cs="Times New Roman"/>
          <w:color w:val="auto"/>
          <w:kern w:val="0"/>
          <w:sz w:val="24"/>
          <w:highlight w:val="none"/>
        </w:rPr>
        <w:t>不排放二氧化硫和氮氧化物，</w:t>
      </w:r>
      <w:r>
        <w:rPr>
          <w:rFonts w:ascii="Times New Roman" w:hAnsi="Times New Roman" w:eastAsia="宋体" w:cs="Times New Roman"/>
          <w:color w:val="auto"/>
          <w:kern w:val="0"/>
          <w:sz w:val="24"/>
          <w:highlight w:val="none"/>
        </w:rPr>
        <w:t>SO</w:t>
      </w:r>
      <w:r>
        <w:rPr>
          <w:rFonts w:ascii="Times New Roman" w:hAnsi="Times New Roman" w:eastAsia="宋体" w:cs="Times New Roman"/>
          <w:color w:val="auto"/>
          <w:kern w:val="0"/>
          <w:sz w:val="24"/>
          <w:highlight w:val="none"/>
          <w:vertAlign w:val="subscript"/>
        </w:rPr>
        <w:t>2</w:t>
      </w:r>
      <w:r>
        <w:rPr>
          <w:rFonts w:ascii="Times New Roman" w:hAnsi="Times New Roman" w:eastAsia="宋体" w:cs="Times New Roman"/>
          <w:color w:val="auto"/>
          <w:kern w:val="0"/>
          <w:sz w:val="24"/>
          <w:highlight w:val="none"/>
        </w:rPr>
        <w:t>+NOx年排放量小于500t/a，故评价因子不考虑二次污染物PM</w:t>
      </w:r>
      <w:r>
        <w:rPr>
          <w:rFonts w:ascii="Times New Roman" w:hAnsi="Times New Roman" w:eastAsia="宋体" w:cs="Times New Roman"/>
          <w:color w:val="auto"/>
          <w:kern w:val="0"/>
          <w:sz w:val="24"/>
          <w:highlight w:val="none"/>
          <w:vertAlign w:val="subscript"/>
        </w:rPr>
        <w:t>2.5</w:t>
      </w:r>
      <w:r>
        <w:rPr>
          <w:rFonts w:ascii="Times New Roman" w:hAnsi="Times New Roman" w:eastAsia="宋体" w:cs="Times New Roman"/>
          <w:color w:val="auto"/>
          <w:kern w:val="0"/>
          <w:sz w:val="24"/>
          <w:highlight w:val="none"/>
        </w:rPr>
        <w:t>。</w:t>
      </w:r>
    </w:p>
    <w:p>
      <w:pPr>
        <w:pStyle w:val="33"/>
        <w:ind w:firstLine="48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本项目选取的预测因子为：VOCs（以TVOC计）</w:t>
      </w:r>
      <w:r>
        <w:rPr>
          <w:rFonts w:hint="eastAsia" w:ascii="Times New Roman" w:hAnsi="Times New Roman" w:eastAsia="宋体" w:cs="Times New Roman"/>
          <w:color w:val="auto"/>
          <w:kern w:val="0"/>
          <w:sz w:val="24"/>
          <w:highlight w:val="none"/>
        </w:rPr>
        <w:t>、</w:t>
      </w:r>
      <w:r>
        <w:rPr>
          <w:rFonts w:hint="eastAsia" w:ascii="Times New Roman" w:hAnsi="Times New Roman" w:cs="Times New Roman"/>
          <w:color w:val="auto"/>
          <w:kern w:val="0"/>
          <w:sz w:val="24"/>
          <w:highlight w:val="none"/>
          <w:lang w:val="en-US" w:eastAsia="zh-CN"/>
        </w:rPr>
        <w:t>甲醇</w:t>
      </w:r>
      <w:r>
        <w:rPr>
          <w:rFonts w:ascii="Times New Roman" w:hAnsi="Times New Roman" w:eastAsia="宋体" w:cs="Times New Roman"/>
          <w:color w:val="auto"/>
          <w:kern w:val="0"/>
          <w:sz w:val="24"/>
          <w:highlight w:val="none"/>
        </w:rPr>
        <w:t>。</w:t>
      </w:r>
    </w:p>
    <w:p>
      <w:pPr>
        <w:pStyle w:val="33"/>
        <w:ind w:firstLine="480"/>
        <w:rPr>
          <w:rFonts w:hint="eastAsia" w:cs="Times New Roman"/>
          <w:b/>
          <w:color w:val="auto"/>
          <w:kern w:val="0"/>
          <w:sz w:val="24"/>
          <w:szCs w:val="24"/>
          <w:highlight w:val="none"/>
          <w:lang w:val="en-US" w:eastAsia="en-US"/>
        </w:rPr>
      </w:pPr>
      <w:r>
        <w:rPr>
          <w:rFonts w:hint="eastAsia" w:cs="Times New Roman"/>
          <w:b/>
          <w:color w:val="auto"/>
          <w:kern w:val="0"/>
          <w:sz w:val="24"/>
          <w:szCs w:val="24"/>
          <w:highlight w:val="none"/>
          <w:lang w:val="en-US" w:eastAsia="zh-CN"/>
        </w:rPr>
        <w:t>（3）</w:t>
      </w:r>
      <w:r>
        <w:rPr>
          <w:rFonts w:hint="eastAsia" w:cs="Times New Roman"/>
          <w:b/>
          <w:color w:val="auto"/>
          <w:kern w:val="0"/>
          <w:sz w:val="24"/>
          <w:szCs w:val="24"/>
          <w:highlight w:val="none"/>
          <w:lang w:val="en-US" w:eastAsia="en-US"/>
        </w:rPr>
        <w:t>预测内容</w:t>
      </w:r>
    </w:p>
    <w:p>
      <w:pPr>
        <w:widowControl w:val="0"/>
        <w:spacing w:line="360" w:lineRule="auto"/>
        <w:ind w:firstLine="480" w:firstLineChars="200"/>
        <w:jc w:val="both"/>
        <w:rPr>
          <w:color w:val="auto"/>
          <w:sz w:val="24"/>
        </w:rPr>
      </w:pPr>
      <w:r>
        <w:rPr>
          <w:color w:val="auto"/>
          <w:sz w:val="24"/>
        </w:rPr>
        <w:t>根据拟建项目污染物排放特点及大气导则的要求，结合该区域的污染气象特征，预测内容详下表。</w:t>
      </w:r>
    </w:p>
    <w:p>
      <w:pPr>
        <w:pStyle w:val="36"/>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表7.1-12  预测内容和评价要求表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2"/>
        <w:gridCol w:w="2244"/>
        <w:gridCol w:w="1076"/>
        <w:gridCol w:w="1342"/>
        <w:gridCol w:w="33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9" w:hRule="atLeast"/>
          <w:jc w:val="center"/>
        </w:trPr>
        <w:tc>
          <w:tcPr>
            <w:tcW w:w="542" w:type="dxa"/>
            <w:noWrap w:val="0"/>
            <w:vAlign w:val="center"/>
          </w:tcPr>
          <w:p>
            <w:pPr>
              <w:widowControl w:val="0"/>
              <w:ind w:left="-105" w:leftChars="-50" w:right="-105" w:rightChars="-50"/>
              <w:jc w:val="center"/>
              <w:rPr>
                <w:rFonts w:hint="default" w:ascii="Times New Roman" w:hAnsi="Times New Roman" w:cs="Times New Roman"/>
                <w:b/>
                <w:color w:val="auto"/>
                <w:szCs w:val="21"/>
                <w:lang w:val="en-GB"/>
              </w:rPr>
            </w:pPr>
            <w:r>
              <w:rPr>
                <w:rFonts w:hint="default" w:ascii="Times New Roman" w:hAnsi="Times New Roman" w:cs="Times New Roman"/>
                <w:b/>
                <w:color w:val="auto"/>
                <w:szCs w:val="21"/>
                <w:lang w:val="en-GB"/>
              </w:rPr>
              <w:t>评价</w:t>
            </w:r>
          </w:p>
          <w:p>
            <w:pPr>
              <w:widowControl w:val="0"/>
              <w:ind w:left="-105" w:leftChars="-50" w:right="-105" w:rightChars="-50"/>
              <w:jc w:val="center"/>
              <w:rPr>
                <w:rFonts w:hint="default" w:ascii="Times New Roman" w:hAnsi="Times New Roman" w:cs="Times New Roman"/>
                <w:b/>
                <w:color w:val="auto"/>
                <w:szCs w:val="21"/>
                <w:lang w:val="en-GB"/>
              </w:rPr>
            </w:pPr>
            <w:r>
              <w:rPr>
                <w:rFonts w:hint="default" w:ascii="Times New Roman" w:hAnsi="Times New Roman" w:cs="Times New Roman"/>
                <w:b/>
                <w:color w:val="auto"/>
                <w:szCs w:val="21"/>
                <w:lang w:val="en-GB"/>
              </w:rPr>
              <w:t>对象</w:t>
            </w:r>
          </w:p>
        </w:tc>
        <w:tc>
          <w:tcPr>
            <w:tcW w:w="2244" w:type="dxa"/>
            <w:noWrap w:val="0"/>
            <w:vAlign w:val="center"/>
          </w:tcPr>
          <w:p>
            <w:pPr>
              <w:widowControl w:val="0"/>
              <w:ind w:left="-105" w:leftChars="-50" w:right="-105" w:rightChars="-50"/>
              <w:jc w:val="center"/>
              <w:rPr>
                <w:rFonts w:hint="default" w:ascii="Times New Roman" w:hAnsi="Times New Roman" w:cs="Times New Roman"/>
                <w:b/>
                <w:color w:val="auto"/>
                <w:szCs w:val="21"/>
                <w:lang w:val="en-GB"/>
              </w:rPr>
            </w:pPr>
            <w:r>
              <w:rPr>
                <w:rFonts w:hint="default" w:ascii="Times New Roman" w:hAnsi="Times New Roman" w:cs="Times New Roman"/>
                <w:b/>
                <w:color w:val="auto"/>
                <w:szCs w:val="21"/>
                <w:lang w:val="en-GB"/>
              </w:rPr>
              <w:t>污染源</w:t>
            </w:r>
          </w:p>
        </w:tc>
        <w:tc>
          <w:tcPr>
            <w:tcW w:w="1076" w:type="dxa"/>
            <w:noWrap w:val="0"/>
            <w:vAlign w:val="center"/>
          </w:tcPr>
          <w:p>
            <w:pPr>
              <w:widowControl w:val="0"/>
              <w:ind w:left="-105" w:leftChars="-50" w:right="-105" w:rightChars="-50"/>
              <w:jc w:val="center"/>
              <w:rPr>
                <w:rFonts w:hint="default" w:ascii="Times New Roman" w:hAnsi="Times New Roman" w:cs="Times New Roman"/>
                <w:b/>
                <w:color w:val="auto"/>
                <w:szCs w:val="21"/>
                <w:lang w:val="en-GB"/>
              </w:rPr>
            </w:pPr>
            <w:r>
              <w:rPr>
                <w:rFonts w:hint="default" w:ascii="Times New Roman" w:hAnsi="Times New Roman" w:cs="Times New Roman"/>
                <w:b/>
                <w:color w:val="auto"/>
                <w:szCs w:val="21"/>
                <w:lang w:val="en-GB"/>
              </w:rPr>
              <w:t>排放形式</w:t>
            </w:r>
          </w:p>
        </w:tc>
        <w:tc>
          <w:tcPr>
            <w:tcW w:w="1342" w:type="dxa"/>
            <w:noWrap w:val="0"/>
            <w:vAlign w:val="center"/>
          </w:tcPr>
          <w:p>
            <w:pPr>
              <w:widowControl w:val="0"/>
              <w:ind w:left="-105" w:leftChars="-50" w:right="-105" w:rightChars="-50"/>
              <w:jc w:val="center"/>
              <w:rPr>
                <w:rFonts w:hint="default" w:ascii="Times New Roman" w:hAnsi="Times New Roman" w:cs="Times New Roman"/>
                <w:b/>
                <w:color w:val="auto"/>
                <w:szCs w:val="21"/>
                <w:lang w:val="en-GB"/>
              </w:rPr>
            </w:pPr>
            <w:r>
              <w:rPr>
                <w:rFonts w:hint="default" w:ascii="Times New Roman" w:hAnsi="Times New Roman" w:cs="Times New Roman"/>
                <w:b/>
                <w:color w:val="auto"/>
                <w:szCs w:val="21"/>
                <w:lang w:val="en-GB"/>
              </w:rPr>
              <w:t>预测内容</w:t>
            </w:r>
          </w:p>
        </w:tc>
        <w:tc>
          <w:tcPr>
            <w:tcW w:w="3301" w:type="dxa"/>
            <w:noWrap w:val="0"/>
            <w:vAlign w:val="center"/>
          </w:tcPr>
          <w:p>
            <w:pPr>
              <w:widowControl w:val="0"/>
              <w:ind w:left="-105" w:leftChars="-50" w:right="-105" w:rightChars="-50"/>
              <w:jc w:val="center"/>
              <w:rPr>
                <w:rFonts w:hint="default" w:ascii="Times New Roman" w:hAnsi="Times New Roman" w:cs="Times New Roman"/>
                <w:b/>
                <w:color w:val="auto"/>
                <w:szCs w:val="21"/>
                <w:lang w:val="en-GB"/>
              </w:rPr>
            </w:pPr>
            <w:r>
              <w:rPr>
                <w:rFonts w:hint="default" w:ascii="Times New Roman" w:hAnsi="Times New Roman" w:cs="Times New Roman"/>
                <w:b/>
                <w:color w:val="auto"/>
                <w:szCs w:val="21"/>
                <w:lang w:val="en-GB"/>
              </w:rPr>
              <w:t>评价内容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9" w:hRule="atLeast"/>
          <w:jc w:val="center"/>
        </w:trPr>
        <w:tc>
          <w:tcPr>
            <w:tcW w:w="542" w:type="dxa"/>
            <w:vMerge w:val="restart"/>
            <w:noWrap w:val="0"/>
            <w:vAlign w:val="center"/>
          </w:tcPr>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预测情景</w:t>
            </w:r>
          </w:p>
        </w:tc>
        <w:tc>
          <w:tcPr>
            <w:tcW w:w="2244" w:type="dxa"/>
            <w:noWrap w:val="0"/>
            <w:vAlign w:val="center"/>
          </w:tcPr>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新增污染源</w:t>
            </w:r>
          </w:p>
        </w:tc>
        <w:tc>
          <w:tcPr>
            <w:tcW w:w="1076" w:type="dxa"/>
            <w:noWrap w:val="0"/>
            <w:vAlign w:val="center"/>
          </w:tcPr>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正常排放</w:t>
            </w:r>
          </w:p>
        </w:tc>
        <w:tc>
          <w:tcPr>
            <w:tcW w:w="1342" w:type="dxa"/>
            <w:noWrap w:val="0"/>
            <w:vAlign w:val="center"/>
          </w:tcPr>
          <w:p>
            <w:pPr>
              <w:widowControl w:val="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短期浓度</w:t>
            </w:r>
          </w:p>
          <w:p>
            <w:pPr>
              <w:widowControl w:val="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长期浓度</w:t>
            </w:r>
          </w:p>
        </w:tc>
        <w:tc>
          <w:tcPr>
            <w:tcW w:w="3301" w:type="dxa"/>
            <w:noWrap w:val="0"/>
            <w:vAlign w:val="center"/>
          </w:tcPr>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最大浓度占标率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9" w:hRule="atLeast"/>
          <w:jc w:val="center"/>
        </w:trPr>
        <w:tc>
          <w:tcPr>
            <w:tcW w:w="542" w:type="dxa"/>
            <w:vMerge w:val="continue"/>
            <w:noWrap w:val="0"/>
            <w:vAlign w:val="center"/>
          </w:tcPr>
          <w:p>
            <w:pPr>
              <w:widowControl w:val="0"/>
              <w:ind w:left="-105" w:leftChars="-50" w:right="-105" w:rightChars="-50"/>
              <w:jc w:val="center"/>
              <w:rPr>
                <w:rFonts w:hint="default" w:ascii="Times New Roman" w:hAnsi="Times New Roman" w:cs="Times New Roman"/>
                <w:color w:val="auto"/>
                <w:szCs w:val="21"/>
                <w:lang w:val="en-GB"/>
              </w:rPr>
            </w:pPr>
          </w:p>
        </w:tc>
        <w:tc>
          <w:tcPr>
            <w:tcW w:w="2244" w:type="dxa"/>
            <w:noWrap w:val="0"/>
            <w:vAlign w:val="center"/>
          </w:tcPr>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新增污染源</w:t>
            </w:r>
          </w:p>
          <w:p>
            <w:pPr>
              <w:widowControl w:val="0"/>
              <w:ind w:left="-105" w:leftChars="-50" w:right="-105" w:rightChars="-50"/>
              <w:jc w:val="center"/>
              <w:rPr>
                <w:rFonts w:hint="default" w:ascii="Times New Roman" w:hAnsi="Times New Roman" w:cs="Times New Roman"/>
                <w:b/>
                <w:color w:val="auto"/>
                <w:szCs w:val="21"/>
                <w:lang w:val="en-GB"/>
              </w:rPr>
            </w:pPr>
            <w:r>
              <w:rPr>
                <w:rFonts w:hint="default" w:ascii="Times New Roman" w:hAnsi="Times New Roman" w:cs="Times New Roman"/>
                <w:b/>
                <w:color w:val="auto"/>
                <w:szCs w:val="21"/>
                <w:lang w:val="en-GB"/>
              </w:rPr>
              <w:t>—</w:t>
            </w:r>
          </w:p>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“以新带老”污染源</w:t>
            </w:r>
          </w:p>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w:t>
            </w:r>
          </w:p>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其他在建、拟建污染源</w:t>
            </w:r>
          </w:p>
        </w:tc>
        <w:tc>
          <w:tcPr>
            <w:tcW w:w="1076" w:type="dxa"/>
            <w:noWrap w:val="0"/>
            <w:vAlign w:val="center"/>
          </w:tcPr>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正常排放</w:t>
            </w:r>
          </w:p>
        </w:tc>
        <w:tc>
          <w:tcPr>
            <w:tcW w:w="1342" w:type="dxa"/>
            <w:noWrap w:val="0"/>
            <w:vAlign w:val="center"/>
          </w:tcPr>
          <w:p>
            <w:pPr>
              <w:widowControl w:val="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短期浓度</w:t>
            </w:r>
          </w:p>
          <w:p>
            <w:pPr>
              <w:widowControl w:val="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长期浓度</w:t>
            </w:r>
          </w:p>
        </w:tc>
        <w:tc>
          <w:tcPr>
            <w:tcW w:w="3301" w:type="dxa"/>
            <w:noWrap w:val="0"/>
            <w:vAlign w:val="center"/>
          </w:tcPr>
          <w:p>
            <w:pPr>
              <w:widowControl w:val="0"/>
              <w:ind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rPr>
              <w:t>VOCs、</w:t>
            </w:r>
            <w:r>
              <w:rPr>
                <w:rFonts w:hint="default" w:ascii="Times New Roman" w:hAnsi="Times New Roman" w:cs="Times New Roman"/>
                <w:color w:val="auto"/>
                <w:szCs w:val="21"/>
                <w:lang w:val="en-US" w:eastAsia="zh-CN"/>
              </w:rPr>
              <w:t>甲</w:t>
            </w:r>
            <w:r>
              <w:rPr>
                <w:rFonts w:hint="default" w:ascii="Times New Roman" w:hAnsi="Times New Roman" w:cs="Times New Roman"/>
                <w:color w:val="auto"/>
                <w:szCs w:val="21"/>
                <w:lang w:val="en-GB"/>
              </w:rPr>
              <w:t>醇短期浓度达标情况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9" w:hRule="atLeast"/>
          <w:jc w:val="center"/>
        </w:trPr>
        <w:tc>
          <w:tcPr>
            <w:tcW w:w="542" w:type="dxa"/>
            <w:vMerge w:val="continue"/>
            <w:noWrap w:val="0"/>
            <w:vAlign w:val="center"/>
          </w:tcPr>
          <w:p>
            <w:pPr>
              <w:widowControl w:val="0"/>
              <w:ind w:left="-105" w:leftChars="-50" w:right="-105" w:rightChars="-50"/>
              <w:jc w:val="center"/>
              <w:rPr>
                <w:rFonts w:hint="default" w:ascii="Times New Roman" w:hAnsi="Times New Roman" w:cs="Times New Roman"/>
                <w:color w:val="auto"/>
                <w:szCs w:val="21"/>
                <w:lang w:val="en-GB"/>
              </w:rPr>
            </w:pPr>
          </w:p>
        </w:tc>
        <w:tc>
          <w:tcPr>
            <w:tcW w:w="2244" w:type="dxa"/>
            <w:noWrap w:val="0"/>
            <w:vAlign w:val="center"/>
          </w:tcPr>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新增污染源</w:t>
            </w:r>
          </w:p>
        </w:tc>
        <w:tc>
          <w:tcPr>
            <w:tcW w:w="1076" w:type="dxa"/>
            <w:noWrap w:val="0"/>
            <w:vAlign w:val="center"/>
          </w:tcPr>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非正常排放</w:t>
            </w:r>
          </w:p>
        </w:tc>
        <w:tc>
          <w:tcPr>
            <w:tcW w:w="1342" w:type="dxa"/>
            <w:noWrap w:val="0"/>
            <w:vAlign w:val="center"/>
          </w:tcPr>
          <w:p>
            <w:pPr>
              <w:widowControl w:val="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1h平均质量浓度</w:t>
            </w:r>
          </w:p>
        </w:tc>
        <w:tc>
          <w:tcPr>
            <w:tcW w:w="3301" w:type="dxa"/>
            <w:noWrap w:val="0"/>
            <w:vAlign w:val="center"/>
          </w:tcPr>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最大浓度占标率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9" w:hRule="atLeast"/>
          <w:jc w:val="center"/>
        </w:trPr>
        <w:tc>
          <w:tcPr>
            <w:tcW w:w="542" w:type="dxa"/>
            <w:noWrap w:val="0"/>
            <w:vAlign w:val="center"/>
          </w:tcPr>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大气环境防护距离</w:t>
            </w:r>
          </w:p>
        </w:tc>
        <w:tc>
          <w:tcPr>
            <w:tcW w:w="2244" w:type="dxa"/>
            <w:noWrap w:val="0"/>
            <w:vAlign w:val="center"/>
          </w:tcPr>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新增污染源</w:t>
            </w:r>
          </w:p>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w:t>
            </w:r>
          </w:p>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“以新带老”污染源</w:t>
            </w:r>
          </w:p>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w:t>
            </w:r>
          </w:p>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项目全厂现有污染源</w:t>
            </w:r>
          </w:p>
        </w:tc>
        <w:tc>
          <w:tcPr>
            <w:tcW w:w="1076" w:type="dxa"/>
            <w:noWrap w:val="0"/>
            <w:vAlign w:val="center"/>
          </w:tcPr>
          <w:p>
            <w:pPr>
              <w:widowControl w:val="0"/>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lang w:val="en-GB"/>
              </w:rPr>
              <w:t>正常排放</w:t>
            </w:r>
          </w:p>
        </w:tc>
        <w:tc>
          <w:tcPr>
            <w:tcW w:w="1342" w:type="dxa"/>
            <w:noWrap w:val="0"/>
            <w:vAlign w:val="center"/>
          </w:tcPr>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短期浓度</w:t>
            </w:r>
          </w:p>
        </w:tc>
        <w:tc>
          <w:tcPr>
            <w:tcW w:w="3301" w:type="dxa"/>
            <w:noWrap w:val="0"/>
            <w:vAlign w:val="center"/>
          </w:tcPr>
          <w:p>
            <w:pPr>
              <w:widowControl w:val="0"/>
              <w:ind w:left="-105" w:leftChars="-50" w:right="-105" w:rightChars="-50"/>
              <w:jc w:val="center"/>
              <w:rPr>
                <w:rFonts w:hint="default" w:ascii="Times New Roman" w:hAnsi="Times New Roman" w:cs="Times New Roman"/>
                <w:color w:val="auto"/>
                <w:szCs w:val="21"/>
                <w:lang w:val="en-GB"/>
              </w:rPr>
            </w:pPr>
            <w:r>
              <w:rPr>
                <w:rFonts w:hint="default" w:ascii="Times New Roman" w:hAnsi="Times New Roman" w:cs="Times New Roman"/>
                <w:color w:val="auto"/>
                <w:szCs w:val="21"/>
                <w:lang w:val="en-GB"/>
              </w:rPr>
              <w:t>大气环境防护距离</w:t>
            </w:r>
          </w:p>
        </w:tc>
      </w:tr>
    </w:tbl>
    <w:p>
      <w:pPr>
        <w:pStyle w:val="33"/>
        <w:bidi w:val="0"/>
        <w:rPr>
          <w:color w:val="auto"/>
        </w:rPr>
      </w:pPr>
      <w:r>
        <w:rPr>
          <w:color w:val="auto"/>
        </w:rPr>
        <w:t>1、本项目新增的污染源：P</w:t>
      </w:r>
      <w:r>
        <w:rPr>
          <w:rFonts w:hint="eastAsia"/>
          <w:color w:val="auto"/>
          <w:lang w:val="en-US" w:eastAsia="zh-CN"/>
        </w:rPr>
        <w:t>1工艺废气</w:t>
      </w:r>
      <w:r>
        <w:rPr>
          <w:color w:val="auto"/>
        </w:rPr>
        <w:t>排气筒、</w:t>
      </w:r>
      <w:r>
        <w:rPr>
          <w:rFonts w:hint="eastAsia"/>
          <w:color w:val="auto"/>
          <w:lang w:val="en-US" w:eastAsia="zh-CN"/>
        </w:rPr>
        <w:t>P2储罐废气排气筒、</w:t>
      </w:r>
      <w:r>
        <w:rPr>
          <w:color w:val="auto"/>
        </w:rPr>
        <w:t>装置区无组织废气等。</w:t>
      </w:r>
    </w:p>
    <w:p>
      <w:pPr>
        <w:pStyle w:val="33"/>
        <w:bidi w:val="0"/>
        <w:rPr>
          <w:color w:val="auto"/>
        </w:rPr>
      </w:pPr>
      <w:r>
        <w:rPr>
          <w:color w:val="auto"/>
        </w:rPr>
        <w:t>2、“以新带老”污染源：</w:t>
      </w:r>
      <w:r>
        <w:rPr>
          <w:rFonts w:hint="eastAsia"/>
          <w:color w:val="auto"/>
          <w:lang w:val="en-US" w:eastAsia="zh-CN"/>
        </w:rPr>
        <w:t>现</w:t>
      </w:r>
      <w:r>
        <w:rPr>
          <w:color w:val="auto"/>
        </w:rPr>
        <w:t>有工程</w:t>
      </w:r>
    </w:p>
    <w:p>
      <w:pPr>
        <w:pStyle w:val="33"/>
        <w:bidi w:val="0"/>
        <w:rPr>
          <w:color w:val="auto"/>
          <w:lang w:eastAsia="en-US"/>
        </w:rPr>
      </w:pPr>
      <w:r>
        <w:rPr>
          <w:color w:val="auto"/>
          <w:lang w:val="en-US" w:eastAsia="zh-CN"/>
        </w:rPr>
        <w:t>3、其他在建、拟建污染源包括：岳阳东方雨虹防水技术有限责任公司年产1000万平方米HDPE防水卷材建设项目</w:t>
      </w:r>
      <w:r>
        <w:rPr>
          <w:rFonts w:hint="eastAsia"/>
          <w:color w:val="auto"/>
          <w:lang w:val="en-US" w:eastAsia="zh-CN"/>
        </w:rPr>
        <w:t>、湖南省天怡新材料有限公司3000t／aY型分子筛、3000t／aZ型分子筛、10000t／aFCC功能催化剂项目</w:t>
      </w:r>
      <w:r>
        <w:rPr>
          <w:color w:val="auto"/>
        </w:rPr>
        <w:t>。</w:t>
      </w:r>
    </w:p>
    <w:p>
      <w:pPr>
        <w:pStyle w:val="3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b/>
          <w:bCs/>
          <w:color w:val="auto"/>
          <w:lang w:val="en-US" w:eastAsia="en-US"/>
        </w:rPr>
      </w:pPr>
      <w:r>
        <w:rPr>
          <w:rFonts w:hint="eastAsia"/>
          <w:b/>
          <w:bCs/>
          <w:color w:val="auto"/>
          <w:lang w:val="en-US" w:eastAsia="zh-CN"/>
        </w:rPr>
        <w:t>（4）</w:t>
      </w:r>
      <w:r>
        <w:rPr>
          <w:rFonts w:hint="eastAsia"/>
          <w:b/>
          <w:bCs/>
          <w:color w:val="auto"/>
          <w:lang w:val="en-US" w:eastAsia="en-US"/>
        </w:rPr>
        <w:t>预测源强</w:t>
      </w:r>
    </w:p>
    <w:p>
      <w:pPr>
        <w:pStyle w:val="33"/>
        <w:ind w:firstLine="480"/>
        <w:rPr>
          <w:rFonts w:hint="eastAsia"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rPr>
        <w:t>根据工程分析，本项目新增污染源强见</w:t>
      </w:r>
      <w:r>
        <w:rPr>
          <w:rFonts w:hint="eastAsia" w:cs="Times New Roman"/>
          <w:color w:val="auto"/>
          <w:kern w:val="0"/>
          <w:sz w:val="24"/>
          <w:highlight w:val="none"/>
          <w:lang w:val="en-US" w:eastAsia="zh-CN"/>
        </w:rPr>
        <w:t>下</w:t>
      </w:r>
      <w:r>
        <w:rPr>
          <w:rFonts w:ascii="Times New Roman" w:hAnsi="Times New Roman" w:eastAsia="宋体" w:cs="Times New Roman"/>
          <w:color w:val="auto"/>
          <w:kern w:val="0"/>
          <w:sz w:val="24"/>
          <w:highlight w:val="none"/>
        </w:rPr>
        <w:t>表</w:t>
      </w:r>
      <w:r>
        <w:rPr>
          <w:rFonts w:hint="eastAsia" w:cs="Times New Roman"/>
          <w:color w:val="auto"/>
          <w:kern w:val="0"/>
          <w:sz w:val="24"/>
          <w:highlight w:val="none"/>
          <w:lang w:eastAsia="zh-CN"/>
        </w:rPr>
        <w:t>。</w:t>
      </w:r>
    </w:p>
    <w:p>
      <w:pPr>
        <w:spacing w:line="360" w:lineRule="auto"/>
        <w:ind w:firstLine="420" w:firstLineChars="200"/>
        <w:rPr>
          <w:rFonts w:ascii="Times New Roman" w:hAnsi="Times New Roman" w:cs="Times New Roman"/>
          <w:color w:val="auto"/>
          <w:highlight w:val="none"/>
        </w:rPr>
        <w:sectPr>
          <w:pgSz w:w="11907" w:h="16840"/>
          <w:pgMar w:top="1418" w:right="1418" w:bottom="1418" w:left="1701" w:header="851" w:footer="1134" w:gutter="0"/>
          <w:pgBorders>
            <w:top w:val="none" w:sz="0" w:space="0"/>
            <w:left w:val="none" w:sz="0" w:space="0"/>
            <w:bottom w:val="none" w:sz="0" w:space="0"/>
            <w:right w:val="none" w:sz="0" w:space="0"/>
          </w:pgBorders>
          <w:pgNumType w:fmt="numberInDash"/>
          <w:cols w:space="720" w:num="1"/>
          <w:docGrid w:linePitch="312" w:charSpace="0"/>
        </w:sectPr>
      </w:pPr>
    </w:p>
    <w:p>
      <w:pPr>
        <w:pStyle w:val="36"/>
        <w:bidi w:val="0"/>
        <w:rPr>
          <w:rFonts w:hint="eastAsia"/>
          <w:color w:val="auto"/>
          <w:u w:val="single"/>
          <w:lang w:val="en-US" w:eastAsia="zh-CN"/>
        </w:rPr>
      </w:pPr>
      <w:r>
        <w:rPr>
          <w:rFonts w:hint="eastAsia"/>
          <w:color w:val="auto"/>
          <w:u w:val="single"/>
          <w:lang w:val="en-US" w:eastAsia="zh-CN"/>
        </w:rPr>
        <w:t>表7.1-13 项目新增点源参数表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263"/>
        <w:gridCol w:w="800"/>
        <w:gridCol w:w="885"/>
        <w:gridCol w:w="1181"/>
        <w:gridCol w:w="1033"/>
        <w:gridCol w:w="1033"/>
        <w:gridCol w:w="1033"/>
        <w:gridCol w:w="1033"/>
        <w:gridCol w:w="1033"/>
        <w:gridCol w:w="1320"/>
        <w:gridCol w:w="1406"/>
        <w:gridCol w:w="14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263"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u w:val="single"/>
              </w:rPr>
            </w:pPr>
            <w:r>
              <w:rPr>
                <w:rFonts w:ascii="Times New Roman" w:hAnsi="Times New Roman" w:cs="Times New Roman"/>
                <w:b/>
                <w:bCs/>
                <w:color w:val="auto"/>
                <w:sz w:val="20"/>
                <w:szCs w:val="20"/>
                <w:highlight w:val="none"/>
                <w:u w:val="single"/>
              </w:rPr>
              <w:t>编号</w:t>
            </w:r>
          </w:p>
        </w:tc>
        <w:tc>
          <w:tcPr>
            <w:tcW w:w="444"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u w:val="single"/>
              </w:rPr>
            </w:pPr>
            <w:r>
              <w:rPr>
                <w:rFonts w:ascii="Times New Roman" w:hAnsi="Times New Roman" w:cs="Times New Roman"/>
                <w:b/>
                <w:bCs/>
                <w:color w:val="auto"/>
                <w:sz w:val="20"/>
                <w:szCs w:val="20"/>
                <w:highlight w:val="none"/>
                <w:u w:val="single"/>
              </w:rPr>
              <w:t>名称</w:t>
            </w:r>
          </w:p>
        </w:tc>
        <w:tc>
          <w:tcPr>
            <w:tcW w:w="592" w:type="pct"/>
            <w:gridSpan w:val="2"/>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u w:val="single"/>
              </w:rPr>
            </w:pPr>
            <w:r>
              <w:rPr>
                <w:rFonts w:ascii="Times New Roman" w:hAnsi="Times New Roman" w:cs="Times New Roman"/>
                <w:b/>
                <w:bCs/>
                <w:color w:val="auto"/>
                <w:sz w:val="20"/>
                <w:szCs w:val="20"/>
                <w:highlight w:val="none"/>
                <w:u w:val="single"/>
              </w:rPr>
              <w:t>排气筒底部中心坐标 /m</w:t>
            </w:r>
          </w:p>
        </w:tc>
        <w:tc>
          <w:tcPr>
            <w:tcW w:w="415"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u w:val="single"/>
              </w:rPr>
            </w:pPr>
            <w:r>
              <w:rPr>
                <w:rFonts w:ascii="Times New Roman" w:hAnsi="Times New Roman" w:cs="Times New Roman"/>
                <w:b/>
                <w:bCs/>
                <w:color w:val="auto"/>
                <w:sz w:val="20"/>
                <w:szCs w:val="20"/>
                <w:highlight w:val="none"/>
                <w:u w:val="single"/>
              </w:rPr>
              <w:t>排气筒底部海拔高度/m</w:t>
            </w:r>
          </w:p>
        </w:tc>
        <w:tc>
          <w:tcPr>
            <w:tcW w:w="363"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u w:val="single"/>
              </w:rPr>
            </w:pPr>
            <w:r>
              <w:rPr>
                <w:rFonts w:ascii="Times New Roman" w:hAnsi="Times New Roman" w:cs="Times New Roman"/>
                <w:b/>
                <w:bCs/>
                <w:color w:val="auto"/>
                <w:sz w:val="20"/>
                <w:szCs w:val="20"/>
                <w:highlight w:val="none"/>
                <w:u w:val="single"/>
              </w:rPr>
              <w:t>排气筒高度/m</w:t>
            </w:r>
          </w:p>
        </w:tc>
        <w:tc>
          <w:tcPr>
            <w:tcW w:w="363"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u w:val="single"/>
              </w:rPr>
            </w:pPr>
            <w:r>
              <w:rPr>
                <w:rFonts w:ascii="Times New Roman" w:hAnsi="Times New Roman" w:cs="Times New Roman"/>
                <w:b/>
                <w:bCs/>
                <w:color w:val="auto"/>
                <w:sz w:val="20"/>
                <w:szCs w:val="20"/>
                <w:highlight w:val="none"/>
                <w:u w:val="single"/>
              </w:rPr>
              <w:t>排气筒出口内径/m</w:t>
            </w:r>
          </w:p>
        </w:tc>
        <w:tc>
          <w:tcPr>
            <w:tcW w:w="363"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u w:val="single"/>
              </w:rPr>
            </w:pPr>
            <w:r>
              <w:rPr>
                <w:rFonts w:ascii="Times New Roman" w:hAnsi="Times New Roman" w:cs="Times New Roman"/>
                <w:b/>
                <w:bCs/>
                <w:color w:val="auto"/>
                <w:sz w:val="20"/>
                <w:szCs w:val="20"/>
                <w:highlight w:val="none"/>
                <w:u w:val="single"/>
              </w:rPr>
              <w:t>烟气流速/（m/s）</w:t>
            </w:r>
          </w:p>
        </w:tc>
        <w:tc>
          <w:tcPr>
            <w:tcW w:w="363"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u w:val="single"/>
              </w:rPr>
            </w:pPr>
            <w:r>
              <w:rPr>
                <w:rFonts w:ascii="Times New Roman" w:hAnsi="Times New Roman" w:cs="Times New Roman"/>
                <w:b/>
                <w:bCs/>
                <w:color w:val="auto"/>
                <w:sz w:val="20"/>
                <w:szCs w:val="20"/>
                <w:highlight w:val="none"/>
                <w:u w:val="single"/>
              </w:rPr>
              <w:t>烟气温度/℃</w:t>
            </w:r>
          </w:p>
        </w:tc>
        <w:tc>
          <w:tcPr>
            <w:tcW w:w="363"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u w:val="single"/>
              </w:rPr>
            </w:pPr>
            <w:r>
              <w:rPr>
                <w:rFonts w:ascii="Times New Roman" w:hAnsi="Times New Roman" w:cs="Times New Roman"/>
                <w:b/>
                <w:bCs/>
                <w:color w:val="auto"/>
                <w:sz w:val="20"/>
                <w:szCs w:val="20"/>
                <w:highlight w:val="none"/>
                <w:u w:val="single"/>
              </w:rPr>
              <w:t>年排放小时数/h</w:t>
            </w:r>
          </w:p>
        </w:tc>
        <w:tc>
          <w:tcPr>
            <w:tcW w:w="464" w:type="pct"/>
            <w:vMerge w:val="restar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u w:val="single"/>
              </w:rPr>
            </w:pPr>
            <w:r>
              <w:rPr>
                <w:rFonts w:ascii="Times New Roman" w:hAnsi="Times New Roman" w:cs="Times New Roman"/>
                <w:b/>
                <w:bCs/>
                <w:color w:val="auto"/>
                <w:sz w:val="20"/>
                <w:szCs w:val="20"/>
                <w:highlight w:val="none"/>
                <w:u w:val="single"/>
              </w:rPr>
              <w:t>排放工况</w:t>
            </w:r>
          </w:p>
        </w:tc>
        <w:tc>
          <w:tcPr>
            <w:tcW w:w="1002" w:type="pct"/>
            <w:gridSpan w:val="2"/>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u w:val="single"/>
              </w:rPr>
            </w:pPr>
            <w:r>
              <w:rPr>
                <w:rFonts w:ascii="Times New Roman" w:hAnsi="Times New Roman" w:cs="Times New Roman"/>
                <w:b/>
                <w:bCs/>
                <w:color w:val="auto"/>
                <w:sz w:val="20"/>
                <w:szCs w:val="20"/>
                <w:highlight w:val="none"/>
                <w:u w:val="single"/>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263"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u w:val="single"/>
              </w:rPr>
            </w:pPr>
          </w:p>
        </w:tc>
        <w:tc>
          <w:tcPr>
            <w:tcW w:w="444"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u w:val="single"/>
              </w:rPr>
            </w:pPr>
          </w:p>
        </w:tc>
        <w:tc>
          <w:tcPr>
            <w:tcW w:w="281" w:type="pct"/>
            <w:tcBorders>
              <w:tl2br w:val="nil"/>
              <w:tr2bl w:val="nil"/>
            </w:tcBorders>
            <w:shd w:val="clear" w:color="000000" w:fill="FFFFFF"/>
            <w:noWrap w:val="0"/>
            <w:vAlign w:val="center"/>
          </w:tcPr>
          <w:p>
            <w:pPr>
              <w:jc w:val="center"/>
              <w:rPr>
                <w:rFonts w:ascii="Times New Roman" w:hAnsi="Times New Roman" w:cs="Times New Roman"/>
                <w:b/>
                <w:i/>
                <w:iCs/>
                <w:color w:val="auto"/>
                <w:sz w:val="20"/>
                <w:szCs w:val="20"/>
                <w:highlight w:val="none"/>
                <w:u w:val="single"/>
              </w:rPr>
            </w:pPr>
            <w:r>
              <w:rPr>
                <w:rFonts w:ascii="Times New Roman" w:hAnsi="Times New Roman" w:cs="Times New Roman"/>
                <w:b/>
                <w:i/>
                <w:iCs/>
                <w:color w:val="auto"/>
                <w:sz w:val="20"/>
                <w:szCs w:val="20"/>
                <w:highlight w:val="none"/>
                <w:u w:val="single"/>
              </w:rPr>
              <w:t>X</w:t>
            </w:r>
          </w:p>
        </w:tc>
        <w:tc>
          <w:tcPr>
            <w:tcW w:w="311" w:type="pct"/>
            <w:tcBorders>
              <w:tl2br w:val="nil"/>
              <w:tr2bl w:val="nil"/>
            </w:tcBorders>
            <w:shd w:val="clear" w:color="000000" w:fill="FFFFFF"/>
            <w:noWrap w:val="0"/>
            <w:vAlign w:val="center"/>
          </w:tcPr>
          <w:p>
            <w:pPr>
              <w:jc w:val="center"/>
              <w:rPr>
                <w:rFonts w:ascii="Times New Roman" w:hAnsi="Times New Roman" w:cs="Times New Roman"/>
                <w:b/>
                <w:i/>
                <w:iCs/>
                <w:color w:val="auto"/>
                <w:sz w:val="20"/>
                <w:szCs w:val="20"/>
                <w:highlight w:val="none"/>
                <w:u w:val="single"/>
              </w:rPr>
            </w:pPr>
            <w:r>
              <w:rPr>
                <w:rFonts w:ascii="Times New Roman" w:hAnsi="Times New Roman" w:cs="Times New Roman"/>
                <w:b/>
                <w:i/>
                <w:iCs/>
                <w:color w:val="auto"/>
                <w:sz w:val="20"/>
                <w:szCs w:val="20"/>
                <w:highlight w:val="none"/>
                <w:u w:val="single"/>
              </w:rPr>
              <w:t>Y</w:t>
            </w:r>
          </w:p>
        </w:tc>
        <w:tc>
          <w:tcPr>
            <w:tcW w:w="415"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u w:val="singl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u w:val="singl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u w:val="singl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u w:val="singl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u w:val="singl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u w:val="single"/>
              </w:rPr>
            </w:pPr>
          </w:p>
        </w:tc>
        <w:tc>
          <w:tcPr>
            <w:tcW w:w="464" w:type="pct"/>
            <w:vMerge w:val="continue"/>
            <w:tcBorders>
              <w:tl2br w:val="nil"/>
              <w:tr2bl w:val="nil"/>
            </w:tcBorders>
            <w:shd w:val="clear" w:color="auto" w:fill="auto"/>
            <w:noWrap w:val="0"/>
            <w:vAlign w:val="center"/>
          </w:tcPr>
          <w:p>
            <w:pPr>
              <w:jc w:val="center"/>
              <w:rPr>
                <w:rFonts w:ascii="Times New Roman" w:hAnsi="Times New Roman" w:cs="Times New Roman"/>
                <w:b/>
                <w:bCs/>
                <w:color w:val="auto"/>
                <w:sz w:val="20"/>
                <w:szCs w:val="20"/>
                <w:highlight w:val="none"/>
                <w:u w:val="single"/>
              </w:rPr>
            </w:pPr>
          </w:p>
        </w:tc>
        <w:tc>
          <w:tcPr>
            <w:tcW w:w="494" w:type="pct"/>
            <w:tcBorders>
              <w:tl2br w:val="nil"/>
              <w:tr2bl w:val="nil"/>
            </w:tcBorders>
            <w:shd w:val="clear" w:color="000000" w:fill="FFFFFF"/>
            <w:noWrap w:val="0"/>
            <w:vAlign w:val="center"/>
          </w:tcPr>
          <w:p>
            <w:pPr>
              <w:jc w:val="center"/>
              <w:rPr>
                <w:rFonts w:ascii="Times New Roman" w:hAnsi="Times New Roman" w:cs="Times New Roman"/>
                <w:b/>
                <w:bCs/>
                <w:color w:val="auto"/>
                <w:sz w:val="20"/>
                <w:szCs w:val="20"/>
                <w:highlight w:val="none"/>
                <w:u w:val="single"/>
              </w:rPr>
            </w:pPr>
            <w:r>
              <w:rPr>
                <w:rFonts w:hint="eastAsia" w:ascii="Times New Roman" w:hAnsi="Times New Roman" w:cs="Times New Roman"/>
                <w:b/>
                <w:bCs/>
                <w:color w:val="auto"/>
                <w:sz w:val="20"/>
                <w:szCs w:val="20"/>
                <w:highlight w:val="none"/>
                <w:u w:val="single"/>
              </w:rPr>
              <w:t>VOCs</w:t>
            </w:r>
          </w:p>
        </w:tc>
        <w:tc>
          <w:tcPr>
            <w:tcW w:w="508" w:type="pct"/>
            <w:tcBorders>
              <w:tl2br w:val="nil"/>
              <w:tr2bl w:val="nil"/>
            </w:tcBorders>
            <w:shd w:val="clear" w:color="000000" w:fill="FFFFFF"/>
            <w:noWrap w:val="0"/>
            <w:vAlign w:val="center"/>
          </w:tcPr>
          <w:p>
            <w:pPr>
              <w:jc w:val="center"/>
              <w:rPr>
                <w:rFonts w:hint="eastAsia" w:ascii="Times New Roman" w:hAnsi="Times New Roman" w:eastAsia="宋体" w:cs="Times New Roman"/>
                <w:b/>
                <w:bCs/>
                <w:color w:val="auto"/>
                <w:sz w:val="20"/>
                <w:szCs w:val="20"/>
                <w:highlight w:val="none"/>
                <w:u w:val="single"/>
                <w:lang w:eastAsia="zh-CN"/>
              </w:rPr>
            </w:pPr>
            <w:r>
              <w:rPr>
                <w:rFonts w:hint="eastAsia" w:ascii="Times New Roman" w:hAnsi="Times New Roman" w:cs="Times New Roman"/>
                <w:b/>
                <w:bCs/>
                <w:color w:val="auto"/>
                <w:sz w:val="20"/>
                <w:szCs w:val="20"/>
                <w:highlight w:val="none"/>
                <w:u w:val="single"/>
                <w:lang w:val="en-US" w:eastAsia="zh-CN"/>
              </w:rPr>
              <w:t>甲醇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263" w:type="pct"/>
            <w:vMerge w:val="restart"/>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r>
              <w:rPr>
                <w:rFonts w:ascii="Times New Roman" w:hAnsi="Times New Roman" w:cs="Times New Roman"/>
                <w:color w:val="auto"/>
                <w:sz w:val="20"/>
                <w:szCs w:val="20"/>
                <w:highlight w:val="none"/>
                <w:u w:val="single"/>
              </w:rPr>
              <w:t>1</w:t>
            </w:r>
          </w:p>
        </w:tc>
        <w:tc>
          <w:tcPr>
            <w:tcW w:w="444" w:type="pct"/>
            <w:vMerge w:val="restart"/>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r>
              <w:rPr>
                <w:rFonts w:ascii="Times New Roman" w:hAnsi="Times New Roman" w:cs="Times New Roman"/>
                <w:color w:val="auto"/>
                <w:sz w:val="20"/>
                <w:szCs w:val="20"/>
                <w:highlight w:val="none"/>
                <w:u w:val="single"/>
              </w:rPr>
              <w:t>P1</w:t>
            </w:r>
            <w:r>
              <w:rPr>
                <w:rFonts w:hint="eastAsia" w:ascii="Times New Roman" w:hAnsi="Times New Roman" w:cs="Times New Roman"/>
                <w:color w:val="auto"/>
                <w:sz w:val="20"/>
                <w:szCs w:val="20"/>
                <w:highlight w:val="none"/>
                <w:u w:val="single"/>
                <w:lang w:val="en-US" w:eastAsia="zh-CN"/>
              </w:rPr>
              <w:t>工艺</w:t>
            </w:r>
            <w:r>
              <w:rPr>
                <w:rFonts w:ascii="Times New Roman" w:hAnsi="Times New Roman" w:cs="Times New Roman"/>
                <w:color w:val="auto"/>
                <w:sz w:val="20"/>
                <w:szCs w:val="20"/>
                <w:highlight w:val="none"/>
                <w:u w:val="single"/>
              </w:rPr>
              <w:t>排气筒</w:t>
            </w:r>
          </w:p>
        </w:tc>
        <w:tc>
          <w:tcPr>
            <w:tcW w:w="281"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46</w:t>
            </w:r>
          </w:p>
        </w:tc>
        <w:tc>
          <w:tcPr>
            <w:tcW w:w="311" w:type="pct"/>
            <w:vMerge w:val="restar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88</w:t>
            </w:r>
          </w:p>
        </w:tc>
        <w:tc>
          <w:tcPr>
            <w:tcW w:w="415" w:type="pct"/>
            <w:vMerge w:val="restar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32</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20</w:t>
            </w:r>
          </w:p>
        </w:tc>
        <w:tc>
          <w:tcPr>
            <w:tcW w:w="363" w:type="pct"/>
            <w:vMerge w:val="restart"/>
            <w:tcBorders>
              <w:tl2br w:val="nil"/>
              <w:tr2bl w:val="nil"/>
            </w:tcBorders>
            <w:shd w:val="clear" w:color="auto" w:fill="auto"/>
            <w:noWrap w:val="0"/>
            <w:vAlign w:val="center"/>
          </w:tcPr>
          <w:p>
            <w:pPr>
              <w:jc w:val="center"/>
              <w:rPr>
                <w:rFonts w:hint="eastAsia" w:ascii="Times New Roman" w:hAnsi="Times New Roman" w:cs="Times New Roman"/>
                <w:color w:val="auto"/>
                <w:sz w:val="20"/>
                <w:szCs w:val="20"/>
                <w:highlight w:val="none"/>
                <w:u w:val="single"/>
                <w:lang w:eastAsia="zh-CN"/>
              </w:rPr>
            </w:pPr>
            <w:r>
              <w:rPr>
                <w:rFonts w:ascii="Times New Roman" w:hAnsi="Times New Roman" w:cs="Times New Roman"/>
                <w:color w:val="auto"/>
                <w:sz w:val="20"/>
                <w:szCs w:val="20"/>
                <w:highlight w:val="none"/>
                <w:u w:val="single"/>
              </w:rPr>
              <w:t>0.</w:t>
            </w:r>
            <w:r>
              <w:rPr>
                <w:rFonts w:hint="eastAsia" w:ascii="Times New Roman" w:hAnsi="Times New Roman" w:cs="Times New Roman"/>
                <w:color w:val="auto"/>
                <w:sz w:val="20"/>
                <w:szCs w:val="20"/>
                <w:highlight w:val="none"/>
                <w:u w:val="single"/>
                <w:lang w:val="en-US" w:eastAsia="zh-CN"/>
              </w:rPr>
              <w:t>3</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13.76</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20</w:t>
            </w:r>
          </w:p>
        </w:tc>
        <w:tc>
          <w:tcPr>
            <w:tcW w:w="363"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u w:val="single"/>
              </w:rPr>
            </w:pPr>
            <w:r>
              <w:rPr>
                <w:rFonts w:ascii="Times New Roman" w:hAnsi="Times New Roman" w:cs="Times New Roman"/>
                <w:color w:val="auto"/>
                <w:sz w:val="20"/>
                <w:szCs w:val="20"/>
                <w:highlight w:val="none"/>
                <w:u w:val="single"/>
              </w:rPr>
              <w:t>7</w:t>
            </w:r>
            <w:r>
              <w:rPr>
                <w:rFonts w:hint="eastAsia" w:ascii="Times New Roman" w:hAnsi="Times New Roman" w:cs="Times New Roman"/>
                <w:color w:val="auto"/>
                <w:sz w:val="20"/>
                <w:szCs w:val="20"/>
                <w:highlight w:val="none"/>
                <w:u w:val="single"/>
                <w:lang w:val="en-US" w:eastAsia="zh-CN"/>
              </w:rPr>
              <w:t>92</w:t>
            </w:r>
            <w:r>
              <w:rPr>
                <w:rFonts w:ascii="Times New Roman" w:hAnsi="Times New Roman" w:cs="Times New Roman"/>
                <w:color w:val="auto"/>
                <w:sz w:val="20"/>
                <w:szCs w:val="20"/>
                <w:highlight w:val="none"/>
                <w:u w:val="single"/>
              </w:rPr>
              <w:t>0</w:t>
            </w:r>
          </w:p>
        </w:tc>
        <w:tc>
          <w:tcPr>
            <w:tcW w:w="464"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u w:val="single"/>
              </w:rPr>
            </w:pPr>
            <w:r>
              <w:rPr>
                <w:rFonts w:ascii="Times New Roman" w:hAnsi="Times New Roman" w:cs="Times New Roman"/>
                <w:color w:val="auto"/>
                <w:sz w:val="20"/>
                <w:szCs w:val="20"/>
                <w:highlight w:val="none"/>
                <w:u w:val="single"/>
              </w:rPr>
              <w:t>正常排放</w:t>
            </w:r>
          </w:p>
        </w:tc>
        <w:tc>
          <w:tcPr>
            <w:tcW w:w="494"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0.36</w:t>
            </w:r>
          </w:p>
        </w:tc>
        <w:tc>
          <w:tcPr>
            <w:tcW w:w="508"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u w:val="single"/>
              </w:rPr>
            </w:pPr>
            <w:r>
              <w:rPr>
                <w:rFonts w:hint="eastAsia" w:ascii="Times New Roman" w:hAnsi="Times New Roman" w:cs="Times New Roman"/>
                <w:color w:val="auto"/>
                <w:sz w:val="20"/>
                <w:szCs w:val="20"/>
                <w:highlight w:val="none"/>
                <w:u w:val="singl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2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444"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281"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311"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415"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363"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u w:val="single"/>
              </w:rPr>
            </w:pPr>
            <w:r>
              <w:rPr>
                <w:rFonts w:ascii="Times New Roman" w:hAnsi="Times New Roman" w:cs="Times New Roman"/>
                <w:color w:val="auto"/>
                <w:sz w:val="20"/>
                <w:szCs w:val="20"/>
                <w:highlight w:val="none"/>
                <w:u w:val="single"/>
              </w:rPr>
              <w:t>0~2</w:t>
            </w:r>
          </w:p>
        </w:tc>
        <w:tc>
          <w:tcPr>
            <w:tcW w:w="464"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u w:val="single"/>
              </w:rPr>
            </w:pPr>
            <w:r>
              <w:rPr>
                <w:rFonts w:ascii="Times New Roman" w:hAnsi="Times New Roman" w:cs="Times New Roman"/>
                <w:color w:val="auto"/>
                <w:sz w:val="20"/>
                <w:szCs w:val="20"/>
                <w:highlight w:val="none"/>
                <w:u w:val="single"/>
              </w:rPr>
              <w:t>非正常排放</w:t>
            </w:r>
          </w:p>
        </w:tc>
        <w:tc>
          <w:tcPr>
            <w:tcW w:w="494"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1.96</w:t>
            </w:r>
          </w:p>
        </w:tc>
        <w:tc>
          <w:tcPr>
            <w:tcW w:w="508"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263" w:type="pct"/>
            <w:vMerge w:val="restart"/>
            <w:tcBorders>
              <w:tl2br w:val="nil"/>
              <w:tr2bl w:val="nil"/>
            </w:tcBorders>
            <w:shd w:val="clear" w:color="auto" w:fill="auto"/>
            <w:noWrap w:val="0"/>
            <w:vAlign w:val="center"/>
          </w:tcPr>
          <w:p>
            <w:pPr>
              <w:jc w:val="center"/>
              <w:rPr>
                <w:rFonts w:hint="eastAsia"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2</w:t>
            </w:r>
          </w:p>
        </w:tc>
        <w:tc>
          <w:tcPr>
            <w:tcW w:w="444"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P2储罐废气排气筒</w:t>
            </w:r>
          </w:p>
        </w:tc>
        <w:tc>
          <w:tcPr>
            <w:tcW w:w="281" w:type="pct"/>
            <w:vMerge w:val="restar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37</w:t>
            </w:r>
          </w:p>
        </w:tc>
        <w:tc>
          <w:tcPr>
            <w:tcW w:w="311" w:type="pct"/>
            <w:vMerge w:val="restar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134</w:t>
            </w:r>
          </w:p>
        </w:tc>
        <w:tc>
          <w:tcPr>
            <w:tcW w:w="415" w:type="pct"/>
            <w:vMerge w:val="restar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32</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15</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0.2</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17.69</w:t>
            </w:r>
          </w:p>
        </w:tc>
        <w:tc>
          <w:tcPr>
            <w:tcW w:w="363"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20</w:t>
            </w:r>
          </w:p>
        </w:tc>
        <w:tc>
          <w:tcPr>
            <w:tcW w:w="363"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u w:val="single"/>
              </w:rPr>
            </w:pPr>
            <w:r>
              <w:rPr>
                <w:rFonts w:ascii="Times New Roman" w:hAnsi="Times New Roman" w:cs="Times New Roman"/>
                <w:color w:val="auto"/>
                <w:sz w:val="20"/>
                <w:szCs w:val="20"/>
                <w:highlight w:val="none"/>
                <w:u w:val="single"/>
              </w:rPr>
              <w:t>7</w:t>
            </w:r>
            <w:r>
              <w:rPr>
                <w:rFonts w:hint="eastAsia" w:ascii="Times New Roman" w:hAnsi="Times New Roman" w:cs="Times New Roman"/>
                <w:color w:val="auto"/>
                <w:sz w:val="20"/>
                <w:szCs w:val="20"/>
                <w:highlight w:val="none"/>
                <w:u w:val="single"/>
                <w:lang w:val="en-US" w:eastAsia="zh-CN"/>
              </w:rPr>
              <w:t>92</w:t>
            </w:r>
            <w:r>
              <w:rPr>
                <w:rFonts w:ascii="Times New Roman" w:hAnsi="Times New Roman" w:cs="Times New Roman"/>
                <w:color w:val="auto"/>
                <w:sz w:val="20"/>
                <w:szCs w:val="20"/>
                <w:highlight w:val="none"/>
                <w:u w:val="single"/>
              </w:rPr>
              <w:t>0</w:t>
            </w:r>
          </w:p>
        </w:tc>
        <w:tc>
          <w:tcPr>
            <w:tcW w:w="464"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u w:val="single"/>
              </w:rPr>
            </w:pPr>
            <w:r>
              <w:rPr>
                <w:rFonts w:ascii="Times New Roman" w:hAnsi="Times New Roman" w:cs="Times New Roman"/>
                <w:color w:val="auto"/>
                <w:sz w:val="20"/>
                <w:szCs w:val="20"/>
                <w:highlight w:val="none"/>
                <w:u w:val="single"/>
              </w:rPr>
              <w:t>正常排放</w:t>
            </w:r>
          </w:p>
        </w:tc>
        <w:tc>
          <w:tcPr>
            <w:tcW w:w="494"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0.12</w:t>
            </w:r>
          </w:p>
        </w:tc>
        <w:tc>
          <w:tcPr>
            <w:tcW w:w="508"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2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444"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281"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311"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415"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363" w:type="pct"/>
            <w:vMerge w:val="continue"/>
            <w:tcBorders>
              <w:tl2br w:val="nil"/>
              <w:tr2bl w:val="nil"/>
            </w:tcBorders>
            <w:shd w:val="clear" w:color="auto" w:fill="auto"/>
            <w:noWrap w:val="0"/>
            <w:vAlign w:val="center"/>
          </w:tcPr>
          <w:p>
            <w:pPr>
              <w:jc w:val="center"/>
              <w:rPr>
                <w:rFonts w:ascii="Times New Roman" w:hAnsi="Times New Roman" w:cs="Times New Roman"/>
                <w:color w:val="auto"/>
                <w:sz w:val="20"/>
                <w:szCs w:val="20"/>
                <w:highlight w:val="none"/>
                <w:u w:val="single"/>
              </w:rPr>
            </w:pPr>
          </w:p>
        </w:tc>
        <w:tc>
          <w:tcPr>
            <w:tcW w:w="363"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u w:val="single"/>
              </w:rPr>
            </w:pPr>
            <w:r>
              <w:rPr>
                <w:rFonts w:ascii="Times New Roman" w:hAnsi="Times New Roman" w:cs="Times New Roman"/>
                <w:color w:val="auto"/>
                <w:sz w:val="20"/>
                <w:szCs w:val="20"/>
                <w:highlight w:val="none"/>
                <w:u w:val="single"/>
              </w:rPr>
              <w:t>0~2</w:t>
            </w:r>
          </w:p>
        </w:tc>
        <w:tc>
          <w:tcPr>
            <w:tcW w:w="464" w:type="pct"/>
            <w:tcBorders>
              <w:tl2br w:val="nil"/>
              <w:tr2bl w:val="nil"/>
            </w:tcBorders>
            <w:shd w:val="clear" w:color="000000" w:fill="FFFFFF"/>
            <w:noWrap w:val="0"/>
            <w:vAlign w:val="center"/>
          </w:tcPr>
          <w:p>
            <w:pPr>
              <w:jc w:val="center"/>
              <w:rPr>
                <w:rFonts w:ascii="Times New Roman" w:hAnsi="Times New Roman" w:cs="Times New Roman"/>
                <w:color w:val="auto"/>
                <w:sz w:val="20"/>
                <w:szCs w:val="20"/>
                <w:highlight w:val="none"/>
                <w:u w:val="single"/>
              </w:rPr>
            </w:pPr>
            <w:r>
              <w:rPr>
                <w:rFonts w:ascii="Times New Roman" w:hAnsi="Times New Roman" w:cs="Times New Roman"/>
                <w:color w:val="auto"/>
                <w:sz w:val="20"/>
                <w:szCs w:val="20"/>
                <w:highlight w:val="none"/>
                <w:u w:val="single"/>
              </w:rPr>
              <w:t>非正常排放</w:t>
            </w:r>
          </w:p>
        </w:tc>
        <w:tc>
          <w:tcPr>
            <w:tcW w:w="494"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0.38</w:t>
            </w:r>
          </w:p>
        </w:tc>
        <w:tc>
          <w:tcPr>
            <w:tcW w:w="508" w:type="pct"/>
            <w:tcBorders>
              <w:tl2br w:val="nil"/>
              <w:tr2bl w:val="nil"/>
            </w:tcBorders>
            <w:shd w:val="clear" w:color="000000" w:fill="FFFFFF"/>
            <w:noWrap w:val="0"/>
            <w:vAlign w:val="center"/>
          </w:tcPr>
          <w:p>
            <w:pPr>
              <w:jc w:val="center"/>
              <w:rPr>
                <w:rFonts w:hint="default" w:ascii="Times New Roman" w:hAnsi="Times New Roman"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0.01</w:t>
            </w:r>
          </w:p>
        </w:tc>
      </w:tr>
    </w:tbl>
    <w:p>
      <w:pPr>
        <w:rPr>
          <w:rFonts w:ascii="Times New Roman" w:hAnsi="Times New Roman" w:eastAsia="黑体" w:cs="Times New Roman"/>
          <w:color w:val="auto"/>
          <w:szCs w:val="21"/>
          <w:highlight w:val="none"/>
          <w:u w:val="single"/>
        </w:rPr>
      </w:pPr>
      <w:r>
        <w:rPr>
          <w:rFonts w:ascii="Times New Roman" w:hAnsi="Times New Roman" w:eastAsia="黑体" w:cs="Times New Roman"/>
          <w:color w:val="auto"/>
          <w:szCs w:val="21"/>
          <w:highlight w:val="none"/>
          <w:u w:val="single"/>
        </w:rPr>
        <w:t>注：</w:t>
      </w:r>
      <w:r>
        <w:rPr>
          <w:rFonts w:hint="eastAsia" w:ascii="Times New Roman" w:hAnsi="Times New Roman" w:eastAsia="黑体" w:cs="Times New Roman"/>
          <w:color w:val="auto"/>
          <w:szCs w:val="21"/>
          <w:highlight w:val="none"/>
          <w:u w:val="single"/>
          <w:lang w:val="en-US" w:eastAsia="zh-CN"/>
        </w:rPr>
        <w:t>①工艺废气P1排气筒废气为叠加现有废气后的源强数据。②</w:t>
      </w:r>
      <w:r>
        <w:rPr>
          <w:rFonts w:hint="eastAsia" w:ascii="Times New Roman" w:hAnsi="Times New Roman" w:eastAsia="黑体" w:cs="Times New Roman"/>
          <w:color w:val="auto"/>
          <w:szCs w:val="21"/>
          <w:highlight w:val="none"/>
          <w:u w:val="single"/>
        </w:rPr>
        <w:t>上表中的非正常排放为废气处理设施失效</w:t>
      </w:r>
      <w:r>
        <w:rPr>
          <w:rFonts w:ascii="Times New Roman" w:hAnsi="Times New Roman" w:eastAsia="黑体" w:cs="Times New Roman"/>
          <w:color w:val="auto"/>
          <w:szCs w:val="21"/>
          <w:highlight w:val="none"/>
          <w:u w:val="single"/>
        </w:rPr>
        <w:t>，处理效率为0的极端情况。</w:t>
      </w:r>
    </w:p>
    <w:p>
      <w:pPr>
        <w:spacing w:line="240" w:lineRule="exact"/>
        <w:ind w:firstLine="420" w:firstLineChars="200"/>
        <w:rPr>
          <w:rFonts w:ascii="Times New Roman" w:hAnsi="Times New Roman" w:cs="Times New Roman"/>
          <w:color w:val="auto"/>
          <w:highlight w:val="none"/>
          <w:u w:val="single"/>
        </w:rPr>
      </w:pPr>
    </w:p>
    <w:p>
      <w:pPr>
        <w:pStyle w:val="36"/>
        <w:bidi w:val="0"/>
        <w:rPr>
          <w:color w:val="auto"/>
          <w:u w:val="single"/>
        </w:rPr>
      </w:pPr>
      <w:r>
        <w:rPr>
          <w:rFonts w:hint="eastAsia"/>
          <w:color w:val="auto"/>
          <w:u w:val="single"/>
          <w:lang w:val="en-US" w:eastAsia="zh-CN"/>
        </w:rPr>
        <w:t xml:space="preserve">表7.1-14 </w:t>
      </w:r>
      <w:r>
        <w:rPr>
          <w:color w:val="auto"/>
          <w:u w:val="single"/>
        </w:rPr>
        <w:t>项目新增面源参数表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032"/>
        <w:gridCol w:w="780"/>
        <w:gridCol w:w="783"/>
        <w:gridCol w:w="1093"/>
        <w:gridCol w:w="1246"/>
        <w:gridCol w:w="1093"/>
        <w:gridCol w:w="933"/>
        <w:gridCol w:w="1246"/>
        <w:gridCol w:w="936"/>
        <w:gridCol w:w="933"/>
        <w:gridCol w:w="1406"/>
        <w:gridCol w:w="9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blHeader/>
        </w:trPr>
        <w:tc>
          <w:tcPr>
            <w:tcW w:w="278"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u w:val="single"/>
              </w:rPr>
            </w:pPr>
            <w:r>
              <w:rPr>
                <w:rFonts w:ascii="Times New Roman" w:hAnsi="Times New Roman" w:cs="Times New Roman"/>
                <w:b/>
                <w:color w:val="auto"/>
                <w:sz w:val="20"/>
                <w:szCs w:val="20"/>
                <w:highlight w:val="none"/>
                <w:u w:val="single"/>
              </w:rPr>
              <w:t>编号</w:t>
            </w:r>
          </w:p>
        </w:tc>
        <w:tc>
          <w:tcPr>
            <w:tcW w:w="714"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u w:val="single"/>
              </w:rPr>
            </w:pPr>
            <w:r>
              <w:rPr>
                <w:rFonts w:ascii="Times New Roman" w:hAnsi="Times New Roman" w:cs="Times New Roman"/>
                <w:b/>
                <w:color w:val="auto"/>
                <w:sz w:val="20"/>
                <w:szCs w:val="20"/>
                <w:highlight w:val="none"/>
                <w:u w:val="single"/>
              </w:rPr>
              <w:t>名称</w:t>
            </w:r>
          </w:p>
        </w:tc>
        <w:tc>
          <w:tcPr>
            <w:tcW w:w="549" w:type="pct"/>
            <w:gridSpan w:val="2"/>
            <w:tcBorders>
              <w:tl2br w:val="nil"/>
              <w:tr2bl w:val="nil"/>
            </w:tcBorders>
            <w:noWrap w:val="0"/>
            <w:vAlign w:val="center"/>
          </w:tcPr>
          <w:p>
            <w:pPr>
              <w:jc w:val="center"/>
              <w:rPr>
                <w:rFonts w:ascii="Times New Roman" w:hAnsi="Times New Roman" w:cs="Times New Roman"/>
                <w:b/>
                <w:color w:val="auto"/>
                <w:sz w:val="20"/>
                <w:szCs w:val="20"/>
                <w:highlight w:val="none"/>
                <w:u w:val="single"/>
              </w:rPr>
            </w:pPr>
            <w:r>
              <w:rPr>
                <w:rFonts w:ascii="Times New Roman" w:hAnsi="Times New Roman" w:cs="Times New Roman"/>
                <w:b/>
                <w:color w:val="auto"/>
                <w:sz w:val="20"/>
                <w:szCs w:val="20"/>
                <w:highlight w:val="none"/>
                <w:u w:val="single"/>
              </w:rPr>
              <w:t>面源起点坐标/m</w:t>
            </w:r>
          </w:p>
        </w:tc>
        <w:tc>
          <w:tcPr>
            <w:tcW w:w="384"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u w:val="single"/>
              </w:rPr>
            </w:pPr>
            <w:r>
              <w:rPr>
                <w:rFonts w:ascii="Times New Roman" w:hAnsi="Times New Roman" w:cs="Times New Roman"/>
                <w:b/>
                <w:color w:val="auto"/>
                <w:sz w:val="20"/>
                <w:szCs w:val="20"/>
                <w:highlight w:val="none"/>
                <w:u w:val="single"/>
              </w:rPr>
              <w:t>面源海拔高度/m</w:t>
            </w:r>
          </w:p>
        </w:tc>
        <w:tc>
          <w:tcPr>
            <w:tcW w:w="438"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u w:val="single"/>
              </w:rPr>
            </w:pPr>
            <w:r>
              <w:rPr>
                <w:rFonts w:ascii="Times New Roman" w:hAnsi="Times New Roman" w:cs="Times New Roman"/>
                <w:b/>
                <w:color w:val="auto"/>
                <w:sz w:val="20"/>
                <w:szCs w:val="20"/>
                <w:highlight w:val="none"/>
                <w:u w:val="single"/>
              </w:rPr>
              <w:t>面源长度/m</w:t>
            </w:r>
          </w:p>
        </w:tc>
        <w:tc>
          <w:tcPr>
            <w:tcW w:w="384"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u w:val="single"/>
              </w:rPr>
            </w:pPr>
            <w:r>
              <w:rPr>
                <w:rFonts w:ascii="Times New Roman" w:hAnsi="Times New Roman" w:cs="Times New Roman"/>
                <w:b/>
                <w:color w:val="auto"/>
                <w:sz w:val="20"/>
                <w:szCs w:val="20"/>
                <w:highlight w:val="none"/>
                <w:u w:val="single"/>
              </w:rPr>
              <w:t>面源宽度/m</w:t>
            </w:r>
          </w:p>
        </w:tc>
        <w:tc>
          <w:tcPr>
            <w:tcW w:w="328"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u w:val="single"/>
              </w:rPr>
            </w:pPr>
            <w:r>
              <w:rPr>
                <w:rFonts w:ascii="Times New Roman" w:hAnsi="Times New Roman" w:cs="Times New Roman"/>
                <w:b/>
                <w:color w:val="auto"/>
                <w:sz w:val="20"/>
                <w:szCs w:val="20"/>
                <w:highlight w:val="none"/>
                <w:u w:val="single"/>
              </w:rPr>
              <w:t>与正北向夹角/ °</w:t>
            </w:r>
          </w:p>
        </w:tc>
        <w:tc>
          <w:tcPr>
            <w:tcW w:w="438"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u w:val="single"/>
              </w:rPr>
            </w:pPr>
            <w:r>
              <w:rPr>
                <w:rFonts w:ascii="Times New Roman" w:hAnsi="Times New Roman" w:cs="Times New Roman"/>
                <w:b/>
                <w:color w:val="auto"/>
                <w:sz w:val="20"/>
                <w:szCs w:val="20"/>
                <w:highlight w:val="none"/>
                <w:u w:val="single"/>
              </w:rPr>
              <w:t>面源有效排放高度/m</w:t>
            </w:r>
          </w:p>
        </w:tc>
        <w:tc>
          <w:tcPr>
            <w:tcW w:w="329"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u w:val="single"/>
              </w:rPr>
            </w:pPr>
            <w:r>
              <w:rPr>
                <w:rFonts w:ascii="Times New Roman" w:hAnsi="Times New Roman" w:cs="Times New Roman"/>
                <w:b/>
                <w:color w:val="auto"/>
                <w:sz w:val="20"/>
                <w:szCs w:val="20"/>
                <w:highlight w:val="none"/>
                <w:u w:val="single"/>
              </w:rPr>
              <w:t>年排放小时数/h</w:t>
            </w:r>
          </w:p>
        </w:tc>
        <w:tc>
          <w:tcPr>
            <w:tcW w:w="328" w:type="pct"/>
            <w:vMerge w:val="restart"/>
            <w:tcBorders>
              <w:tl2br w:val="nil"/>
              <w:tr2bl w:val="nil"/>
            </w:tcBorders>
            <w:noWrap w:val="0"/>
            <w:vAlign w:val="center"/>
          </w:tcPr>
          <w:p>
            <w:pPr>
              <w:jc w:val="center"/>
              <w:rPr>
                <w:rFonts w:ascii="Times New Roman" w:hAnsi="Times New Roman" w:cs="Times New Roman"/>
                <w:b/>
                <w:color w:val="auto"/>
                <w:sz w:val="20"/>
                <w:szCs w:val="20"/>
                <w:highlight w:val="none"/>
                <w:u w:val="single"/>
              </w:rPr>
            </w:pPr>
            <w:r>
              <w:rPr>
                <w:rFonts w:ascii="Times New Roman" w:hAnsi="Times New Roman" w:cs="Times New Roman"/>
                <w:b/>
                <w:color w:val="auto"/>
                <w:sz w:val="20"/>
                <w:szCs w:val="20"/>
                <w:highlight w:val="none"/>
                <w:u w:val="single"/>
              </w:rPr>
              <w:t>排放工况</w:t>
            </w:r>
          </w:p>
        </w:tc>
        <w:tc>
          <w:tcPr>
            <w:tcW w:w="825" w:type="pct"/>
            <w:gridSpan w:val="2"/>
            <w:tcBorders>
              <w:tl2br w:val="nil"/>
              <w:tr2bl w:val="nil"/>
            </w:tcBorders>
            <w:noWrap w:val="0"/>
            <w:vAlign w:val="center"/>
          </w:tcPr>
          <w:p>
            <w:pPr>
              <w:jc w:val="center"/>
              <w:rPr>
                <w:rFonts w:ascii="Times New Roman" w:hAnsi="Times New Roman" w:cs="Times New Roman"/>
                <w:b/>
                <w:color w:val="auto"/>
                <w:sz w:val="20"/>
                <w:szCs w:val="20"/>
                <w:highlight w:val="none"/>
                <w:u w:val="single"/>
              </w:rPr>
            </w:pPr>
            <w:r>
              <w:rPr>
                <w:rFonts w:ascii="Times New Roman" w:hAnsi="Times New Roman" w:cs="Times New Roman"/>
                <w:b/>
                <w:color w:val="auto"/>
                <w:sz w:val="20"/>
                <w:szCs w:val="20"/>
                <w:highlight w:val="none"/>
                <w:u w:val="single"/>
              </w:rPr>
              <w:t>污染物排放速率/（kg/h）</w:t>
            </w:r>
          </w:p>
        </w:tc>
      </w:tr>
      <w:tr>
        <w:trPr>
          <w:trHeight w:val="397" w:hRule="atLeast"/>
          <w:tblHeader/>
        </w:trPr>
        <w:tc>
          <w:tcPr>
            <w:tcW w:w="278"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u w:val="single"/>
              </w:rPr>
            </w:pPr>
          </w:p>
        </w:tc>
        <w:tc>
          <w:tcPr>
            <w:tcW w:w="714"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u w:val="single"/>
              </w:rPr>
            </w:pPr>
          </w:p>
        </w:tc>
        <w:tc>
          <w:tcPr>
            <w:tcW w:w="274" w:type="pct"/>
            <w:tcBorders>
              <w:tl2br w:val="nil"/>
              <w:tr2bl w:val="nil"/>
            </w:tcBorders>
            <w:noWrap w:val="0"/>
            <w:vAlign w:val="center"/>
          </w:tcPr>
          <w:p>
            <w:pPr>
              <w:jc w:val="center"/>
              <w:rPr>
                <w:rFonts w:ascii="Times New Roman" w:hAnsi="Times New Roman" w:cs="Times New Roman"/>
                <w:b/>
                <w:i/>
                <w:iCs/>
                <w:color w:val="auto"/>
                <w:sz w:val="20"/>
                <w:szCs w:val="20"/>
                <w:highlight w:val="none"/>
                <w:u w:val="single"/>
              </w:rPr>
            </w:pPr>
            <w:r>
              <w:rPr>
                <w:rFonts w:ascii="Times New Roman" w:hAnsi="Times New Roman" w:cs="Times New Roman"/>
                <w:b/>
                <w:i/>
                <w:iCs/>
                <w:color w:val="auto"/>
                <w:sz w:val="20"/>
                <w:szCs w:val="20"/>
                <w:highlight w:val="none"/>
                <w:u w:val="single"/>
              </w:rPr>
              <w:t>X</w:t>
            </w:r>
          </w:p>
        </w:tc>
        <w:tc>
          <w:tcPr>
            <w:tcW w:w="274" w:type="pct"/>
            <w:tcBorders>
              <w:tl2br w:val="nil"/>
              <w:tr2bl w:val="nil"/>
            </w:tcBorders>
            <w:noWrap w:val="0"/>
            <w:vAlign w:val="center"/>
          </w:tcPr>
          <w:p>
            <w:pPr>
              <w:jc w:val="center"/>
              <w:rPr>
                <w:rFonts w:ascii="Times New Roman" w:hAnsi="Times New Roman" w:cs="Times New Roman"/>
                <w:b/>
                <w:i/>
                <w:iCs/>
                <w:color w:val="auto"/>
                <w:sz w:val="20"/>
                <w:szCs w:val="20"/>
                <w:highlight w:val="none"/>
                <w:u w:val="single"/>
              </w:rPr>
            </w:pPr>
            <w:r>
              <w:rPr>
                <w:rFonts w:ascii="Times New Roman" w:hAnsi="Times New Roman" w:cs="Times New Roman"/>
                <w:b/>
                <w:i/>
                <w:iCs/>
                <w:color w:val="auto"/>
                <w:sz w:val="20"/>
                <w:szCs w:val="20"/>
                <w:highlight w:val="none"/>
                <w:u w:val="single"/>
              </w:rPr>
              <w:t>Y</w:t>
            </w:r>
          </w:p>
        </w:tc>
        <w:tc>
          <w:tcPr>
            <w:tcW w:w="384"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u w:val="single"/>
              </w:rPr>
            </w:pPr>
          </w:p>
        </w:tc>
        <w:tc>
          <w:tcPr>
            <w:tcW w:w="438"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u w:val="single"/>
              </w:rPr>
            </w:pPr>
          </w:p>
        </w:tc>
        <w:tc>
          <w:tcPr>
            <w:tcW w:w="384"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u w:val="single"/>
              </w:rPr>
            </w:pPr>
          </w:p>
        </w:tc>
        <w:tc>
          <w:tcPr>
            <w:tcW w:w="328"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u w:val="single"/>
              </w:rPr>
            </w:pPr>
          </w:p>
        </w:tc>
        <w:tc>
          <w:tcPr>
            <w:tcW w:w="438"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u w:val="single"/>
              </w:rPr>
            </w:pPr>
          </w:p>
        </w:tc>
        <w:tc>
          <w:tcPr>
            <w:tcW w:w="329"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u w:val="single"/>
              </w:rPr>
            </w:pPr>
          </w:p>
        </w:tc>
        <w:tc>
          <w:tcPr>
            <w:tcW w:w="328" w:type="pct"/>
            <w:vMerge w:val="continue"/>
            <w:tcBorders>
              <w:tl2br w:val="nil"/>
              <w:tr2bl w:val="nil"/>
            </w:tcBorders>
            <w:noWrap w:val="0"/>
            <w:vAlign w:val="center"/>
          </w:tcPr>
          <w:p>
            <w:pPr>
              <w:jc w:val="center"/>
              <w:rPr>
                <w:rFonts w:ascii="Times New Roman" w:hAnsi="Times New Roman" w:cs="Times New Roman"/>
                <w:color w:val="auto"/>
                <w:sz w:val="20"/>
                <w:szCs w:val="20"/>
                <w:highlight w:val="none"/>
                <w:u w:val="single"/>
              </w:rPr>
            </w:pPr>
          </w:p>
        </w:tc>
        <w:tc>
          <w:tcPr>
            <w:tcW w:w="494" w:type="pct"/>
            <w:tcBorders>
              <w:tl2br w:val="nil"/>
              <w:tr2bl w:val="nil"/>
            </w:tcBorders>
            <w:noWrap w:val="0"/>
            <w:vAlign w:val="center"/>
          </w:tcPr>
          <w:p>
            <w:pPr>
              <w:jc w:val="center"/>
              <w:rPr>
                <w:rFonts w:ascii="Times New Roman" w:hAnsi="Times New Roman" w:cs="Times New Roman"/>
                <w:b/>
                <w:color w:val="auto"/>
                <w:sz w:val="20"/>
                <w:szCs w:val="20"/>
                <w:highlight w:val="none"/>
                <w:u w:val="single"/>
              </w:rPr>
            </w:pPr>
            <w:r>
              <w:rPr>
                <w:rFonts w:hint="eastAsia" w:ascii="Times New Roman" w:hAnsi="Times New Roman" w:cs="Times New Roman"/>
                <w:b/>
                <w:bCs/>
                <w:color w:val="auto"/>
                <w:sz w:val="20"/>
                <w:szCs w:val="20"/>
                <w:highlight w:val="none"/>
                <w:u w:val="single"/>
              </w:rPr>
              <w:t>VOCs</w:t>
            </w:r>
          </w:p>
        </w:tc>
        <w:tc>
          <w:tcPr>
            <w:tcW w:w="330" w:type="pct"/>
            <w:tcBorders>
              <w:tl2br w:val="nil"/>
              <w:tr2bl w:val="nil"/>
            </w:tcBorders>
            <w:noWrap w:val="0"/>
            <w:vAlign w:val="center"/>
          </w:tcPr>
          <w:p>
            <w:pPr>
              <w:jc w:val="center"/>
              <w:rPr>
                <w:rFonts w:hint="eastAsia" w:ascii="Times New Roman" w:hAnsi="Times New Roman" w:eastAsia="宋体" w:cs="Times New Roman"/>
                <w:b/>
                <w:color w:val="auto"/>
                <w:sz w:val="20"/>
                <w:szCs w:val="20"/>
                <w:highlight w:val="none"/>
                <w:u w:val="single"/>
                <w:lang w:eastAsia="zh-CN"/>
              </w:rPr>
            </w:pPr>
            <w:r>
              <w:rPr>
                <w:rFonts w:hint="eastAsia" w:ascii="Times New Roman" w:hAnsi="Times New Roman" w:cs="Times New Roman"/>
                <w:b/>
                <w:bCs/>
                <w:color w:val="auto"/>
                <w:sz w:val="20"/>
                <w:szCs w:val="20"/>
                <w:highlight w:val="none"/>
                <w:u w:val="single"/>
                <w:lang w:val="en-US" w:eastAsia="zh-CN"/>
              </w:rPr>
              <w:t>甲醇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78" w:type="pct"/>
            <w:tcBorders>
              <w:tl2br w:val="nil"/>
              <w:tr2bl w:val="nil"/>
            </w:tcBorders>
            <w:noWrap w:val="0"/>
            <w:vAlign w:val="center"/>
          </w:tcPr>
          <w:p>
            <w:pPr>
              <w:jc w:val="center"/>
              <w:rPr>
                <w:rFonts w:ascii="Times New Roman" w:hAnsi="Times New Roman" w:cs="Times New Roman"/>
                <w:color w:val="auto"/>
                <w:sz w:val="20"/>
                <w:szCs w:val="20"/>
                <w:highlight w:val="none"/>
                <w:u w:val="single"/>
              </w:rPr>
            </w:pPr>
            <w:r>
              <w:rPr>
                <w:rFonts w:ascii="Times New Roman" w:hAnsi="Times New Roman" w:cs="Times New Roman"/>
                <w:color w:val="auto"/>
                <w:sz w:val="20"/>
                <w:szCs w:val="20"/>
                <w:highlight w:val="none"/>
                <w:u w:val="single"/>
              </w:rPr>
              <w:t>1</w:t>
            </w:r>
          </w:p>
        </w:tc>
        <w:tc>
          <w:tcPr>
            <w:tcW w:w="714" w:type="pct"/>
            <w:tcBorders>
              <w:tl2br w:val="nil"/>
              <w:tr2bl w:val="nil"/>
            </w:tcBorders>
            <w:noWrap w:val="0"/>
            <w:vAlign w:val="center"/>
          </w:tcPr>
          <w:p>
            <w:pPr>
              <w:jc w:val="center"/>
              <w:rPr>
                <w:rFonts w:ascii="Times New Roman" w:hAnsi="Times New Roman" w:cs="Times New Roman"/>
                <w:color w:val="auto"/>
                <w:sz w:val="20"/>
                <w:szCs w:val="20"/>
                <w:highlight w:val="none"/>
                <w:u w:val="single"/>
              </w:rPr>
            </w:pPr>
            <w:r>
              <w:rPr>
                <w:rFonts w:hint="eastAsia" w:ascii="Times New Roman" w:hAnsi="Times New Roman" w:cs="Times New Roman"/>
                <w:color w:val="auto"/>
                <w:sz w:val="20"/>
                <w:szCs w:val="20"/>
                <w:highlight w:val="none"/>
                <w:u w:val="single"/>
                <w:lang w:val="en-US" w:eastAsia="zh-CN"/>
              </w:rPr>
              <w:t>装置</w:t>
            </w:r>
            <w:r>
              <w:rPr>
                <w:rFonts w:hint="eastAsia" w:ascii="Times New Roman" w:hAnsi="Times New Roman" w:cs="Times New Roman"/>
                <w:color w:val="auto"/>
                <w:sz w:val="20"/>
                <w:szCs w:val="20"/>
                <w:highlight w:val="none"/>
                <w:u w:val="single"/>
              </w:rPr>
              <w:t>无组织废气</w:t>
            </w:r>
          </w:p>
        </w:tc>
        <w:tc>
          <w:tcPr>
            <w:tcW w:w="274" w:type="pct"/>
            <w:tcBorders>
              <w:tl2br w:val="nil"/>
              <w:tr2bl w:val="nil"/>
            </w:tcBorders>
            <w:noWrap w:val="0"/>
            <w:vAlign w:val="center"/>
          </w:tcPr>
          <w:p>
            <w:pPr>
              <w:jc w:val="center"/>
              <w:rPr>
                <w:rFonts w:hint="default" w:ascii="Times New Roman" w:hAnsi="Times New Roman" w:eastAsia="宋体"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18</w:t>
            </w:r>
          </w:p>
        </w:tc>
        <w:tc>
          <w:tcPr>
            <w:tcW w:w="274" w:type="pct"/>
            <w:tcBorders>
              <w:tl2br w:val="nil"/>
              <w:tr2bl w:val="nil"/>
            </w:tcBorders>
            <w:noWrap w:val="0"/>
            <w:vAlign w:val="center"/>
          </w:tcPr>
          <w:p>
            <w:pPr>
              <w:jc w:val="center"/>
              <w:rPr>
                <w:rFonts w:hint="default" w:ascii="Times New Roman" w:hAnsi="Times New Roman" w:eastAsia="宋体"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105</w:t>
            </w:r>
          </w:p>
        </w:tc>
        <w:tc>
          <w:tcPr>
            <w:tcW w:w="384" w:type="pct"/>
            <w:tcBorders>
              <w:tl2br w:val="nil"/>
              <w:tr2bl w:val="nil"/>
            </w:tcBorders>
            <w:noWrap w:val="0"/>
            <w:vAlign w:val="center"/>
          </w:tcPr>
          <w:p>
            <w:pPr>
              <w:jc w:val="center"/>
              <w:rPr>
                <w:rFonts w:hint="default" w:ascii="Times New Roman" w:hAnsi="Times New Roman" w:eastAsia="宋体"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35</w:t>
            </w:r>
          </w:p>
        </w:tc>
        <w:tc>
          <w:tcPr>
            <w:tcW w:w="438" w:type="pct"/>
            <w:tcBorders>
              <w:tl2br w:val="nil"/>
              <w:tr2bl w:val="nil"/>
            </w:tcBorders>
            <w:noWrap w:val="0"/>
            <w:vAlign w:val="center"/>
          </w:tcPr>
          <w:p>
            <w:pPr>
              <w:jc w:val="center"/>
              <w:rPr>
                <w:rFonts w:hint="default" w:ascii="Times New Roman" w:hAnsi="Times New Roman" w:eastAsia="宋体"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20</w:t>
            </w:r>
          </w:p>
        </w:tc>
        <w:tc>
          <w:tcPr>
            <w:tcW w:w="384" w:type="pct"/>
            <w:tcBorders>
              <w:tl2br w:val="nil"/>
              <w:tr2bl w:val="nil"/>
            </w:tcBorders>
            <w:noWrap w:val="0"/>
            <w:vAlign w:val="center"/>
          </w:tcPr>
          <w:p>
            <w:pPr>
              <w:jc w:val="center"/>
              <w:rPr>
                <w:rFonts w:hint="default" w:ascii="Times New Roman" w:hAnsi="Times New Roman" w:eastAsia="宋体"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30</w:t>
            </w:r>
          </w:p>
        </w:tc>
        <w:tc>
          <w:tcPr>
            <w:tcW w:w="328" w:type="pct"/>
            <w:tcBorders>
              <w:tl2br w:val="nil"/>
              <w:tr2bl w:val="nil"/>
            </w:tcBorders>
            <w:noWrap w:val="0"/>
            <w:vAlign w:val="center"/>
          </w:tcPr>
          <w:p>
            <w:pPr>
              <w:jc w:val="center"/>
              <w:rPr>
                <w:rFonts w:hint="eastAsia" w:ascii="Times New Roman" w:hAnsi="Times New Roman" w:eastAsia="宋体" w:cs="Times New Roman"/>
                <w:color w:val="auto"/>
                <w:sz w:val="20"/>
                <w:szCs w:val="20"/>
                <w:highlight w:val="none"/>
                <w:u w:val="single"/>
                <w:lang w:eastAsia="zh-CN"/>
              </w:rPr>
            </w:pPr>
            <w:r>
              <w:rPr>
                <w:rFonts w:ascii="Times New Roman" w:hAnsi="Times New Roman" w:cs="Times New Roman"/>
                <w:color w:val="auto"/>
                <w:sz w:val="20"/>
                <w:szCs w:val="20"/>
                <w:highlight w:val="none"/>
                <w:u w:val="single"/>
              </w:rPr>
              <w:t>-</w:t>
            </w:r>
            <w:r>
              <w:rPr>
                <w:rFonts w:hint="eastAsia" w:ascii="Times New Roman" w:hAnsi="Times New Roman" w:cs="Times New Roman"/>
                <w:color w:val="auto"/>
                <w:sz w:val="20"/>
                <w:szCs w:val="20"/>
                <w:highlight w:val="none"/>
                <w:u w:val="single"/>
                <w:lang w:val="en-US" w:eastAsia="zh-CN"/>
              </w:rPr>
              <w:t>1</w:t>
            </w:r>
          </w:p>
        </w:tc>
        <w:tc>
          <w:tcPr>
            <w:tcW w:w="438" w:type="pct"/>
            <w:tcBorders>
              <w:tl2br w:val="nil"/>
              <w:tr2bl w:val="nil"/>
            </w:tcBorders>
            <w:noWrap w:val="0"/>
            <w:vAlign w:val="center"/>
          </w:tcPr>
          <w:p>
            <w:pPr>
              <w:jc w:val="center"/>
              <w:rPr>
                <w:rFonts w:hint="eastAsia" w:ascii="Times New Roman" w:hAnsi="Times New Roman" w:eastAsia="宋体" w:cs="Times New Roman"/>
                <w:color w:val="auto"/>
                <w:sz w:val="20"/>
                <w:szCs w:val="20"/>
                <w:highlight w:val="none"/>
                <w:u w:val="single"/>
                <w:lang w:eastAsia="zh-CN"/>
              </w:rPr>
            </w:pPr>
            <w:r>
              <w:rPr>
                <w:rFonts w:hint="eastAsia" w:ascii="Times New Roman" w:hAnsi="Times New Roman" w:cs="Times New Roman"/>
                <w:color w:val="auto"/>
                <w:sz w:val="20"/>
                <w:szCs w:val="20"/>
                <w:highlight w:val="none"/>
                <w:u w:val="single"/>
                <w:lang w:val="en-US" w:eastAsia="zh-CN"/>
              </w:rPr>
              <w:t>5</w:t>
            </w:r>
          </w:p>
        </w:tc>
        <w:tc>
          <w:tcPr>
            <w:tcW w:w="329" w:type="pct"/>
            <w:tcBorders>
              <w:tl2br w:val="nil"/>
              <w:tr2bl w:val="nil"/>
            </w:tcBorders>
            <w:noWrap w:val="0"/>
            <w:vAlign w:val="center"/>
          </w:tcPr>
          <w:p>
            <w:pPr>
              <w:jc w:val="center"/>
              <w:rPr>
                <w:rFonts w:hint="default" w:ascii="Times New Roman" w:hAnsi="Times New Roman" w:eastAsia="宋体" w:cs="Times New Roman"/>
                <w:color w:val="auto"/>
                <w:sz w:val="20"/>
                <w:szCs w:val="20"/>
                <w:highlight w:val="none"/>
                <w:u w:val="single"/>
                <w:lang w:val="en-US" w:eastAsia="zh-CN"/>
              </w:rPr>
            </w:pPr>
            <w:r>
              <w:rPr>
                <w:rFonts w:hint="eastAsia" w:ascii="Times New Roman" w:hAnsi="Times New Roman" w:cs="Times New Roman"/>
                <w:color w:val="auto"/>
                <w:sz w:val="20"/>
                <w:szCs w:val="20"/>
                <w:highlight w:val="none"/>
                <w:u w:val="single"/>
                <w:lang w:val="en-US" w:eastAsia="zh-CN"/>
              </w:rPr>
              <w:t>7920</w:t>
            </w:r>
          </w:p>
        </w:tc>
        <w:tc>
          <w:tcPr>
            <w:tcW w:w="328" w:type="pct"/>
            <w:tcBorders>
              <w:tl2br w:val="nil"/>
              <w:tr2bl w:val="nil"/>
            </w:tcBorders>
            <w:noWrap w:val="0"/>
            <w:vAlign w:val="center"/>
          </w:tcPr>
          <w:p>
            <w:pPr>
              <w:ind w:left="-105" w:leftChars="-50" w:right="-105" w:rightChars="-50"/>
              <w:jc w:val="center"/>
              <w:rPr>
                <w:rFonts w:ascii="Times New Roman" w:hAnsi="Times New Roman" w:cs="Times New Roman"/>
                <w:color w:val="auto"/>
                <w:sz w:val="20"/>
                <w:szCs w:val="20"/>
                <w:highlight w:val="none"/>
                <w:u w:val="single"/>
              </w:rPr>
            </w:pPr>
            <w:r>
              <w:rPr>
                <w:rFonts w:ascii="Times New Roman" w:hAnsi="Times New Roman" w:cs="Times New Roman"/>
                <w:color w:val="auto"/>
                <w:sz w:val="20"/>
                <w:szCs w:val="20"/>
                <w:highlight w:val="none"/>
                <w:u w:val="single"/>
              </w:rPr>
              <w:t>正常排放</w:t>
            </w:r>
          </w:p>
        </w:tc>
        <w:tc>
          <w:tcPr>
            <w:tcW w:w="494" w:type="pct"/>
            <w:tcBorders>
              <w:tl2br w:val="nil"/>
              <w:tr2bl w:val="nil"/>
            </w:tcBorders>
            <w:noWrap w:val="0"/>
            <w:vAlign w:val="center"/>
          </w:tcPr>
          <w:p>
            <w:pPr>
              <w:widowControl/>
              <w:jc w:val="center"/>
              <w:rPr>
                <w:rFonts w:ascii="Times New Roman" w:hAnsi="Times New Roman" w:eastAsia="等线" w:cs="Times New Roman"/>
                <w:color w:val="auto"/>
                <w:kern w:val="0"/>
                <w:sz w:val="20"/>
                <w:szCs w:val="20"/>
                <w:highlight w:val="none"/>
                <w:u w:val="single"/>
              </w:rPr>
            </w:pPr>
            <w:r>
              <w:rPr>
                <w:rFonts w:ascii="Times New Roman" w:hAnsi="Times New Roman" w:eastAsia="等线" w:cs="Times New Roman"/>
                <w:color w:val="auto"/>
                <w:kern w:val="0"/>
                <w:sz w:val="20"/>
                <w:szCs w:val="20"/>
                <w:highlight w:val="none"/>
                <w:u w:val="single"/>
              </w:rPr>
              <w:t>0.93</w:t>
            </w:r>
          </w:p>
        </w:tc>
        <w:tc>
          <w:tcPr>
            <w:tcW w:w="330" w:type="pct"/>
            <w:tcBorders>
              <w:tl2br w:val="nil"/>
              <w:tr2bl w:val="nil"/>
            </w:tcBorders>
            <w:noWrap w:val="0"/>
            <w:vAlign w:val="center"/>
          </w:tcPr>
          <w:p>
            <w:pPr>
              <w:widowControl/>
              <w:jc w:val="center"/>
              <w:rPr>
                <w:rFonts w:ascii="Times New Roman" w:hAnsi="Times New Roman" w:eastAsia="等线" w:cs="Times New Roman"/>
                <w:color w:val="auto"/>
                <w:kern w:val="0"/>
                <w:sz w:val="20"/>
                <w:szCs w:val="20"/>
                <w:highlight w:val="none"/>
                <w:u w:val="single"/>
              </w:rPr>
            </w:pPr>
            <w:r>
              <w:rPr>
                <w:rFonts w:hint="eastAsia" w:ascii="Times New Roman" w:hAnsi="Times New Roman" w:eastAsia="等线" w:cs="Times New Roman"/>
                <w:color w:val="auto"/>
                <w:kern w:val="0"/>
                <w:sz w:val="20"/>
                <w:szCs w:val="20"/>
                <w:highlight w:val="none"/>
                <w:u w:val="single"/>
              </w:rPr>
              <w:t>0</w:t>
            </w:r>
            <w:r>
              <w:rPr>
                <w:rFonts w:ascii="Times New Roman" w:hAnsi="Times New Roman" w:eastAsia="等线" w:cs="Times New Roman"/>
                <w:color w:val="auto"/>
                <w:kern w:val="0"/>
                <w:sz w:val="20"/>
                <w:szCs w:val="20"/>
                <w:highlight w:val="none"/>
                <w:u w:val="single"/>
              </w:rPr>
              <w:t>.002</w:t>
            </w:r>
          </w:p>
        </w:tc>
      </w:tr>
    </w:tbl>
    <w:p>
      <w:pPr>
        <w:pStyle w:val="36"/>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表7.1-15  项目“以新带老”取代点源参数表</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1"/>
        <w:gridCol w:w="919"/>
        <w:gridCol w:w="857"/>
        <w:gridCol w:w="1127"/>
        <w:gridCol w:w="1221"/>
        <w:gridCol w:w="1024"/>
        <w:gridCol w:w="1400"/>
        <w:gridCol w:w="1275"/>
        <w:gridCol w:w="1024"/>
        <w:gridCol w:w="1024"/>
        <w:gridCol w:w="936"/>
        <w:gridCol w:w="1411"/>
        <w:gridCol w:w="14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9" w:hRule="atLeast"/>
          <w:jc w:val="center"/>
        </w:trPr>
        <w:tc>
          <w:tcPr>
            <w:tcW w:w="204" w:type="pct"/>
            <w:vMerge w:val="restar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编号</w:t>
            </w:r>
          </w:p>
        </w:tc>
        <w:tc>
          <w:tcPr>
            <w:tcW w:w="323" w:type="pct"/>
            <w:vMerge w:val="restar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名称</w:t>
            </w:r>
          </w:p>
        </w:tc>
        <w:tc>
          <w:tcPr>
            <w:tcW w:w="697" w:type="pct"/>
            <w:gridSpan w:val="2"/>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排气筒底部中心坐标 /m</w:t>
            </w:r>
          </w:p>
        </w:tc>
        <w:tc>
          <w:tcPr>
            <w:tcW w:w="429" w:type="pct"/>
            <w:vMerge w:val="restar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排气筒底部海拔高度/m</w:t>
            </w:r>
          </w:p>
        </w:tc>
        <w:tc>
          <w:tcPr>
            <w:tcW w:w="360" w:type="pct"/>
            <w:vMerge w:val="restar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排气筒高度/m</w:t>
            </w:r>
          </w:p>
        </w:tc>
        <w:tc>
          <w:tcPr>
            <w:tcW w:w="492" w:type="pct"/>
            <w:vMerge w:val="restar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排气筒出口内径/m</w:t>
            </w:r>
          </w:p>
        </w:tc>
        <w:tc>
          <w:tcPr>
            <w:tcW w:w="448" w:type="pct"/>
            <w:vMerge w:val="restar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烟气流速/（m</w:t>
            </w:r>
            <w:r>
              <w:rPr>
                <w:rFonts w:ascii="Times New Roman" w:hAnsi="Times New Roman" w:cs="Times New Roman"/>
                <w:b/>
                <w:color w:val="auto"/>
                <w:sz w:val="20"/>
                <w:szCs w:val="20"/>
                <w:highlight w:val="none"/>
                <w:vertAlign w:val="superscript"/>
              </w:rPr>
              <w:t>3</w:t>
            </w:r>
            <w:r>
              <w:rPr>
                <w:rFonts w:ascii="Times New Roman" w:hAnsi="Times New Roman" w:cs="Times New Roman"/>
                <w:b/>
                <w:color w:val="auto"/>
                <w:sz w:val="20"/>
                <w:szCs w:val="20"/>
                <w:highlight w:val="none"/>
              </w:rPr>
              <w:t>/h）</w:t>
            </w:r>
          </w:p>
        </w:tc>
        <w:tc>
          <w:tcPr>
            <w:tcW w:w="360" w:type="pct"/>
            <w:vMerge w:val="restar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烟气温度/</w:t>
            </w:r>
            <w:r>
              <w:rPr>
                <w:rFonts w:hint="eastAsia" w:ascii="Times New Roman" w:hAnsi="Times New Roman" w:cs="Times New Roman"/>
                <w:b/>
                <w:color w:val="auto"/>
                <w:sz w:val="20"/>
                <w:szCs w:val="20"/>
                <w:highlight w:val="none"/>
              </w:rPr>
              <w:t>℃</w:t>
            </w:r>
          </w:p>
        </w:tc>
        <w:tc>
          <w:tcPr>
            <w:tcW w:w="360" w:type="pct"/>
            <w:vMerge w:val="restar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年排放小时数/h</w:t>
            </w:r>
          </w:p>
        </w:tc>
        <w:tc>
          <w:tcPr>
            <w:tcW w:w="329" w:type="pct"/>
            <w:vMerge w:val="restar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排放工况</w:t>
            </w:r>
          </w:p>
        </w:tc>
        <w:tc>
          <w:tcPr>
            <w:tcW w:w="992" w:type="pct"/>
            <w:gridSpan w:val="2"/>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污染物排放速率/(kg/h)</w:t>
            </w:r>
          </w:p>
        </w:tc>
      </w:tr>
      <w:tr>
        <w:trPr>
          <w:trHeight w:val="369" w:hRule="atLeast"/>
          <w:jc w:val="center"/>
        </w:trPr>
        <w:tc>
          <w:tcPr>
            <w:tcW w:w="204" w:type="pct"/>
            <w:vMerge w:val="continue"/>
            <w:shd w:val="clear" w:color="auto" w:fill="auto"/>
            <w:noWrap w:val="0"/>
            <w:vAlign w:val="center"/>
          </w:tcPr>
          <w:p>
            <w:pPr>
              <w:jc w:val="center"/>
              <w:rPr>
                <w:rFonts w:ascii="Times New Roman" w:hAnsi="Times New Roman" w:cs="Times New Roman"/>
                <w:b/>
                <w:color w:val="auto"/>
                <w:sz w:val="20"/>
                <w:szCs w:val="20"/>
                <w:highlight w:val="none"/>
              </w:rPr>
            </w:pPr>
          </w:p>
        </w:tc>
        <w:tc>
          <w:tcPr>
            <w:tcW w:w="323" w:type="pct"/>
            <w:vMerge w:val="continue"/>
            <w:shd w:val="clear" w:color="auto" w:fill="auto"/>
            <w:noWrap w:val="0"/>
            <w:vAlign w:val="center"/>
          </w:tcPr>
          <w:p>
            <w:pPr>
              <w:jc w:val="center"/>
              <w:rPr>
                <w:rFonts w:ascii="Times New Roman" w:hAnsi="Times New Roman" w:cs="Times New Roman"/>
                <w:b/>
                <w:color w:val="auto"/>
                <w:sz w:val="20"/>
                <w:szCs w:val="20"/>
                <w:highlight w:val="none"/>
              </w:rPr>
            </w:pPr>
          </w:p>
        </w:tc>
        <w:tc>
          <w:tcPr>
            <w:tcW w:w="301" w:type="pc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X</w:t>
            </w:r>
          </w:p>
        </w:tc>
        <w:tc>
          <w:tcPr>
            <w:tcW w:w="396" w:type="pc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Y</w:t>
            </w:r>
          </w:p>
        </w:tc>
        <w:tc>
          <w:tcPr>
            <w:tcW w:w="429" w:type="pct"/>
            <w:vMerge w:val="continue"/>
            <w:shd w:val="clear" w:color="auto" w:fill="auto"/>
            <w:noWrap w:val="0"/>
            <w:vAlign w:val="center"/>
          </w:tcPr>
          <w:p>
            <w:pPr>
              <w:jc w:val="center"/>
              <w:rPr>
                <w:rFonts w:ascii="Times New Roman" w:hAnsi="Times New Roman" w:cs="Times New Roman"/>
                <w:b/>
                <w:color w:val="auto"/>
                <w:sz w:val="20"/>
                <w:szCs w:val="20"/>
                <w:highlight w:val="none"/>
              </w:rPr>
            </w:pPr>
          </w:p>
        </w:tc>
        <w:tc>
          <w:tcPr>
            <w:tcW w:w="360" w:type="pct"/>
            <w:vMerge w:val="continue"/>
            <w:shd w:val="clear" w:color="auto" w:fill="auto"/>
            <w:noWrap w:val="0"/>
            <w:vAlign w:val="center"/>
          </w:tcPr>
          <w:p>
            <w:pPr>
              <w:jc w:val="center"/>
              <w:rPr>
                <w:rFonts w:ascii="Times New Roman" w:hAnsi="Times New Roman" w:cs="Times New Roman"/>
                <w:b/>
                <w:color w:val="auto"/>
                <w:sz w:val="20"/>
                <w:szCs w:val="20"/>
                <w:highlight w:val="none"/>
              </w:rPr>
            </w:pPr>
          </w:p>
        </w:tc>
        <w:tc>
          <w:tcPr>
            <w:tcW w:w="492" w:type="pct"/>
            <w:vMerge w:val="continue"/>
            <w:shd w:val="clear" w:color="auto" w:fill="auto"/>
            <w:noWrap w:val="0"/>
            <w:vAlign w:val="center"/>
          </w:tcPr>
          <w:p>
            <w:pPr>
              <w:jc w:val="center"/>
              <w:rPr>
                <w:rFonts w:ascii="Times New Roman" w:hAnsi="Times New Roman" w:cs="Times New Roman"/>
                <w:b/>
                <w:color w:val="auto"/>
                <w:sz w:val="20"/>
                <w:szCs w:val="20"/>
                <w:highlight w:val="none"/>
              </w:rPr>
            </w:pPr>
          </w:p>
        </w:tc>
        <w:tc>
          <w:tcPr>
            <w:tcW w:w="448" w:type="pct"/>
            <w:vMerge w:val="continue"/>
            <w:shd w:val="clear" w:color="auto" w:fill="auto"/>
            <w:noWrap w:val="0"/>
            <w:vAlign w:val="center"/>
          </w:tcPr>
          <w:p>
            <w:pPr>
              <w:jc w:val="center"/>
              <w:rPr>
                <w:rFonts w:ascii="Times New Roman" w:hAnsi="Times New Roman" w:cs="Times New Roman"/>
                <w:b/>
                <w:color w:val="auto"/>
                <w:sz w:val="20"/>
                <w:szCs w:val="20"/>
                <w:highlight w:val="none"/>
              </w:rPr>
            </w:pPr>
          </w:p>
        </w:tc>
        <w:tc>
          <w:tcPr>
            <w:tcW w:w="360" w:type="pct"/>
            <w:vMerge w:val="continue"/>
            <w:shd w:val="clear" w:color="auto" w:fill="auto"/>
            <w:noWrap w:val="0"/>
            <w:vAlign w:val="center"/>
          </w:tcPr>
          <w:p>
            <w:pPr>
              <w:jc w:val="center"/>
              <w:rPr>
                <w:rFonts w:ascii="Times New Roman" w:hAnsi="Times New Roman" w:cs="Times New Roman"/>
                <w:b/>
                <w:color w:val="auto"/>
                <w:sz w:val="20"/>
                <w:szCs w:val="20"/>
                <w:highlight w:val="none"/>
              </w:rPr>
            </w:pPr>
          </w:p>
        </w:tc>
        <w:tc>
          <w:tcPr>
            <w:tcW w:w="360" w:type="pct"/>
            <w:vMerge w:val="continue"/>
            <w:shd w:val="clear" w:color="auto" w:fill="auto"/>
            <w:noWrap w:val="0"/>
            <w:vAlign w:val="center"/>
          </w:tcPr>
          <w:p>
            <w:pPr>
              <w:jc w:val="center"/>
              <w:rPr>
                <w:rFonts w:ascii="Times New Roman" w:hAnsi="Times New Roman" w:cs="Times New Roman"/>
                <w:b/>
                <w:color w:val="auto"/>
                <w:sz w:val="20"/>
                <w:szCs w:val="20"/>
                <w:highlight w:val="none"/>
              </w:rPr>
            </w:pPr>
          </w:p>
        </w:tc>
        <w:tc>
          <w:tcPr>
            <w:tcW w:w="329" w:type="pct"/>
            <w:vMerge w:val="continue"/>
            <w:shd w:val="clear" w:color="auto" w:fill="auto"/>
            <w:noWrap w:val="0"/>
            <w:vAlign w:val="center"/>
          </w:tcPr>
          <w:p>
            <w:pPr>
              <w:jc w:val="center"/>
              <w:rPr>
                <w:rFonts w:ascii="Times New Roman" w:hAnsi="Times New Roman" w:cs="Times New Roman"/>
                <w:b/>
                <w:color w:val="auto"/>
                <w:sz w:val="20"/>
                <w:szCs w:val="20"/>
                <w:highlight w:val="none"/>
              </w:rPr>
            </w:pPr>
          </w:p>
        </w:tc>
        <w:tc>
          <w:tcPr>
            <w:tcW w:w="496" w:type="pc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VOCs</w:t>
            </w:r>
          </w:p>
        </w:tc>
        <w:tc>
          <w:tcPr>
            <w:tcW w:w="496" w:type="pc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甲醇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0" w:hRule="atLeast"/>
          <w:jc w:val="center"/>
        </w:trPr>
        <w:tc>
          <w:tcPr>
            <w:tcW w:w="204" w:type="pc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1</w:t>
            </w:r>
          </w:p>
        </w:tc>
        <w:tc>
          <w:tcPr>
            <w:tcW w:w="323" w:type="pc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P1</w:t>
            </w:r>
            <w:r>
              <w:rPr>
                <w:rFonts w:hint="eastAsia" w:ascii="Times New Roman" w:hAnsi="Times New Roman" w:cs="Times New Roman"/>
                <w:b/>
                <w:color w:val="auto"/>
                <w:sz w:val="20"/>
                <w:szCs w:val="20"/>
                <w:highlight w:val="none"/>
                <w:lang w:val="en-US" w:eastAsia="zh-CN"/>
              </w:rPr>
              <w:t>工艺</w:t>
            </w:r>
            <w:r>
              <w:rPr>
                <w:rFonts w:ascii="Times New Roman" w:hAnsi="Times New Roman" w:cs="Times New Roman"/>
                <w:b/>
                <w:color w:val="auto"/>
                <w:sz w:val="20"/>
                <w:szCs w:val="20"/>
                <w:highlight w:val="none"/>
              </w:rPr>
              <w:t>排气筒</w:t>
            </w:r>
          </w:p>
        </w:tc>
        <w:tc>
          <w:tcPr>
            <w:tcW w:w="301" w:type="pc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115</w:t>
            </w:r>
          </w:p>
        </w:tc>
        <w:tc>
          <w:tcPr>
            <w:tcW w:w="396" w:type="pc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78</w:t>
            </w:r>
          </w:p>
        </w:tc>
        <w:tc>
          <w:tcPr>
            <w:tcW w:w="429" w:type="pc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48</w:t>
            </w:r>
          </w:p>
        </w:tc>
        <w:tc>
          <w:tcPr>
            <w:tcW w:w="360" w:type="pc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15</w:t>
            </w:r>
          </w:p>
        </w:tc>
        <w:tc>
          <w:tcPr>
            <w:tcW w:w="492" w:type="pc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0.3</w:t>
            </w:r>
          </w:p>
        </w:tc>
        <w:tc>
          <w:tcPr>
            <w:tcW w:w="448" w:type="pct"/>
            <w:shd w:val="clear" w:color="000000" w:fill="FFFFFF"/>
            <w:noWrap w:val="0"/>
            <w:vAlign w:val="center"/>
          </w:tcPr>
          <w:p>
            <w:pPr>
              <w:jc w:val="center"/>
              <w:rPr>
                <w:rFonts w:hint="default" w:ascii="Times New Roman" w:hAnsi="Times New Roman" w:eastAsia="宋体" w:cs="Times New Roman"/>
                <w:b/>
                <w:color w:val="auto"/>
                <w:sz w:val="20"/>
                <w:szCs w:val="20"/>
                <w:highlight w:val="none"/>
                <w:lang w:val="en-US" w:eastAsia="zh-CN"/>
              </w:rPr>
            </w:pPr>
            <w:r>
              <w:rPr>
                <w:rFonts w:hint="eastAsia" w:ascii="Times New Roman" w:hAnsi="Times New Roman" w:cs="Times New Roman"/>
                <w:b/>
                <w:color w:val="auto"/>
                <w:sz w:val="20"/>
                <w:szCs w:val="20"/>
                <w:highlight w:val="none"/>
                <w:lang w:val="en-US" w:eastAsia="zh-CN"/>
              </w:rPr>
              <w:t>2000</w:t>
            </w:r>
          </w:p>
        </w:tc>
        <w:tc>
          <w:tcPr>
            <w:tcW w:w="360" w:type="pc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25</w:t>
            </w:r>
          </w:p>
        </w:tc>
        <w:tc>
          <w:tcPr>
            <w:tcW w:w="360" w:type="pct"/>
            <w:shd w:val="clear" w:color="000000" w:fill="FFFFFF"/>
            <w:noWrap w:val="0"/>
            <w:vAlign w:val="center"/>
          </w:tcPr>
          <w:p>
            <w:pPr>
              <w:jc w:val="center"/>
              <w:rPr>
                <w:rFonts w:hint="default" w:ascii="Times New Roman" w:hAnsi="Times New Roman" w:eastAsia="宋体" w:cs="Times New Roman"/>
                <w:b/>
                <w:color w:val="auto"/>
                <w:sz w:val="20"/>
                <w:szCs w:val="20"/>
                <w:highlight w:val="none"/>
                <w:lang w:val="en-US" w:eastAsia="zh-CN"/>
              </w:rPr>
            </w:pPr>
            <w:r>
              <w:rPr>
                <w:rFonts w:hint="eastAsia" w:ascii="Times New Roman" w:hAnsi="Times New Roman" w:cs="Times New Roman"/>
                <w:b/>
                <w:color w:val="auto"/>
                <w:sz w:val="20"/>
                <w:szCs w:val="20"/>
                <w:highlight w:val="none"/>
                <w:lang w:val="en-US" w:eastAsia="zh-CN"/>
              </w:rPr>
              <w:t>7920</w:t>
            </w:r>
          </w:p>
        </w:tc>
        <w:tc>
          <w:tcPr>
            <w:tcW w:w="329" w:type="pct"/>
            <w:shd w:val="clear" w:color="000000" w:fill="FFFFFF"/>
            <w:noWrap w:val="0"/>
            <w:vAlign w:val="center"/>
          </w:tcPr>
          <w:p>
            <w:pPr>
              <w:jc w:val="center"/>
              <w:rPr>
                <w:rFonts w:ascii="Times New Roman" w:hAnsi="Times New Roman" w:cs="Times New Roman"/>
                <w:b/>
                <w:color w:val="auto"/>
                <w:sz w:val="20"/>
                <w:szCs w:val="20"/>
                <w:highlight w:val="none"/>
              </w:rPr>
            </w:pPr>
            <w:r>
              <w:rPr>
                <w:rFonts w:ascii="Times New Roman" w:hAnsi="Times New Roman" w:cs="Times New Roman"/>
                <w:b/>
                <w:color w:val="auto"/>
                <w:sz w:val="20"/>
                <w:szCs w:val="20"/>
                <w:highlight w:val="none"/>
              </w:rPr>
              <w:t>正常工况</w:t>
            </w:r>
          </w:p>
        </w:tc>
        <w:tc>
          <w:tcPr>
            <w:tcW w:w="496" w:type="pct"/>
            <w:shd w:val="clear" w:color="000000" w:fill="FFFFFF"/>
            <w:noWrap w:val="0"/>
            <w:vAlign w:val="center"/>
          </w:tcPr>
          <w:p>
            <w:pPr>
              <w:jc w:val="center"/>
              <w:rPr>
                <w:rFonts w:hint="default" w:ascii="Times New Roman" w:hAnsi="Times New Roman" w:eastAsia="宋体" w:cs="Times New Roman"/>
                <w:b/>
                <w:color w:val="auto"/>
                <w:sz w:val="20"/>
                <w:szCs w:val="20"/>
                <w:highlight w:val="none"/>
                <w:lang w:val="en-US" w:eastAsia="zh-CN"/>
              </w:rPr>
            </w:pPr>
            <w:r>
              <w:rPr>
                <w:rFonts w:hint="eastAsia" w:ascii="Times New Roman" w:hAnsi="Times New Roman" w:cs="Times New Roman"/>
                <w:b/>
                <w:color w:val="auto"/>
                <w:sz w:val="20"/>
                <w:szCs w:val="20"/>
                <w:highlight w:val="none"/>
                <w:lang w:val="en-US" w:eastAsia="zh-CN"/>
              </w:rPr>
              <w:t>0.024</w:t>
            </w:r>
          </w:p>
        </w:tc>
        <w:tc>
          <w:tcPr>
            <w:tcW w:w="496" w:type="pct"/>
            <w:shd w:val="clear" w:color="000000" w:fill="FFFFFF"/>
            <w:noWrap w:val="0"/>
            <w:vAlign w:val="center"/>
          </w:tcPr>
          <w:p>
            <w:pPr>
              <w:jc w:val="center"/>
              <w:rPr>
                <w:rFonts w:hint="eastAsia" w:ascii="Times New Roman" w:hAnsi="Times New Roman" w:eastAsia="宋体" w:cs="Times New Roman"/>
                <w:b/>
                <w:color w:val="auto"/>
                <w:sz w:val="20"/>
                <w:szCs w:val="20"/>
                <w:highlight w:val="none"/>
                <w:lang w:eastAsia="zh-CN"/>
              </w:rPr>
            </w:pPr>
            <w:r>
              <w:rPr>
                <w:rFonts w:hint="eastAsia" w:ascii="Times New Roman" w:hAnsi="Times New Roman" w:cs="Times New Roman"/>
                <w:b/>
                <w:color w:val="auto"/>
                <w:sz w:val="20"/>
                <w:szCs w:val="20"/>
                <w:highlight w:val="none"/>
                <w:lang w:val="en-US" w:eastAsia="zh-CN"/>
              </w:rPr>
              <w:t>0</w:t>
            </w:r>
          </w:p>
        </w:tc>
      </w:tr>
    </w:tbl>
    <w:p>
      <w:pPr>
        <w:pStyle w:val="36"/>
        <w:bidi w:val="0"/>
        <w:rPr>
          <w:rFonts w:hint="eastAsia"/>
          <w:color w:val="auto"/>
          <w:lang w:val="en-US" w:eastAsia="zh-CN"/>
        </w:rPr>
      </w:pPr>
      <w:r>
        <w:rPr>
          <w:rFonts w:hint="eastAsia"/>
          <w:color w:val="auto"/>
          <w:lang w:val="en-US" w:eastAsia="zh-CN"/>
        </w:rPr>
        <w:t>表7.1-16评价范围内拟建、在建点源参数表</w:t>
      </w:r>
    </w:p>
    <w:tbl>
      <w:tblPr>
        <w:tblStyle w:val="27"/>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98"/>
        <w:gridCol w:w="984"/>
        <w:gridCol w:w="987"/>
        <w:gridCol w:w="902"/>
        <w:gridCol w:w="1189"/>
        <w:gridCol w:w="930"/>
        <w:gridCol w:w="1089"/>
        <w:gridCol w:w="1018"/>
        <w:gridCol w:w="987"/>
        <w:gridCol w:w="1183"/>
        <w:gridCol w:w="984"/>
        <w:gridCol w:w="1183"/>
        <w:gridCol w:w="1075"/>
      </w:tblGrid>
      <w:tr>
        <w:trPr>
          <w:trHeight w:val="369" w:hRule="atLeast"/>
          <w:jc w:val="center"/>
        </w:trPr>
        <w:tc>
          <w:tcPr>
            <w:tcW w:w="597"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编号</w:t>
            </w:r>
          </w:p>
        </w:tc>
        <w:tc>
          <w:tcPr>
            <w:tcW w:w="346"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排放源</w:t>
            </w:r>
          </w:p>
        </w:tc>
        <w:tc>
          <w:tcPr>
            <w:tcW w:w="664" w:type="pct"/>
            <w:gridSpan w:val="2"/>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排气筒底部中心坐标 /m</w:t>
            </w:r>
          </w:p>
        </w:tc>
        <w:tc>
          <w:tcPr>
            <w:tcW w:w="418"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排气筒底部海拔高度/m</w:t>
            </w:r>
          </w:p>
        </w:tc>
        <w:tc>
          <w:tcPr>
            <w:tcW w:w="327"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排气筒高度/m</w:t>
            </w:r>
          </w:p>
        </w:tc>
        <w:tc>
          <w:tcPr>
            <w:tcW w:w="383"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排气筒出口内径/m</w:t>
            </w:r>
          </w:p>
        </w:tc>
        <w:tc>
          <w:tcPr>
            <w:tcW w:w="358"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烟气流速/（m/s）</w:t>
            </w:r>
          </w:p>
        </w:tc>
        <w:tc>
          <w:tcPr>
            <w:tcW w:w="347"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烟气温度/℃</w:t>
            </w:r>
          </w:p>
        </w:tc>
        <w:tc>
          <w:tcPr>
            <w:tcW w:w="416"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年排放小时数/h</w:t>
            </w:r>
          </w:p>
        </w:tc>
        <w:tc>
          <w:tcPr>
            <w:tcW w:w="346"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排放工况</w:t>
            </w:r>
          </w:p>
        </w:tc>
        <w:tc>
          <w:tcPr>
            <w:tcW w:w="794" w:type="pct"/>
            <w:gridSpan w:val="2"/>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污染物排放速率/(kg/h)</w:t>
            </w:r>
          </w:p>
        </w:tc>
      </w:tr>
      <w:tr>
        <w:trPr>
          <w:trHeight w:val="369" w:hRule="atLeast"/>
          <w:jc w:val="center"/>
        </w:trPr>
        <w:tc>
          <w:tcPr>
            <w:tcW w:w="597" w:type="pct"/>
            <w:vMerge w:val="continue"/>
            <w:noWrap w:val="0"/>
            <w:vAlign w:val="center"/>
          </w:tcPr>
          <w:p>
            <w:pPr>
              <w:jc w:val="center"/>
              <w:rPr>
                <w:rFonts w:hint="default" w:ascii="Times New Roman" w:hAnsi="Times New Roman" w:cs="Times New Roman"/>
                <w:b/>
                <w:color w:val="auto"/>
                <w:szCs w:val="21"/>
              </w:rPr>
            </w:pPr>
          </w:p>
        </w:tc>
        <w:tc>
          <w:tcPr>
            <w:tcW w:w="346" w:type="pct"/>
            <w:vMerge w:val="continue"/>
            <w:noWrap w:val="0"/>
            <w:vAlign w:val="center"/>
          </w:tcPr>
          <w:p>
            <w:pPr>
              <w:jc w:val="center"/>
              <w:rPr>
                <w:rFonts w:hint="default" w:ascii="Times New Roman" w:hAnsi="Times New Roman" w:cs="Times New Roman"/>
                <w:b/>
                <w:color w:val="auto"/>
                <w:szCs w:val="21"/>
              </w:rPr>
            </w:pPr>
          </w:p>
        </w:tc>
        <w:tc>
          <w:tcPr>
            <w:tcW w:w="347" w:type="pct"/>
            <w:noWrap w:val="0"/>
            <w:vAlign w:val="center"/>
          </w:tcPr>
          <w:p>
            <w:pPr>
              <w:jc w:val="center"/>
              <w:rPr>
                <w:rFonts w:hint="default" w:ascii="Times New Roman" w:hAnsi="Times New Roman" w:cs="Times New Roman"/>
                <w:b/>
                <w:i/>
                <w:iCs/>
                <w:color w:val="auto"/>
                <w:szCs w:val="21"/>
              </w:rPr>
            </w:pPr>
            <w:r>
              <w:rPr>
                <w:rFonts w:hint="default" w:ascii="Times New Roman" w:hAnsi="Times New Roman" w:cs="Times New Roman"/>
                <w:b/>
                <w:i/>
                <w:iCs/>
                <w:color w:val="auto"/>
                <w:szCs w:val="21"/>
              </w:rPr>
              <w:t>X</w:t>
            </w:r>
          </w:p>
        </w:tc>
        <w:tc>
          <w:tcPr>
            <w:tcW w:w="317" w:type="pct"/>
            <w:noWrap w:val="0"/>
            <w:vAlign w:val="center"/>
          </w:tcPr>
          <w:p>
            <w:pPr>
              <w:jc w:val="center"/>
              <w:rPr>
                <w:rFonts w:hint="default" w:ascii="Times New Roman" w:hAnsi="Times New Roman" w:cs="Times New Roman"/>
                <w:b/>
                <w:i/>
                <w:iCs/>
                <w:color w:val="auto"/>
                <w:szCs w:val="21"/>
              </w:rPr>
            </w:pPr>
            <w:r>
              <w:rPr>
                <w:rFonts w:hint="default" w:ascii="Times New Roman" w:hAnsi="Times New Roman" w:cs="Times New Roman"/>
                <w:b/>
                <w:i/>
                <w:iCs/>
                <w:color w:val="auto"/>
                <w:szCs w:val="21"/>
              </w:rPr>
              <w:t>Y</w:t>
            </w:r>
          </w:p>
        </w:tc>
        <w:tc>
          <w:tcPr>
            <w:tcW w:w="418" w:type="pct"/>
            <w:vMerge w:val="continue"/>
            <w:noWrap w:val="0"/>
            <w:vAlign w:val="center"/>
          </w:tcPr>
          <w:p>
            <w:pPr>
              <w:jc w:val="center"/>
              <w:rPr>
                <w:rFonts w:hint="default" w:ascii="Times New Roman" w:hAnsi="Times New Roman" w:cs="Times New Roman"/>
                <w:b/>
                <w:color w:val="auto"/>
                <w:szCs w:val="21"/>
              </w:rPr>
            </w:pPr>
          </w:p>
        </w:tc>
        <w:tc>
          <w:tcPr>
            <w:tcW w:w="327" w:type="pct"/>
            <w:vMerge w:val="continue"/>
            <w:noWrap w:val="0"/>
            <w:vAlign w:val="center"/>
          </w:tcPr>
          <w:p>
            <w:pPr>
              <w:jc w:val="center"/>
              <w:rPr>
                <w:rFonts w:hint="default" w:ascii="Times New Roman" w:hAnsi="Times New Roman" w:cs="Times New Roman"/>
                <w:b/>
                <w:color w:val="auto"/>
                <w:szCs w:val="21"/>
              </w:rPr>
            </w:pPr>
          </w:p>
        </w:tc>
        <w:tc>
          <w:tcPr>
            <w:tcW w:w="383" w:type="pct"/>
            <w:vMerge w:val="continue"/>
            <w:noWrap w:val="0"/>
            <w:vAlign w:val="center"/>
          </w:tcPr>
          <w:p>
            <w:pPr>
              <w:jc w:val="center"/>
              <w:rPr>
                <w:rFonts w:hint="default" w:ascii="Times New Roman" w:hAnsi="Times New Roman" w:cs="Times New Roman"/>
                <w:b/>
                <w:color w:val="auto"/>
                <w:szCs w:val="21"/>
              </w:rPr>
            </w:pPr>
          </w:p>
        </w:tc>
        <w:tc>
          <w:tcPr>
            <w:tcW w:w="358" w:type="pct"/>
            <w:vMerge w:val="continue"/>
            <w:noWrap w:val="0"/>
            <w:vAlign w:val="center"/>
          </w:tcPr>
          <w:p>
            <w:pPr>
              <w:jc w:val="center"/>
              <w:rPr>
                <w:rFonts w:hint="default" w:ascii="Times New Roman" w:hAnsi="Times New Roman" w:cs="Times New Roman"/>
                <w:b/>
                <w:color w:val="auto"/>
                <w:szCs w:val="21"/>
              </w:rPr>
            </w:pPr>
          </w:p>
        </w:tc>
        <w:tc>
          <w:tcPr>
            <w:tcW w:w="347" w:type="pct"/>
            <w:vMerge w:val="continue"/>
            <w:noWrap w:val="0"/>
            <w:vAlign w:val="center"/>
          </w:tcPr>
          <w:p>
            <w:pPr>
              <w:jc w:val="center"/>
              <w:rPr>
                <w:rFonts w:hint="default" w:ascii="Times New Roman" w:hAnsi="Times New Roman" w:cs="Times New Roman"/>
                <w:b/>
                <w:color w:val="auto"/>
                <w:szCs w:val="21"/>
              </w:rPr>
            </w:pPr>
          </w:p>
        </w:tc>
        <w:tc>
          <w:tcPr>
            <w:tcW w:w="416" w:type="pct"/>
            <w:vMerge w:val="continue"/>
            <w:noWrap w:val="0"/>
            <w:vAlign w:val="center"/>
          </w:tcPr>
          <w:p>
            <w:pPr>
              <w:jc w:val="center"/>
              <w:rPr>
                <w:rFonts w:hint="default" w:ascii="Times New Roman" w:hAnsi="Times New Roman" w:cs="Times New Roman"/>
                <w:b/>
                <w:color w:val="auto"/>
                <w:szCs w:val="21"/>
              </w:rPr>
            </w:pPr>
          </w:p>
        </w:tc>
        <w:tc>
          <w:tcPr>
            <w:tcW w:w="346" w:type="pct"/>
            <w:vMerge w:val="continue"/>
            <w:noWrap w:val="0"/>
            <w:vAlign w:val="center"/>
          </w:tcPr>
          <w:p>
            <w:pPr>
              <w:jc w:val="center"/>
              <w:rPr>
                <w:rFonts w:hint="default" w:ascii="Times New Roman" w:hAnsi="Times New Roman" w:cs="Times New Roman"/>
                <w:b/>
                <w:color w:val="auto"/>
                <w:szCs w:val="21"/>
              </w:rPr>
            </w:pPr>
          </w:p>
        </w:tc>
        <w:tc>
          <w:tcPr>
            <w:tcW w:w="416" w:type="pc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VOCs</w:t>
            </w:r>
          </w:p>
        </w:tc>
        <w:tc>
          <w:tcPr>
            <w:tcW w:w="378" w:type="pc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甲醇</w:t>
            </w:r>
          </w:p>
        </w:tc>
      </w:tr>
      <w:tr>
        <w:trPr>
          <w:trHeight w:val="369" w:hRule="atLeast"/>
          <w:jc w:val="center"/>
        </w:trPr>
        <w:tc>
          <w:tcPr>
            <w:tcW w:w="597" w:type="pct"/>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1岳阳东方雨虹防水技术有限责任公司</w:t>
            </w:r>
          </w:p>
        </w:tc>
        <w:tc>
          <w:tcPr>
            <w:tcW w:w="346" w:type="pct"/>
            <w:noWrap w:val="0"/>
            <w:vAlign w:val="center"/>
          </w:tcPr>
          <w:p>
            <w:pPr>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1#排气筒</w:t>
            </w:r>
          </w:p>
        </w:tc>
        <w:tc>
          <w:tcPr>
            <w:tcW w:w="347"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601</w:t>
            </w:r>
          </w:p>
        </w:tc>
        <w:tc>
          <w:tcPr>
            <w:tcW w:w="317"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10</w:t>
            </w:r>
          </w:p>
        </w:tc>
        <w:tc>
          <w:tcPr>
            <w:tcW w:w="41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32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8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0.6</w:t>
            </w:r>
          </w:p>
        </w:tc>
        <w:tc>
          <w:tcPr>
            <w:tcW w:w="35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9.82</w:t>
            </w:r>
          </w:p>
        </w:tc>
        <w:tc>
          <w:tcPr>
            <w:tcW w:w="3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34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正常工况</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37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rPr>
          <w:trHeight w:val="369" w:hRule="atLeast"/>
          <w:jc w:val="center"/>
        </w:trPr>
        <w:tc>
          <w:tcPr>
            <w:tcW w:w="597" w:type="pct"/>
            <w:vMerge w:val="continue"/>
            <w:noWrap w:val="0"/>
            <w:vAlign w:val="center"/>
          </w:tcPr>
          <w:p>
            <w:pPr>
              <w:jc w:val="center"/>
              <w:rPr>
                <w:rFonts w:hint="default" w:ascii="Times New Roman" w:hAnsi="Times New Roman" w:cs="Times New Roman"/>
                <w:color w:val="auto"/>
                <w:szCs w:val="21"/>
              </w:rPr>
            </w:pPr>
          </w:p>
        </w:tc>
        <w:tc>
          <w:tcPr>
            <w:tcW w:w="346" w:type="pct"/>
            <w:noWrap w:val="0"/>
            <w:vAlign w:val="center"/>
          </w:tcPr>
          <w:p>
            <w:pPr>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2#排气筒</w:t>
            </w:r>
          </w:p>
        </w:tc>
        <w:tc>
          <w:tcPr>
            <w:tcW w:w="347"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588</w:t>
            </w:r>
          </w:p>
        </w:tc>
        <w:tc>
          <w:tcPr>
            <w:tcW w:w="317"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12</w:t>
            </w:r>
          </w:p>
        </w:tc>
        <w:tc>
          <w:tcPr>
            <w:tcW w:w="41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36</w:t>
            </w:r>
          </w:p>
        </w:tc>
        <w:tc>
          <w:tcPr>
            <w:tcW w:w="32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8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w:t>
            </w:r>
          </w:p>
        </w:tc>
        <w:tc>
          <w:tcPr>
            <w:tcW w:w="35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11.61</w:t>
            </w:r>
          </w:p>
        </w:tc>
        <w:tc>
          <w:tcPr>
            <w:tcW w:w="3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34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正常工况</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7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rPr>
          <w:trHeight w:val="369" w:hRule="atLeast"/>
          <w:jc w:val="center"/>
        </w:trPr>
        <w:tc>
          <w:tcPr>
            <w:tcW w:w="597" w:type="pct"/>
            <w:vMerge w:val="continue"/>
            <w:noWrap w:val="0"/>
            <w:vAlign w:val="center"/>
          </w:tcPr>
          <w:p>
            <w:pPr>
              <w:jc w:val="center"/>
              <w:rPr>
                <w:rFonts w:hint="default" w:ascii="Times New Roman" w:hAnsi="Times New Roman" w:cs="Times New Roman"/>
                <w:color w:val="auto"/>
                <w:szCs w:val="21"/>
              </w:rPr>
            </w:pPr>
          </w:p>
        </w:tc>
        <w:tc>
          <w:tcPr>
            <w:tcW w:w="346" w:type="pct"/>
            <w:noWrap w:val="0"/>
            <w:vAlign w:val="center"/>
          </w:tcPr>
          <w:p>
            <w:pPr>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3#排气筒</w:t>
            </w:r>
          </w:p>
        </w:tc>
        <w:tc>
          <w:tcPr>
            <w:tcW w:w="347"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590</w:t>
            </w:r>
          </w:p>
        </w:tc>
        <w:tc>
          <w:tcPr>
            <w:tcW w:w="317" w:type="pct"/>
            <w:noWrap w:val="0"/>
            <w:vAlign w:val="center"/>
          </w:tcPr>
          <w:p>
            <w:pPr>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5</w:t>
            </w:r>
          </w:p>
        </w:tc>
        <w:tc>
          <w:tcPr>
            <w:tcW w:w="41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39</w:t>
            </w:r>
          </w:p>
        </w:tc>
        <w:tc>
          <w:tcPr>
            <w:tcW w:w="32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8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0.6</w:t>
            </w:r>
          </w:p>
        </w:tc>
        <w:tc>
          <w:tcPr>
            <w:tcW w:w="35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11.79</w:t>
            </w:r>
          </w:p>
        </w:tc>
        <w:tc>
          <w:tcPr>
            <w:tcW w:w="3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34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正常工况</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0.0054</w:t>
            </w:r>
          </w:p>
        </w:tc>
        <w:tc>
          <w:tcPr>
            <w:tcW w:w="37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rPr>
          <w:trHeight w:val="369" w:hRule="atLeast"/>
          <w:jc w:val="center"/>
        </w:trPr>
        <w:tc>
          <w:tcPr>
            <w:tcW w:w="597" w:type="pct"/>
            <w:vMerge w:val="continue"/>
            <w:noWrap w:val="0"/>
            <w:vAlign w:val="center"/>
          </w:tcPr>
          <w:p>
            <w:pPr>
              <w:jc w:val="center"/>
              <w:rPr>
                <w:rFonts w:hint="default" w:ascii="Times New Roman" w:hAnsi="Times New Roman" w:cs="Times New Roman"/>
                <w:color w:val="auto"/>
                <w:szCs w:val="21"/>
              </w:rPr>
            </w:pPr>
          </w:p>
        </w:tc>
        <w:tc>
          <w:tcPr>
            <w:tcW w:w="346" w:type="pct"/>
            <w:noWrap w:val="0"/>
            <w:vAlign w:val="center"/>
          </w:tcPr>
          <w:p>
            <w:pPr>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4#排气筒</w:t>
            </w:r>
          </w:p>
        </w:tc>
        <w:tc>
          <w:tcPr>
            <w:tcW w:w="347"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605</w:t>
            </w:r>
          </w:p>
        </w:tc>
        <w:tc>
          <w:tcPr>
            <w:tcW w:w="317" w:type="pct"/>
            <w:noWrap w:val="0"/>
            <w:vAlign w:val="center"/>
          </w:tcPr>
          <w:p>
            <w:pPr>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1</w:t>
            </w:r>
          </w:p>
        </w:tc>
        <w:tc>
          <w:tcPr>
            <w:tcW w:w="41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w:t>
            </w:r>
          </w:p>
        </w:tc>
        <w:tc>
          <w:tcPr>
            <w:tcW w:w="32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8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0.6</w:t>
            </w:r>
          </w:p>
        </w:tc>
        <w:tc>
          <w:tcPr>
            <w:tcW w:w="35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7.86</w:t>
            </w:r>
          </w:p>
        </w:tc>
        <w:tc>
          <w:tcPr>
            <w:tcW w:w="3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34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正常工况</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0.061</w:t>
            </w:r>
          </w:p>
        </w:tc>
        <w:tc>
          <w:tcPr>
            <w:tcW w:w="37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rPr>
          <w:trHeight w:val="369" w:hRule="atLeast"/>
          <w:jc w:val="center"/>
        </w:trPr>
        <w:tc>
          <w:tcPr>
            <w:tcW w:w="597" w:type="pct"/>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2湖南省天怡新材料有限公司</w:t>
            </w:r>
          </w:p>
        </w:tc>
        <w:tc>
          <w:tcPr>
            <w:tcW w:w="346" w:type="pct"/>
            <w:noWrap w:val="0"/>
            <w:vAlign w:val="center"/>
          </w:tcPr>
          <w:p>
            <w:pPr>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1#排气筒</w:t>
            </w:r>
          </w:p>
        </w:tc>
        <w:tc>
          <w:tcPr>
            <w:tcW w:w="347"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1330</w:t>
            </w:r>
          </w:p>
        </w:tc>
        <w:tc>
          <w:tcPr>
            <w:tcW w:w="31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1194</w:t>
            </w:r>
          </w:p>
        </w:tc>
        <w:tc>
          <w:tcPr>
            <w:tcW w:w="41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37</w:t>
            </w:r>
          </w:p>
        </w:tc>
        <w:tc>
          <w:tcPr>
            <w:tcW w:w="32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26</w:t>
            </w:r>
          </w:p>
        </w:tc>
        <w:tc>
          <w:tcPr>
            <w:tcW w:w="38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1.8</w:t>
            </w:r>
          </w:p>
        </w:tc>
        <w:tc>
          <w:tcPr>
            <w:tcW w:w="35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10.92</w:t>
            </w:r>
          </w:p>
        </w:tc>
        <w:tc>
          <w:tcPr>
            <w:tcW w:w="3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34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正常工况</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7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rPr>
          <w:trHeight w:val="369" w:hRule="atLeast"/>
          <w:jc w:val="center"/>
        </w:trPr>
        <w:tc>
          <w:tcPr>
            <w:tcW w:w="597" w:type="pct"/>
            <w:vMerge w:val="continue"/>
            <w:noWrap w:val="0"/>
            <w:vAlign w:val="center"/>
          </w:tcPr>
          <w:p>
            <w:pPr>
              <w:jc w:val="center"/>
              <w:rPr>
                <w:rFonts w:hint="default" w:ascii="Times New Roman" w:hAnsi="Times New Roman" w:cs="Times New Roman"/>
                <w:color w:val="auto"/>
                <w:szCs w:val="21"/>
              </w:rPr>
            </w:pPr>
          </w:p>
        </w:tc>
        <w:tc>
          <w:tcPr>
            <w:tcW w:w="346" w:type="pct"/>
            <w:noWrap w:val="0"/>
            <w:vAlign w:val="center"/>
          </w:tcPr>
          <w:p>
            <w:pPr>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2#排气筒</w:t>
            </w:r>
          </w:p>
        </w:tc>
        <w:tc>
          <w:tcPr>
            <w:tcW w:w="347"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1320</w:t>
            </w:r>
          </w:p>
        </w:tc>
        <w:tc>
          <w:tcPr>
            <w:tcW w:w="317"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1201</w:t>
            </w:r>
          </w:p>
        </w:tc>
        <w:tc>
          <w:tcPr>
            <w:tcW w:w="41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37</w:t>
            </w:r>
          </w:p>
        </w:tc>
        <w:tc>
          <w:tcPr>
            <w:tcW w:w="32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26</w:t>
            </w:r>
          </w:p>
        </w:tc>
        <w:tc>
          <w:tcPr>
            <w:tcW w:w="38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w:t>
            </w:r>
          </w:p>
        </w:tc>
        <w:tc>
          <w:tcPr>
            <w:tcW w:w="35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12.46</w:t>
            </w:r>
          </w:p>
        </w:tc>
        <w:tc>
          <w:tcPr>
            <w:tcW w:w="3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34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正常工况</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7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rPr>
          <w:trHeight w:val="369" w:hRule="atLeast"/>
          <w:jc w:val="center"/>
        </w:trPr>
        <w:tc>
          <w:tcPr>
            <w:tcW w:w="597" w:type="pct"/>
            <w:vMerge w:val="continue"/>
            <w:noWrap w:val="0"/>
            <w:vAlign w:val="center"/>
          </w:tcPr>
          <w:p>
            <w:pPr>
              <w:jc w:val="center"/>
              <w:rPr>
                <w:rFonts w:hint="default" w:ascii="Times New Roman" w:hAnsi="Times New Roman" w:cs="Times New Roman"/>
                <w:color w:val="auto"/>
                <w:szCs w:val="21"/>
              </w:rPr>
            </w:pPr>
          </w:p>
        </w:tc>
        <w:tc>
          <w:tcPr>
            <w:tcW w:w="346" w:type="pct"/>
            <w:noWrap w:val="0"/>
            <w:vAlign w:val="center"/>
          </w:tcPr>
          <w:p>
            <w:pPr>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3#排气筒</w:t>
            </w:r>
          </w:p>
        </w:tc>
        <w:tc>
          <w:tcPr>
            <w:tcW w:w="347"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1334</w:t>
            </w:r>
          </w:p>
        </w:tc>
        <w:tc>
          <w:tcPr>
            <w:tcW w:w="317"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1211</w:t>
            </w:r>
          </w:p>
        </w:tc>
        <w:tc>
          <w:tcPr>
            <w:tcW w:w="41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38</w:t>
            </w:r>
          </w:p>
        </w:tc>
        <w:tc>
          <w:tcPr>
            <w:tcW w:w="32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w:t>
            </w:r>
          </w:p>
        </w:tc>
        <w:tc>
          <w:tcPr>
            <w:tcW w:w="38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w:t>
            </w:r>
          </w:p>
        </w:tc>
        <w:tc>
          <w:tcPr>
            <w:tcW w:w="35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10.29</w:t>
            </w:r>
          </w:p>
        </w:tc>
        <w:tc>
          <w:tcPr>
            <w:tcW w:w="3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34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正常工况</w:t>
            </w:r>
          </w:p>
        </w:tc>
        <w:tc>
          <w:tcPr>
            <w:tcW w:w="4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7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pStyle w:val="35"/>
        <w:rPr>
          <w:rFonts w:hint="eastAsia"/>
          <w:color w:val="auto"/>
          <w:lang w:val="en-US" w:eastAsia="zh-CN"/>
        </w:rPr>
      </w:pPr>
    </w:p>
    <w:p>
      <w:pPr>
        <w:pStyle w:val="36"/>
        <w:bidi w:val="0"/>
        <w:rPr>
          <w:rFonts w:hint="eastAsia"/>
          <w:color w:val="auto"/>
          <w:lang w:val="en-US" w:eastAsia="zh-CN"/>
        </w:rPr>
      </w:pPr>
      <w:r>
        <w:rPr>
          <w:rFonts w:hint="eastAsia"/>
          <w:color w:val="auto"/>
          <w:lang w:val="en-US" w:eastAsia="zh-CN"/>
        </w:rPr>
        <w:t>表7.1-17评价范围内拟建、在建面源参数表</w:t>
      </w:r>
    </w:p>
    <w:tbl>
      <w:tblPr>
        <w:tblStyle w:val="27"/>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77"/>
        <w:gridCol w:w="1653"/>
        <w:gridCol w:w="888"/>
        <w:gridCol w:w="836"/>
        <w:gridCol w:w="987"/>
        <w:gridCol w:w="796"/>
        <w:gridCol w:w="1115"/>
        <w:gridCol w:w="956"/>
        <w:gridCol w:w="956"/>
        <w:gridCol w:w="1115"/>
        <w:gridCol w:w="1274"/>
        <w:gridCol w:w="956"/>
        <w:gridCol w:w="700"/>
      </w:tblGrid>
      <w:tr>
        <w:trPr>
          <w:trHeight w:val="369" w:hRule="atLeast"/>
          <w:jc w:val="center"/>
        </w:trPr>
        <w:tc>
          <w:tcPr>
            <w:tcW w:w="695"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编号</w:t>
            </w:r>
          </w:p>
        </w:tc>
        <w:tc>
          <w:tcPr>
            <w:tcW w:w="581"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606" w:type="pct"/>
            <w:gridSpan w:val="2"/>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面源起点坐标/m</w:t>
            </w:r>
          </w:p>
        </w:tc>
        <w:tc>
          <w:tcPr>
            <w:tcW w:w="347"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面源海拔高度/m</w:t>
            </w:r>
          </w:p>
        </w:tc>
        <w:tc>
          <w:tcPr>
            <w:tcW w:w="280"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面源长度/m</w:t>
            </w:r>
          </w:p>
        </w:tc>
        <w:tc>
          <w:tcPr>
            <w:tcW w:w="392"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面源宽度/m</w:t>
            </w:r>
          </w:p>
        </w:tc>
        <w:tc>
          <w:tcPr>
            <w:tcW w:w="336"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与正北向夹角/°</w:t>
            </w:r>
          </w:p>
        </w:tc>
        <w:tc>
          <w:tcPr>
            <w:tcW w:w="336"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年排放小时数</w:t>
            </w:r>
          </w:p>
        </w:tc>
        <w:tc>
          <w:tcPr>
            <w:tcW w:w="392"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面源有效排放高度/m</w:t>
            </w:r>
          </w:p>
        </w:tc>
        <w:tc>
          <w:tcPr>
            <w:tcW w:w="448"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排放工况</w:t>
            </w:r>
          </w:p>
        </w:tc>
        <w:tc>
          <w:tcPr>
            <w:tcW w:w="582" w:type="pct"/>
            <w:gridSpan w:val="2"/>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污染物排放速率/（kg/h）</w:t>
            </w:r>
          </w:p>
        </w:tc>
      </w:tr>
      <w:tr>
        <w:trPr>
          <w:trHeight w:val="369" w:hRule="atLeast"/>
          <w:jc w:val="center"/>
        </w:trPr>
        <w:tc>
          <w:tcPr>
            <w:tcW w:w="695" w:type="pct"/>
            <w:vMerge w:val="continue"/>
            <w:noWrap w:val="0"/>
            <w:vAlign w:val="center"/>
          </w:tcPr>
          <w:p>
            <w:pPr>
              <w:jc w:val="center"/>
              <w:rPr>
                <w:rFonts w:hint="default" w:ascii="Times New Roman" w:hAnsi="Times New Roman" w:cs="Times New Roman"/>
                <w:b/>
                <w:color w:val="auto"/>
                <w:szCs w:val="21"/>
              </w:rPr>
            </w:pPr>
          </w:p>
        </w:tc>
        <w:tc>
          <w:tcPr>
            <w:tcW w:w="581" w:type="pct"/>
            <w:vMerge w:val="continue"/>
            <w:noWrap w:val="0"/>
            <w:vAlign w:val="center"/>
          </w:tcPr>
          <w:p>
            <w:pPr>
              <w:jc w:val="center"/>
              <w:rPr>
                <w:rFonts w:hint="default" w:ascii="Times New Roman" w:hAnsi="Times New Roman" w:cs="Times New Roman"/>
                <w:b/>
                <w:color w:val="auto"/>
                <w:szCs w:val="21"/>
              </w:rPr>
            </w:pPr>
          </w:p>
        </w:tc>
        <w:tc>
          <w:tcPr>
            <w:tcW w:w="606" w:type="pct"/>
            <w:gridSpan w:val="2"/>
            <w:vMerge w:val="continue"/>
            <w:noWrap w:val="0"/>
            <w:vAlign w:val="center"/>
          </w:tcPr>
          <w:p>
            <w:pPr>
              <w:jc w:val="center"/>
              <w:rPr>
                <w:rFonts w:hint="default" w:ascii="Times New Roman" w:hAnsi="Times New Roman" w:cs="Times New Roman"/>
                <w:b/>
                <w:color w:val="auto"/>
                <w:szCs w:val="21"/>
              </w:rPr>
            </w:pPr>
          </w:p>
        </w:tc>
        <w:tc>
          <w:tcPr>
            <w:tcW w:w="347" w:type="pct"/>
            <w:vMerge w:val="continue"/>
            <w:noWrap w:val="0"/>
            <w:vAlign w:val="center"/>
          </w:tcPr>
          <w:p>
            <w:pPr>
              <w:jc w:val="center"/>
              <w:rPr>
                <w:rFonts w:hint="default" w:ascii="Times New Roman" w:hAnsi="Times New Roman" w:cs="Times New Roman"/>
                <w:b/>
                <w:color w:val="auto"/>
                <w:szCs w:val="21"/>
              </w:rPr>
            </w:pPr>
          </w:p>
        </w:tc>
        <w:tc>
          <w:tcPr>
            <w:tcW w:w="280" w:type="pct"/>
            <w:vMerge w:val="continue"/>
            <w:noWrap w:val="0"/>
            <w:vAlign w:val="center"/>
          </w:tcPr>
          <w:p>
            <w:pPr>
              <w:jc w:val="center"/>
              <w:rPr>
                <w:rFonts w:hint="default" w:ascii="Times New Roman" w:hAnsi="Times New Roman" w:cs="Times New Roman"/>
                <w:b/>
                <w:color w:val="auto"/>
                <w:szCs w:val="21"/>
              </w:rPr>
            </w:pPr>
          </w:p>
        </w:tc>
        <w:tc>
          <w:tcPr>
            <w:tcW w:w="392" w:type="pct"/>
            <w:vMerge w:val="continue"/>
            <w:noWrap w:val="0"/>
            <w:vAlign w:val="center"/>
          </w:tcPr>
          <w:p>
            <w:pPr>
              <w:jc w:val="center"/>
              <w:rPr>
                <w:rFonts w:hint="default" w:ascii="Times New Roman" w:hAnsi="Times New Roman" w:cs="Times New Roman"/>
                <w:b/>
                <w:color w:val="auto"/>
                <w:szCs w:val="21"/>
              </w:rPr>
            </w:pPr>
          </w:p>
        </w:tc>
        <w:tc>
          <w:tcPr>
            <w:tcW w:w="336" w:type="pct"/>
            <w:vMerge w:val="continue"/>
            <w:noWrap w:val="0"/>
            <w:vAlign w:val="center"/>
          </w:tcPr>
          <w:p>
            <w:pPr>
              <w:jc w:val="center"/>
              <w:rPr>
                <w:rFonts w:hint="default" w:ascii="Times New Roman" w:hAnsi="Times New Roman" w:cs="Times New Roman"/>
                <w:b/>
                <w:color w:val="auto"/>
                <w:szCs w:val="21"/>
              </w:rPr>
            </w:pPr>
          </w:p>
        </w:tc>
        <w:tc>
          <w:tcPr>
            <w:tcW w:w="336" w:type="pct"/>
            <w:vMerge w:val="continue"/>
            <w:noWrap w:val="0"/>
            <w:vAlign w:val="center"/>
          </w:tcPr>
          <w:p>
            <w:pPr>
              <w:jc w:val="center"/>
              <w:rPr>
                <w:rFonts w:hint="default" w:ascii="Times New Roman" w:hAnsi="Times New Roman" w:cs="Times New Roman"/>
                <w:b/>
                <w:color w:val="auto"/>
                <w:szCs w:val="21"/>
              </w:rPr>
            </w:pPr>
          </w:p>
        </w:tc>
        <w:tc>
          <w:tcPr>
            <w:tcW w:w="392" w:type="pct"/>
            <w:vMerge w:val="continue"/>
            <w:noWrap w:val="0"/>
            <w:vAlign w:val="center"/>
          </w:tcPr>
          <w:p>
            <w:pPr>
              <w:jc w:val="center"/>
              <w:rPr>
                <w:rFonts w:hint="default" w:ascii="Times New Roman" w:hAnsi="Times New Roman" w:cs="Times New Roman"/>
                <w:b/>
                <w:color w:val="auto"/>
                <w:szCs w:val="21"/>
              </w:rPr>
            </w:pPr>
          </w:p>
        </w:tc>
        <w:tc>
          <w:tcPr>
            <w:tcW w:w="448" w:type="pct"/>
            <w:vMerge w:val="continue"/>
            <w:noWrap w:val="0"/>
            <w:vAlign w:val="center"/>
          </w:tcPr>
          <w:p>
            <w:pPr>
              <w:jc w:val="center"/>
              <w:rPr>
                <w:rFonts w:hint="default" w:ascii="Times New Roman" w:hAnsi="Times New Roman" w:cs="Times New Roman"/>
                <w:b/>
                <w:color w:val="auto"/>
                <w:szCs w:val="21"/>
              </w:rPr>
            </w:pPr>
          </w:p>
        </w:tc>
        <w:tc>
          <w:tcPr>
            <w:tcW w:w="336"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VOCs</w:t>
            </w:r>
          </w:p>
        </w:tc>
        <w:tc>
          <w:tcPr>
            <w:tcW w:w="246" w:type="pct"/>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甲醇</w:t>
            </w:r>
          </w:p>
        </w:tc>
      </w:tr>
      <w:tr>
        <w:trPr>
          <w:trHeight w:val="369" w:hRule="atLeast"/>
          <w:jc w:val="center"/>
        </w:trPr>
        <w:tc>
          <w:tcPr>
            <w:tcW w:w="695" w:type="pct"/>
            <w:vMerge w:val="continue"/>
            <w:noWrap w:val="0"/>
            <w:vAlign w:val="center"/>
          </w:tcPr>
          <w:p>
            <w:pPr>
              <w:jc w:val="center"/>
              <w:rPr>
                <w:rFonts w:hint="default" w:ascii="Times New Roman" w:hAnsi="Times New Roman" w:cs="Times New Roman"/>
                <w:color w:val="auto"/>
                <w:szCs w:val="21"/>
              </w:rPr>
            </w:pPr>
          </w:p>
        </w:tc>
        <w:tc>
          <w:tcPr>
            <w:tcW w:w="581" w:type="pct"/>
            <w:vMerge w:val="continue"/>
            <w:noWrap w:val="0"/>
            <w:vAlign w:val="center"/>
          </w:tcPr>
          <w:p>
            <w:pPr>
              <w:jc w:val="center"/>
              <w:rPr>
                <w:rFonts w:hint="default" w:ascii="Times New Roman" w:hAnsi="Times New Roman" w:cs="Times New Roman"/>
                <w:color w:val="auto"/>
                <w:szCs w:val="21"/>
              </w:rPr>
            </w:pPr>
          </w:p>
        </w:tc>
        <w:tc>
          <w:tcPr>
            <w:tcW w:w="312" w:type="pct"/>
            <w:noWrap w:val="0"/>
            <w:vAlign w:val="center"/>
          </w:tcPr>
          <w:p>
            <w:pPr>
              <w:jc w:val="center"/>
              <w:rPr>
                <w:rFonts w:hint="default" w:ascii="Times New Roman" w:hAnsi="Times New Roman" w:cs="Times New Roman"/>
                <w:b/>
                <w:i/>
                <w:iCs/>
                <w:color w:val="auto"/>
                <w:szCs w:val="21"/>
              </w:rPr>
            </w:pPr>
            <w:r>
              <w:rPr>
                <w:rFonts w:hint="default" w:ascii="Times New Roman" w:hAnsi="Times New Roman" w:cs="Times New Roman"/>
                <w:b/>
                <w:i/>
                <w:iCs/>
                <w:color w:val="auto"/>
                <w:szCs w:val="21"/>
              </w:rPr>
              <w:t>X</w:t>
            </w:r>
          </w:p>
        </w:tc>
        <w:tc>
          <w:tcPr>
            <w:tcW w:w="294" w:type="pct"/>
            <w:noWrap w:val="0"/>
            <w:vAlign w:val="center"/>
          </w:tcPr>
          <w:p>
            <w:pPr>
              <w:jc w:val="center"/>
              <w:rPr>
                <w:rFonts w:hint="default" w:ascii="Times New Roman" w:hAnsi="Times New Roman" w:cs="Times New Roman"/>
                <w:b/>
                <w:i/>
                <w:iCs/>
                <w:color w:val="auto"/>
                <w:szCs w:val="21"/>
              </w:rPr>
            </w:pPr>
            <w:r>
              <w:rPr>
                <w:rFonts w:hint="default" w:ascii="Times New Roman" w:hAnsi="Times New Roman" w:cs="Times New Roman"/>
                <w:b/>
                <w:i/>
                <w:iCs/>
                <w:color w:val="auto"/>
                <w:szCs w:val="21"/>
              </w:rPr>
              <w:t>Y</w:t>
            </w:r>
          </w:p>
        </w:tc>
        <w:tc>
          <w:tcPr>
            <w:tcW w:w="347" w:type="pct"/>
            <w:vMerge w:val="continue"/>
            <w:noWrap w:val="0"/>
            <w:vAlign w:val="center"/>
          </w:tcPr>
          <w:p>
            <w:pPr>
              <w:jc w:val="center"/>
              <w:rPr>
                <w:rFonts w:hint="default" w:ascii="Times New Roman" w:hAnsi="Times New Roman" w:cs="Times New Roman"/>
                <w:color w:val="auto"/>
                <w:szCs w:val="21"/>
              </w:rPr>
            </w:pPr>
          </w:p>
        </w:tc>
        <w:tc>
          <w:tcPr>
            <w:tcW w:w="280" w:type="pct"/>
            <w:vMerge w:val="continue"/>
            <w:noWrap w:val="0"/>
            <w:vAlign w:val="center"/>
          </w:tcPr>
          <w:p>
            <w:pPr>
              <w:jc w:val="center"/>
              <w:rPr>
                <w:rFonts w:hint="default" w:ascii="Times New Roman" w:hAnsi="Times New Roman" w:cs="Times New Roman"/>
                <w:color w:val="auto"/>
                <w:szCs w:val="21"/>
              </w:rPr>
            </w:pPr>
          </w:p>
        </w:tc>
        <w:tc>
          <w:tcPr>
            <w:tcW w:w="392" w:type="pct"/>
            <w:vMerge w:val="continue"/>
            <w:noWrap w:val="0"/>
            <w:vAlign w:val="center"/>
          </w:tcPr>
          <w:p>
            <w:pPr>
              <w:jc w:val="center"/>
              <w:rPr>
                <w:rFonts w:hint="default" w:ascii="Times New Roman" w:hAnsi="Times New Roman" w:cs="Times New Roman"/>
                <w:color w:val="auto"/>
                <w:szCs w:val="21"/>
              </w:rPr>
            </w:pPr>
          </w:p>
        </w:tc>
        <w:tc>
          <w:tcPr>
            <w:tcW w:w="336" w:type="pct"/>
            <w:vMerge w:val="continue"/>
            <w:noWrap w:val="0"/>
            <w:vAlign w:val="center"/>
          </w:tcPr>
          <w:p>
            <w:pPr>
              <w:jc w:val="center"/>
              <w:rPr>
                <w:rFonts w:hint="default" w:ascii="Times New Roman" w:hAnsi="Times New Roman" w:cs="Times New Roman"/>
                <w:color w:val="auto"/>
                <w:szCs w:val="21"/>
              </w:rPr>
            </w:pPr>
          </w:p>
        </w:tc>
        <w:tc>
          <w:tcPr>
            <w:tcW w:w="336" w:type="pct"/>
            <w:vMerge w:val="continue"/>
            <w:noWrap w:val="0"/>
            <w:vAlign w:val="center"/>
          </w:tcPr>
          <w:p>
            <w:pPr>
              <w:jc w:val="center"/>
              <w:rPr>
                <w:rFonts w:hint="default" w:ascii="Times New Roman" w:hAnsi="Times New Roman" w:cs="Times New Roman"/>
                <w:color w:val="auto"/>
                <w:szCs w:val="21"/>
              </w:rPr>
            </w:pPr>
          </w:p>
        </w:tc>
        <w:tc>
          <w:tcPr>
            <w:tcW w:w="392" w:type="pct"/>
            <w:vMerge w:val="continue"/>
            <w:noWrap w:val="0"/>
            <w:vAlign w:val="center"/>
          </w:tcPr>
          <w:p>
            <w:pPr>
              <w:jc w:val="center"/>
              <w:rPr>
                <w:rFonts w:hint="default" w:ascii="Times New Roman" w:hAnsi="Times New Roman" w:cs="Times New Roman"/>
                <w:color w:val="auto"/>
                <w:szCs w:val="21"/>
              </w:rPr>
            </w:pPr>
          </w:p>
        </w:tc>
        <w:tc>
          <w:tcPr>
            <w:tcW w:w="448" w:type="pct"/>
            <w:vMerge w:val="continue"/>
            <w:noWrap w:val="0"/>
            <w:vAlign w:val="center"/>
          </w:tcPr>
          <w:p>
            <w:pPr>
              <w:jc w:val="center"/>
              <w:rPr>
                <w:rFonts w:hint="default" w:ascii="Times New Roman" w:hAnsi="Times New Roman" w:cs="Times New Roman"/>
                <w:color w:val="auto"/>
                <w:szCs w:val="21"/>
              </w:rPr>
            </w:pPr>
          </w:p>
        </w:tc>
        <w:tc>
          <w:tcPr>
            <w:tcW w:w="336" w:type="pct"/>
            <w:vMerge w:val="continue"/>
            <w:noWrap w:val="0"/>
            <w:vAlign w:val="center"/>
          </w:tcPr>
          <w:p>
            <w:pPr>
              <w:jc w:val="center"/>
              <w:rPr>
                <w:rFonts w:hint="default" w:ascii="Times New Roman" w:hAnsi="Times New Roman" w:cs="Times New Roman"/>
                <w:color w:val="auto"/>
                <w:szCs w:val="21"/>
              </w:rPr>
            </w:pPr>
          </w:p>
        </w:tc>
        <w:tc>
          <w:tcPr>
            <w:tcW w:w="246" w:type="pct"/>
            <w:vMerge w:val="continue"/>
            <w:noWrap w:val="0"/>
            <w:vAlign w:val="center"/>
          </w:tcPr>
          <w:p>
            <w:pPr>
              <w:jc w:val="center"/>
              <w:rPr>
                <w:rFonts w:hint="default" w:ascii="Times New Roman" w:hAnsi="Times New Roman" w:cs="Times New Roman"/>
                <w:color w:val="auto"/>
                <w:szCs w:val="21"/>
              </w:rPr>
            </w:pPr>
          </w:p>
        </w:tc>
      </w:tr>
      <w:tr>
        <w:trPr>
          <w:trHeight w:val="369" w:hRule="atLeast"/>
          <w:jc w:val="center"/>
        </w:trPr>
        <w:tc>
          <w:tcPr>
            <w:tcW w:w="695" w:type="pct"/>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1岳阳东方雨虹防水技术有限责任公司</w:t>
            </w:r>
          </w:p>
        </w:tc>
        <w:tc>
          <w:tcPr>
            <w:tcW w:w="58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EVA防水板车间</w:t>
            </w:r>
          </w:p>
        </w:tc>
        <w:tc>
          <w:tcPr>
            <w:tcW w:w="312"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600</w:t>
            </w:r>
          </w:p>
        </w:tc>
        <w:tc>
          <w:tcPr>
            <w:tcW w:w="294"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-61</w:t>
            </w:r>
          </w:p>
        </w:tc>
        <w:tc>
          <w:tcPr>
            <w:tcW w:w="3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280"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174</w:t>
            </w:r>
          </w:p>
        </w:tc>
        <w:tc>
          <w:tcPr>
            <w:tcW w:w="39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78</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39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4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正常工况</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0.125</w:t>
            </w:r>
          </w:p>
        </w:tc>
        <w:tc>
          <w:tcPr>
            <w:tcW w:w="246" w:type="pct"/>
            <w:noWrap w:val="0"/>
            <w:vAlign w:val="center"/>
          </w:tcPr>
          <w:p>
            <w:pPr>
              <w:jc w:val="center"/>
              <w:rPr>
                <w:rFonts w:hint="default" w:ascii="Times New Roman" w:hAnsi="Times New Roman" w:cs="Times New Roman"/>
                <w:color w:val="auto"/>
                <w:szCs w:val="21"/>
              </w:rPr>
            </w:pPr>
          </w:p>
        </w:tc>
      </w:tr>
      <w:tr>
        <w:trPr>
          <w:trHeight w:val="369" w:hRule="atLeast"/>
          <w:jc w:val="center"/>
        </w:trPr>
        <w:tc>
          <w:tcPr>
            <w:tcW w:w="695" w:type="pct"/>
            <w:vMerge w:val="continue"/>
            <w:noWrap w:val="0"/>
            <w:vAlign w:val="center"/>
          </w:tcPr>
          <w:p>
            <w:pPr>
              <w:jc w:val="center"/>
              <w:rPr>
                <w:rFonts w:hint="default" w:ascii="Times New Roman" w:hAnsi="Times New Roman" w:cs="Times New Roman"/>
                <w:color w:val="auto"/>
                <w:szCs w:val="21"/>
              </w:rPr>
            </w:pPr>
          </w:p>
        </w:tc>
        <w:tc>
          <w:tcPr>
            <w:tcW w:w="58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橡胶密封材料车间</w:t>
            </w:r>
          </w:p>
        </w:tc>
        <w:tc>
          <w:tcPr>
            <w:tcW w:w="31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377</w:t>
            </w:r>
          </w:p>
        </w:tc>
        <w:tc>
          <w:tcPr>
            <w:tcW w:w="294"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-61</w:t>
            </w:r>
          </w:p>
        </w:tc>
        <w:tc>
          <w:tcPr>
            <w:tcW w:w="3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280"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78</w:t>
            </w:r>
          </w:p>
        </w:tc>
        <w:tc>
          <w:tcPr>
            <w:tcW w:w="39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58</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39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44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正常工况</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0.037</w:t>
            </w:r>
          </w:p>
        </w:tc>
        <w:tc>
          <w:tcPr>
            <w:tcW w:w="246" w:type="pct"/>
            <w:noWrap w:val="0"/>
            <w:vAlign w:val="center"/>
          </w:tcPr>
          <w:p>
            <w:pPr>
              <w:jc w:val="center"/>
              <w:rPr>
                <w:rFonts w:hint="default" w:ascii="Times New Roman" w:hAnsi="Times New Roman" w:cs="Times New Roman"/>
                <w:color w:val="auto"/>
                <w:szCs w:val="21"/>
              </w:rPr>
            </w:pPr>
          </w:p>
        </w:tc>
      </w:tr>
      <w:tr>
        <w:trPr>
          <w:trHeight w:val="369" w:hRule="atLeast"/>
          <w:jc w:val="center"/>
        </w:trPr>
        <w:tc>
          <w:tcPr>
            <w:tcW w:w="695" w:type="pct"/>
            <w:vMerge w:val="continue"/>
            <w:noWrap w:val="0"/>
            <w:vAlign w:val="center"/>
          </w:tcPr>
          <w:p>
            <w:pPr>
              <w:jc w:val="center"/>
              <w:rPr>
                <w:rFonts w:hint="default" w:ascii="Times New Roman" w:hAnsi="Times New Roman" w:cs="Times New Roman"/>
                <w:color w:val="auto"/>
                <w:szCs w:val="21"/>
              </w:rPr>
            </w:pPr>
          </w:p>
        </w:tc>
        <w:tc>
          <w:tcPr>
            <w:tcW w:w="58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热熔胶车间</w:t>
            </w:r>
          </w:p>
        </w:tc>
        <w:tc>
          <w:tcPr>
            <w:tcW w:w="31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409</w:t>
            </w:r>
          </w:p>
        </w:tc>
        <w:tc>
          <w:tcPr>
            <w:tcW w:w="294"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-48</w:t>
            </w:r>
          </w:p>
        </w:tc>
        <w:tc>
          <w:tcPr>
            <w:tcW w:w="3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w:t>
            </w:r>
          </w:p>
        </w:tc>
        <w:tc>
          <w:tcPr>
            <w:tcW w:w="280"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86</w:t>
            </w:r>
          </w:p>
        </w:tc>
        <w:tc>
          <w:tcPr>
            <w:tcW w:w="39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104</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39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4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正常工况</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0.0125</w:t>
            </w:r>
          </w:p>
        </w:tc>
        <w:tc>
          <w:tcPr>
            <w:tcW w:w="246" w:type="pct"/>
            <w:noWrap w:val="0"/>
            <w:vAlign w:val="center"/>
          </w:tcPr>
          <w:p>
            <w:pPr>
              <w:jc w:val="center"/>
              <w:rPr>
                <w:rFonts w:hint="default" w:ascii="Times New Roman" w:hAnsi="Times New Roman" w:cs="Times New Roman"/>
                <w:color w:val="auto"/>
                <w:szCs w:val="21"/>
              </w:rPr>
            </w:pPr>
          </w:p>
        </w:tc>
      </w:tr>
      <w:tr>
        <w:trPr>
          <w:trHeight w:val="369" w:hRule="atLeast"/>
          <w:jc w:val="center"/>
        </w:trPr>
        <w:tc>
          <w:tcPr>
            <w:tcW w:w="695" w:type="pct"/>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2湖南省天怡新材料有限公司</w:t>
            </w:r>
          </w:p>
        </w:tc>
        <w:tc>
          <w:tcPr>
            <w:tcW w:w="58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罐区</w:t>
            </w:r>
          </w:p>
        </w:tc>
        <w:tc>
          <w:tcPr>
            <w:tcW w:w="31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880</w:t>
            </w:r>
          </w:p>
        </w:tc>
        <w:tc>
          <w:tcPr>
            <w:tcW w:w="294"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1194</w:t>
            </w:r>
          </w:p>
        </w:tc>
        <w:tc>
          <w:tcPr>
            <w:tcW w:w="3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37</w:t>
            </w:r>
          </w:p>
        </w:tc>
        <w:tc>
          <w:tcPr>
            <w:tcW w:w="280"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32.6</w:t>
            </w:r>
          </w:p>
        </w:tc>
        <w:tc>
          <w:tcPr>
            <w:tcW w:w="39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12.6</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39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44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正常工况</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246" w:type="pct"/>
            <w:noWrap w:val="0"/>
            <w:vAlign w:val="center"/>
          </w:tcPr>
          <w:p>
            <w:pPr>
              <w:jc w:val="center"/>
              <w:rPr>
                <w:rFonts w:hint="default" w:ascii="Times New Roman" w:hAnsi="Times New Roman" w:cs="Times New Roman"/>
                <w:color w:val="auto"/>
                <w:szCs w:val="21"/>
              </w:rPr>
            </w:pPr>
          </w:p>
        </w:tc>
      </w:tr>
      <w:tr>
        <w:trPr>
          <w:trHeight w:val="369" w:hRule="atLeast"/>
          <w:jc w:val="center"/>
        </w:trPr>
        <w:tc>
          <w:tcPr>
            <w:tcW w:w="695" w:type="pct"/>
            <w:vMerge w:val="continue"/>
            <w:noWrap w:val="0"/>
            <w:vAlign w:val="center"/>
          </w:tcPr>
          <w:p>
            <w:pPr>
              <w:jc w:val="center"/>
              <w:rPr>
                <w:rFonts w:hint="default" w:ascii="Times New Roman" w:hAnsi="Times New Roman" w:cs="Times New Roman"/>
                <w:color w:val="auto"/>
                <w:szCs w:val="21"/>
              </w:rPr>
            </w:pPr>
          </w:p>
        </w:tc>
        <w:tc>
          <w:tcPr>
            <w:tcW w:w="58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Z型分子筛厂房</w:t>
            </w:r>
          </w:p>
        </w:tc>
        <w:tc>
          <w:tcPr>
            <w:tcW w:w="31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925</w:t>
            </w:r>
          </w:p>
        </w:tc>
        <w:tc>
          <w:tcPr>
            <w:tcW w:w="294"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1206</w:t>
            </w:r>
          </w:p>
        </w:tc>
        <w:tc>
          <w:tcPr>
            <w:tcW w:w="34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39</w:t>
            </w:r>
          </w:p>
        </w:tc>
        <w:tc>
          <w:tcPr>
            <w:tcW w:w="280"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w:t>
            </w:r>
          </w:p>
        </w:tc>
        <w:tc>
          <w:tcPr>
            <w:tcW w:w="39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28</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39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44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正常工况</w:t>
            </w:r>
          </w:p>
        </w:tc>
        <w:tc>
          <w:tcPr>
            <w:tcW w:w="3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0.0053</w:t>
            </w:r>
          </w:p>
        </w:tc>
        <w:tc>
          <w:tcPr>
            <w:tcW w:w="246" w:type="pct"/>
            <w:noWrap w:val="0"/>
            <w:vAlign w:val="center"/>
          </w:tcPr>
          <w:p>
            <w:pPr>
              <w:jc w:val="center"/>
              <w:rPr>
                <w:rFonts w:hint="default" w:ascii="Times New Roman" w:hAnsi="Times New Roman" w:cs="Times New Roman"/>
                <w:color w:val="auto"/>
                <w:szCs w:val="21"/>
              </w:rPr>
            </w:pPr>
          </w:p>
        </w:tc>
      </w:tr>
    </w:tbl>
    <w:p>
      <w:pPr>
        <w:pStyle w:val="35"/>
        <w:rPr>
          <w:rFonts w:hint="eastAsia"/>
          <w:color w:val="auto"/>
          <w:lang w:val="en-US" w:eastAsia="zh-CN"/>
        </w:rPr>
      </w:pPr>
    </w:p>
    <w:p>
      <w:pPr>
        <w:spacing w:line="360" w:lineRule="auto"/>
        <w:ind w:firstLine="420" w:firstLineChars="200"/>
        <w:rPr>
          <w:rFonts w:ascii="Times New Roman" w:hAnsi="Times New Roman" w:cs="Times New Roman"/>
          <w:color w:val="auto"/>
          <w:highlight w:val="none"/>
        </w:rPr>
      </w:pPr>
    </w:p>
    <w:p>
      <w:pPr>
        <w:spacing w:line="360" w:lineRule="auto"/>
        <w:ind w:firstLine="420" w:firstLineChars="200"/>
        <w:rPr>
          <w:rFonts w:ascii="Times New Roman" w:hAnsi="Times New Roman" w:cs="Times New Roman"/>
          <w:color w:val="auto"/>
          <w:highlight w:val="none"/>
        </w:rPr>
        <w:sectPr>
          <w:pgSz w:w="16840" w:h="11907" w:orient="landscape"/>
          <w:pgMar w:top="1418" w:right="1418" w:bottom="1701" w:left="1418" w:header="851" w:footer="1134" w:gutter="0"/>
          <w:pgBorders>
            <w:top w:val="none" w:sz="0" w:space="0"/>
            <w:left w:val="none" w:sz="0" w:space="0"/>
            <w:bottom w:val="none" w:sz="0" w:space="0"/>
            <w:right w:val="none" w:sz="0" w:space="0"/>
          </w:pgBorders>
          <w:pgNumType w:fmt="numberInDash"/>
          <w:cols w:space="720" w:num="1"/>
          <w:docGrid w:linePitch="312" w:charSpace="0"/>
        </w:sectPr>
      </w:pPr>
    </w:p>
    <w:p>
      <w:pPr>
        <w:pStyle w:val="32"/>
        <w:bidi w:val="0"/>
        <w:rPr>
          <w:rFonts w:hint="eastAsia"/>
          <w:color w:val="auto"/>
          <w:lang w:val="en-US" w:eastAsia="zh-CN"/>
        </w:rPr>
      </w:pPr>
      <w:r>
        <w:rPr>
          <w:rFonts w:hint="eastAsia"/>
          <w:color w:val="auto"/>
          <w:lang w:val="en-US" w:eastAsia="zh-CN"/>
        </w:rPr>
        <w:t>7.1.6预测结果分析</w:t>
      </w:r>
    </w:p>
    <w:p>
      <w:pPr>
        <w:pStyle w:val="33"/>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b/>
          <w:bCs/>
          <w:color w:val="auto"/>
          <w:kern w:val="0"/>
          <w:sz w:val="24"/>
          <w:highlight w:val="none"/>
          <w:u w:val="single"/>
        </w:rPr>
      </w:pPr>
      <w:r>
        <w:rPr>
          <w:rFonts w:hint="eastAsia" w:cs="Times New Roman"/>
          <w:b/>
          <w:bCs/>
          <w:color w:val="auto"/>
          <w:kern w:val="0"/>
          <w:sz w:val="24"/>
          <w:highlight w:val="none"/>
          <w:lang w:val="en-US" w:eastAsia="zh-CN"/>
        </w:rPr>
        <w:t>（</w:t>
      </w:r>
      <w:r>
        <w:rPr>
          <w:rFonts w:hint="eastAsia" w:ascii="Times New Roman" w:hAnsi="Times New Roman" w:eastAsia="宋体" w:cs="Times New Roman"/>
          <w:b/>
          <w:bCs/>
          <w:color w:val="auto"/>
          <w:kern w:val="0"/>
          <w:sz w:val="24"/>
          <w:highlight w:val="none"/>
          <w:u w:val="single"/>
          <w:lang w:val="en-US" w:eastAsia="zh-CN"/>
        </w:rPr>
        <w:t>1</w:t>
      </w:r>
      <w:r>
        <w:rPr>
          <w:rFonts w:hint="eastAsia" w:ascii="Times New Roman" w:hAnsi="Times New Roman" w:eastAsia="宋体" w:cs="Times New Roman"/>
          <w:b/>
          <w:bCs/>
          <w:color w:val="auto"/>
          <w:kern w:val="0"/>
          <w:sz w:val="24"/>
          <w:highlight w:val="none"/>
          <w:u w:val="single"/>
          <w:lang w:eastAsia="zh-CN"/>
        </w:rPr>
        <w:t>）</w:t>
      </w:r>
      <w:r>
        <w:rPr>
          <w:rFonts w:ascii="Times New Roman" w:hAnsi="Times New Roman" w:eastAsia="宋体" w:cs="Times New Roman"/>
          <w:b/>
          <w:bCs/>
          <w:color w:val="auto"/>
          <w:kern w:val="0"/>
          <w:sz w:val="24"/>
          <w:highlight w:val="none"/>
          <w:u w:val="single"/>
        </w:rPr>
        <w:t>项目贡献质量浓度预测结果</w:t>
      </w:r>
    </w:p>
    <w:p>
      <w:pPr>
        <w:pStyle w:val="33"/>
        <w:ind w:firstLine="480"/>
        <w:rPr>
          <w:rFonts w:ascii="Times New Roman" w:hAnsi="Times New Roman" w:eastAsia="宋体" w:cs="Times New Roman"/>
          <w:color w:val="auto"/>
          <w:kern w:val="0"/>
          <w:sz w:val="24"/>
          <w:highlight w:val="none"/>
          <w:u w:val="single"/>
        </w:rPr>
      </w:pPr>
      <w:r>
        <w:rPr>
          <w:rFonts w:ascii="Times New Roman" w:hAnsi="Times New Roman" w:eastAsia="宋体" w:cs="Times New Roman"/>
          <w:color w:val="auto"/>
          <w:kern w:val="0"/>
          <w:sz w:val="24"/>
          <w:highlight w:val="none"/>
          <w:u w:val="single"/>
        </w:rPr>
        <w:t>本项目新增污染源正常排放情况下，各环境空气保护目标和</w:t>
      </w:r>
      <w:r>
        <w:rPr>
          <w:rFonts w:hint="eastAsia" w:ascii="Times New Roman" w:hAnsi="Times New Roman" w:eastAsia="宋体" w:cs="Times New Roman"/>
          <w:color w:val="auto"/>
          <w:kern w:val="0"/>
          <w:sz w:val="24"/>
          <w:highlight w:val="none"/>
          <w:u w:val="single"/>
        </w:rPr>
        <w:t>预测范围内</w:t>
      </w:r>
      <w:r>
        <w:rPr>
          <w:rFonts w:ascii="Times New Roman" w:hAnsi="Times New Roman" w:eastAsia="宋体" w:cs="Times New Roman"/>
          <w:color w:val="auto"/>
          <w:kern w:val="0"/>
          <w:sz w:val="24"/>
          <w:highlight w:val="none"/>
          <w:u w:val="single"/>
        </w:rPr>
        <w:t>区域网格点主要污染物的贡献浓度预测结果如下。</w:t>
      </w:r>
    </w:p>
    <w:p>
      <w:pPr>
        <w:pStyle w:val="33"/>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b/>
          <w:bCs/>
          <w:color w:val="auto"/>
          <w:kern w:val="0"/>
          <w:sz w:val="24"/>
          <w:highlight w:val="none"/>
          <w:u w:val="single"/>
        </w:rPr>
      </w:pPr>
      <w:r>
        <w:rPr>
          <w:rFonts w:ascii="Times New Roman" w:hAnsi="Times New Roman" w:eastAsia="宋体" w:cs="Times New Roman"/>
          <w:b/>
          <w:bCs/>
          <w:color w:val="auto"/>
          <w:kern w:val="0"/>
          <w:sz w:val="24"/>
          <w:highlight w:val="none"/>
          <w:u w:val="single"/>
        </w:rPr>
        <w:t>1、</w:t>
      </w:r>
      <w:r>
        <w:rPr>
          <w:rFonts w:hint="eastAsia" w:ascii="Times New Roman" w:hAnsi="Times New Roman" w:eastAsia="宋体" w:cs="Times New Roman"/>
          <w:b/>
          <w:bCs/>
          <w:color w:val="auto"/>
          <w:kern w:val="0"/>
          <w:sz w:val="24"/>
          <w:highlight w:val="none"/>
          <w:u w:val="single"/>
        </w:rPr>
        <w:t>VOCs</w:t>
      </w:r>
      <w:r>
        <w:rPr>
          <w:rFonts w:ascii="Times New Roman" w:hAnsi="Times New Roman" w:eastAsia="宋体" w:cs="Times New Roman"/>
          <w:b/>
          <w:bCs/>
          <w:color w:val="auto"/>
          <w:kern w:val="0"/>
          <w:sz w:val="24"/>
          <w:highlight w:val="none"/>
          <w:u w:val="single"/>
        </w:rPr>
        <w:t>贡献浓度预测结果</w:t>
      </w:r>
    </w:p>
    <w:p>
      <w:pPr>
        <w:pStyle w:val="36"/>
        <w:bidi w:val="0"/>
        <w:rPr>
          <w:rFonts w:hint="eastAsia"/>
          <w:color w:val="auto"/>
          <w:lang w:val="en-US" w:eastAsia="zh-CN"/>
        </w:rPr>
      </w:pPr>
      <w:r>
        <w:rPr>
          <w:rFonts w:hint="eastAsia"/>
          <w:color w:val="auto"/>
          <w:lang w:val="en-US" w:eastAsia="zh-CN"/>
        </w:rPr>
        <w:t>表7.1-18项目VOCs贡献质量浓度预测结果表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1244"/>
        <w:gridCol w:w="1345"/>
        <w:gridCol w:w="1909"/>
        <w:gridCol w:w="1248"/>
        <w:gridCol w:w="1247"/>
      </w:tblGrid>
      <w:tr>
        <w:trPr>
          <w:trHeight w:val="340" w:hRule="atLeast"/>
          <w:tblHeader/>
          <w:jc w:val="center"/>
        </w:trPr>
        <w:tc>
          <w:tcPr>
            <w:tcW w:w="132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预测点（保护目标名称和区域最大落地浓度）</w:t>
            </w:r>
          </w:p>
        </w:tc>
        <w:tc>
          <w:tcPr>
            <w:tcW w:w="654" w:type="pct"/>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平均时段</w:t>
            </w:r>
          </w:p>
        </w:tc>
        <w:tc>
          <w:tcPr>
            <w:tcW w:w="7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最大贡献值</w:t>
            </w:r>
          </w:p>
        </w:tc>
        <w:tc>
          <w:tcPr>
            <w:tcW w:w="100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出现时间</w:t>
            </w:r>
          </w:p>
        </w:tc>
        <w:tc>
          <w:tcPr>
            <w:tcW w:w="656" w:type="pct"/>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占标率%</w:t>
            </w:r>
          </w:p>
        </w:tc>
        <w:tc>
          <w:tcPr>
            <w:tcW w:w="655" w:type="pct"/>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132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bCs/>
                <w:color w:val="auto"/>
                <w:kern w:val="0"/>
                <w:sz w:val="21"/>
                <w:szCs w:val="21"/>
                <w:highlight w:val="none"/>
              </w:rPr>
            </w:pPr>
          </w:p>
        </w:tc>
        <w:tc>
          <w:tcPr>
            <w:tcW w:w="65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bCs/>
                <w:color w:val="auto"/>
                <w:kern w:val="0"/>
                <w:sz w:val="21"/>
                <w:szCs w:val="21"/>
                <w:highlight w:val="none"/>
              </w:rPr>
            </w:pPr>
          </w:p>
        </w:tc>
        <w:tc>
          <w:tcPr>
            <w:tcW w:w="7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w:t>
            </w:r>
            <w:r>
              <w:rPr>
                <w:rFonts w:hint="eastAsia" w:ascii="Times New Roman" w:hAnsi="Times New Roman" w:cs="Times New Roman"/>
                <w:b/>
                <w:color w:val="auto"/>
                <w:kern w:val="0"/>
                <w:sz w:val="21"/>
                <w:szCs w:val="21"/>
                <w:highlight w:val="none"/>
                <w:lang w:val="en-US" w:eastAsia="zh-CN"/>
              </w:rPr>
              <w:t>m</w:t>
            </w:r>
            <w:r>
              <w:rPr>
                <w:rFonts w:hint="default" w:ascii="Times New Roman" w:hAnsi="Times New Roman" w:cs="Times New Roman"/>
                <w:b/>
                <w:color w:val="auto"/>
                <w:kern w:val="0"/>
                <w:sz w:val="21"/>
                <w:szCs w:val="21"/>
                <w:highlight w:val="none"/>
              </w:rPr>
              <w:t>g/m</w:t>
            </w:r>
            <w:r>
              <w:rPr>
                <w:rFonts w:hint="default" w:ascii="Times New Roman" w:hAnsi="Times New Roman" w:cs="Times New Roman"/>
                <w:b/>
                <w:color w:val="auto"/>
                <w:kern w:val="0"/>
                <w:sz w:val="21"/>
                <w:szCs w:val="21"/>
                <w:highlight w:val="none"/>
                <w:vertAlign w:val="superscript"/>
              </w:rPr>
              <w:t>3</w:t>
            </w:r>
            <w:r>
              <w:rPr>
                <w:rFonts w:hint="default" w:ascii="Times New Roman" w:hAnsi="Times New Roman" w:cs="Times New Roman"/>
                <w:b/>
                <w:color w:val="auto"/>
                <w:kern w:val="0"/>
                <w:sz w:val="21"/>
                <w:szCs w:val="21"/>
                <w:highlight w:val="none"/>
              </w:rPr>
              <w:t>）</w:t>
            </w:r>
          </w:p>
        </w:tc>
        <w:tc>
          <w:tcPr>
            <w:tcW w:w="100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(YYMMDDHH)</w:t>
            </w:r>
          </w:p>
        </w:tc>
        <w:tc>
          <w:tcPr>
            <w:tcW w:w="65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bCs/>
                <w:color w:val="auto"/>
                <w:kern w:val="0"/>
                <w:sz w:val="21"/>
                <w:szCs w:val="21"/>
                <w:highlight w:val="none"/>
              </w:rPr>
            </w:pPr>
          </w:p>
        </w:tc>
        <w:tc>
          <w:tcPr>
            <w:tcW w:w="6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bCs/>
                <w:color w:val="auto"/>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32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方家咀</w:t>
            </w:r>
          </w:p>
        </w:tc>
        <w:tc>
          <w:tcPr>
            <w:tcW w:w="65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8小时</w:t>
            </w:r>
          </w:p>
        </w:tc>
        <w:tc>
          <w:tcPr>
            <w:tcW w:w="134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0.09</w:t>
            </w:r>
            <w:r>
              <w:rPr>
                <w:rFonts w:hint="eastAsia" w:ascii="Times New Roman" w:hAnsi="Times New Roman" w:eastAsia="宋体" w:cs="Times New Roman"/>
                <w:i w:val="0"/>
                <w:iCs w:val="0"/>
                <w:color w:val="auto"/>
                <w:kern w:val="0"/>
                <w:sz w:val="21"/>
                <w:szCs w:val="21"/>
                <w:u w:val="none"/>
                <w:lang w:val="en-US" w:eastAsia="zh-CN" w:bidi="ar"/>
              </w:rPr>
              <w:t>E-02</w:t>
            </w:r>
          </w:p>
        </w:tc>
        <w:tc>
          <w:tcPr>
            <w:tcW w:w="1909"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19042508</w:t>
            </w:r>
          </w:p>
        </w:tc>
        <w:tc>
          <w:tcPr>
            <w:tcW w:w="124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75</w:t>
            </w:r>
          </w:p>
        </w:tc>
        <w:tc>
          <w:tcPr>
            <w:tcW w:w="65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rPr>
          <w:trHeight w:val="340" w:hRule="atLeast"/>
          <w:jc w:val="center"/>
        </w:trPr>
        <w:tc>
          <w:tcPr>
            <w:tcW w:w="132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基隆村</w:t>
            </w:r>
          </w:p>
        </w:tc>
        <w:tc>
          <w:tcPr>
            <w:tcW w:w="65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8小时</w:t>
            </w:r>
          </w:p>
        </w:tc>
        <w:tc>
          <w:tcPr>
            <w:tcW w:w="134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w:t>
            </w:r>
            <w:r>
              <w:rPr>
                <w:rFonts w:hint="eastAsia"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cs="Times New Roman"/>
                <w:i w:val="0"/>
                <w:iCs w:val="0"/>
                <w:color w:val="auto"/>
                <w:kern w:val="0"/>
                <w:sz w:val="21"/>
                <w:szCs w:val="21"/>
                <w:u w:val="none"/>
                <w:lang w:val="en-US" w:eastAsia="zh-CN" w:bidi="ar"/>
              </w:rPr>
              <w:t>65</w:t>
            </w:r>
            <w:r>
              <w:rPr>
                <w:rFonts w:hint="eastAsia" w:ascii="Times New Roman" w:hAnsi="Times New Roman" w:eastAsia="宋体" w:cs="Times New Roman"/>
                <w:i w:val="0"/>
                <w:iCs w:val="0"/>
                <w:color w:val="auto"/>
                <w:kern w:val="0"/>
                <w:sz w:val="21"/>
                <w:szCs w:val="21"/>
                <w:u w:val="none"/>
                <w:lang w:val="en-US" w:eastAsia="zh-CN" w:bidi="ar"/>
              </w:rPr>
              <w:t>E-03</w:t>
            </w:r>
          </w:p>
        </w:tc>
        <w:tc>
          <w:tcPr>
            <w:tcW w:w="1909"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19062508</w:t>
            </w:r>
          </w:p>
        </w:tc>
        <w:tc>
          <w:tcPr>
            <w:tcW w:w="124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0.6</w:t>
            </w:r>
            <w:r>
              <w:rPr>
                <w:rFonts w:hint="eastAsia" w:ascii="Times New Roman" w:hAnsi="Times New Roman" w:cs="Times New Roman"/>
                <w:i w:val="0"/>
                <w:iCs w:val="0"/>
                <w:color w:val="auto"/>
                <w:kern w:val="0"/>
                <w:sz w:val="21"/>
                <w:szCs w:val="21"/>
                <w:u w:val="none"/>
                <w:lang w:val="en-US" w:eastAsia="zh-CN" w:bidi="ar"/>
              </w:rPr>
              <w:t>4</w:t>
            </w:r>
          </w:p>
        </w:tc>
        <w:tc>
          <w:tcPr>
            <w:tcW w:w="65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rPr>
          <w:trHeight w:val="340" w:hRule="atLeast"/>
          <w:jc w:val="center"/>
        </w:trPr>
        <w:tc>
          <w:tcPr>
            <w:tcW w:w="132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大田村</w:t>
            </w:r>
          </w:p>
        </w:tc>
        <w:tc>
          <w:tcPr>
            <w:tcW w:w="65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8小时</w:t>
            </w:r>
          </w:p>
        </w:tc>
        <w:tc>
          <w:tcPr>
            <w:tcW w:w="134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3.59</w:t>
            </w:r>
            <w:r>
              <w:rPr>
                <w:rFonts w:hint="eastAsia" w:ascii="Times New Roman" w:hAnsi="Times New Roman" w:eastAsia="宋体" w:cs="Times New Roman"/>
                <w:i w:val="0"/>
                <w:iCs w:val="0"/>
                <w:color w:val="auto"/>
                <w:kern w:val="0"/>
                <w:sz w:val="21"/>
                <w:szCs w:val="21"/>
                <w:u w:val="none"/>
                <w:lang w:val="en-US" w:eastAsia="zh-CN" w:bidi="ar"/>
              </w:rPr>
              <w:t>E-03</w:t>
            </w:r>
          </w:p>
        </w:tc>
        <w:tc>
          <w:tcPr>
            <w:tcW w:w="1909"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19020424</w:t>
            </w:r>
          </w:p>
        </w:tc>
        <w:tc>
          <w:tcPr>
            <w:tcW w:w="124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w:t>
            </w:r>
            <w:r>
              <w:rPr>
                <w:rFonts w:hint="eastAsia" w:ascii="Times New Roman" w:hAnsi="Times New Roman" w:cs="Times New Roman"/>
                <w:i w:val="0"/>
                <w:iCs w:val="0"/>
                <w:color w:val="auto"/>
                <w:kern w:val="0"/>
                <w:sz w:val="21"/>
                <w:szCs w:val="21"/>
                <w:u w:val="none"/>
                <w:lang w:val="en-US" w:eastAsia="zh-CN" w:bidi="ar"/>
              </w:rPr>
              <w:t>0</w:t>
            </w:r>
          </w:p>
        </w:tc>
        <w:tc>
          <w:tcPr>
            <w:tcW w:w="65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rPr>
          <w:trHeight w:val="340" w:hRule="atLeast"/>
          <w:jc w:val="center"/>
        </w:trPr>
        <w:tc>
          <w:tcPr>
            <w:tcW w:w="132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胜利村</w:t>
            </w:r>
          </w:p>
        </w:tc>
        <w:tc>
          <w:tcPr>
            <w:tcW w:w="65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8小时</w:t>
            </w:r>
          </w:p>
        </w:tc>
        <w:tc>
          <w:tcPr>
            <w:tcW w:w="134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1.05</w:t>
            </w:r>
            <w:r>
              <w:rPr>
                <w:rFonts w:hint="eastAsia" w:ascii="Times New Roman" w:hAnsi="Times New Roman" w:eastAsia="宋体" w:cs="Times New Roman"/>
                <w:i w:val="0"/>
                <w:iCs w:val="0"/>
                <w:color w:val="auto"/>
                <w:kern w:val="0"/>
                <w:sz w:val="21"/>
                <w:szCs w:val="21"/>
                <w:u w:val="none"/>
                <w:lang w:val="en-US" w:eastAsia="zh-CN" w:bidi="ar"/>
              </w:rPr>
              <w:t>E-02</w:t>
            </w:r>
          </w:p>
        </w:tc>
        <w:tc>
          <w:tcPr>
            <w:tcW w:w="1909"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19041908</w:t>
            </w:r>
          </w:p>
        </w:tc>
        <w:tc>
          <w:tcPr>
            <w:tcW w:w="124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89</w:t>
            </w:r>
          </w:p>
        </w:tc>
        <w:tc>
          <w:tcPr>
            <w:tcW w:w="65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rPr>
          <w:trHeight w:val="340" w:hRule="atLeast"/>
          <w:jc w:val="center"/>
        </w:trPr>
        <w:tc>
          <w:tcPr>
            <w:tcW w:w="132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滨江村</w:t>
            </w:r>
          </w:p>
        </w:tc>
        <w:tc>
          <w:tcPr>
            <w:tcW w:w="65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8小时</w:t>
            </w:r>
          </w:p>
        </w:tc>
        <w:tc>
          <w:tcPr>
            <w:tcW w:w="134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cs="Times New Roman"/>
                <w:i w:val="0"/>
                <w:iCs w:val="0"/>
                <w:color w:val="auto"/>
                <w:kern w:val="0"/>
                <w:sz w:val="21"/>
                <w:szCs w:val="21"/>
                <w:u w:val="none"/>
                <w:lang w:val="en-US" w:eastAsia="zh-CN" w:bidi="ar"/>
              </w:rPr>
              <w:t>32</w:t>
            </w:r>
            <w:r>
              <w:rPr>
                <w:rFonts w:hint="eastAsia" w:ascii="Times New Roman" w:hAnsi="Times New Roman" w:eastAsia="宋体" w:cs="Times New Roman"/>
                <w:i w:val="0"/>
                <w:iCs w:val="0"/>
                <w:color w:val="auto"/>
                <w:kern w:val="0"/>
                <w:sz w:val="21"/>
                <w:szCs w:val="21"/>
                <w:u w:val="none"/>
                <w:lang w:val="en-US" w:eastAsia="zh-CN" w:bidi="ar"/>
              </w:rPr>
              <w:t>E-03</w:t>
            </w:r>
          </w:p>
        </w:tc>
        <w:tc>
          <w:tcPr>
            <w:tcW w:w="1909"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19070208</w:t>
            </w:r>
          </w:p>
        </w:tc>
        <w:tc>
          <w:tcPr>
            <w:tcW w:w="124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w:t>
            </w:r>
            <w:r>
              <w:rPr>
                <w:rFonts w:hint="eastAsia" w:ascii="Times New Roman" w:hAnsi="Times New Roman" w:cs="Times New Roman"/>
                <w:i w:val="0"/>
                <w:iCs w:val="0"/>
                <w:color w:val="auto"/>
                <w:kern w:val="0"/>
                <w:sz w:val="21"/>
                <w:szCs w:val="21"/>
                <w:u w:val="none"/>
                <w:lang w:val="en-US" w:eastAsia="zh-CN" w:bidi="ar"/>
              </w:rPr>
              <w:t>1</w:t>
            </w:r>
          </w:p>
        </w:tc>
        <w:tc>
          <w:tcPr>
            <w:tcW w:w="65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rPr>
          <w:trHeight w:val="340" w:hRule="atLeast"/>
          <w:jc w:val="center"/>
        </w:trPr>
        <w:tc>
          <w:tcPr>
            <w:tcW w:w="132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云溪一中</w:t>
            </w:r>
          </w:p>
        </w:tc>
        <w:tc>
          <w:tcPr>
            <w:tcW w:w="65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8小时</w:t>
            </w:r>
          </w:p>
        </w:tc>
        <w:tc>
          <w:tcPr>
            <w:tcW w:w="134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4.68</w:t>
            </w:r>
            <w:r>
              <w:rPr>
                <w:rFonts w:hint="eastAsia" w:ascii="Times New Roman" w:hAnsi="Times New Roman" w:eastAsia="宋体" w:cs="Times New Roman"/>
                <w:i w:val="0"/>
                <w:iCs w:val="0"/>
                <w:color w:val="auto"/>
                <w:kern w:val="0"/>
                <w:sz w:val="21"/>
                <w:szCs w:val="21"/>
                <w:u w:val="none"/>
                <w:lang w:val="en-US" w:eastAsia="zh-CN" w:bidi="ar"/>
              </w:rPr>
              <w:t>E-03</w:t>
            </w:r>
          </w:p>
        </w:tc>
        <w:tc>
          <w:tcPr>
            <w:tcW w:w="1909"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19051508</w:t>
            </w:r>
          </w:p>
        </w:tc>
        <w:tc>
          <w:tcPr>
            <w:tcW w:w="124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0.39</w:t>
            </w:r>
          </w:p>
        </w:tc>
        <w:tc>
          <w:tcPr>
            <w:tcW w:w="65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rPr>
          <w:trHeight w:val="340" w:hRule="atLeast"/>
          <w:jc w:val="center"/>
        </w:trPr>
        <w:tc>
          <w:tcPr>
            <w:tcW w:w="132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胜利小区</w:t>
            </w:r>
          </w:p>
        </w:tc>
        <w:tc>
          <w:tcPr>
            <w:tcW w:w="65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8小时</w:t>
            </w:r>
          </w:p>
        </w:tc>
        <w:tc>
          <w:tcPr>
            <w:tcW w:w="134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7.51</w:t>
            </w:r>
            <w:r>
              <w:rPr>
                <w:rFonts w:hint="eastAsia" w:ascii="Times New Roman" w:hAnsi="Times New Roman" w:eastAsia="宋体" w:cs="Times New Roman"/>
                <w:i w:val="0"/>
                <w:iCs w:val="0"/>
                <w:color w:val="auto"/>
                <w:kern w:val="0"/>
                <w:sz w:val="21"/>
                <w:szCs w:val="21"/>
                <w:u w:val="none"/>
                <w:lang w:val="en-US" w:eastAsia="zh-CN" w:bidi="ar"/>
              </w:rPr>
              <w:t>E-03</w:t>
            </w:r>
          </w:p>
        </w:tc>
        <w:tc>
          <w:tcPr>
            <w:tcW w:w="1909"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19022724</w:t>
            </w:r>
          </w:p>
        </w:tc>
        <w:tc>
          <w:tcPr>
            <w:tcW w:w="124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0.68</w:t>
            </w:r>
          </w:p>
        </w:tc>
        <w:tc>
          <w:tcPr>
            <w:tcW w:w="65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rPr>
          <w:trHeight w:val="340" w:hRule="atLeast"/>
          <w:jc w:val="center"/>
        </w:trPr>
        <w:tc>
          <w:tcPr>
            <w:tcW w:w="132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云溪城区</w:t>
            </w:r>
          </w:p>
        </w:tc>
        <w:tc>
          <w:tcPr>
            <w:tcW w:w="65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8小时</w:t>
            </w:r>
          </w:p>
        </w:tc>
        <w:tc>
          <w:tcPr>
            <w:tcW w:w="134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8.51E-03</w:t>
            </w:r>
          </w:p>
        </w:tc>
        <w:tc>
          <w:tcPr>
            <w:tcW w:w="1909"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19081108</w:t>
            </w:r>
          </w:p>
        </w:tc>
        <w:tc>
          <w:tcPr>
            <w:tcW w:w="124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63</w:t>
            </w:r>
          </w:p>
        </w:tc>
        <w:tc>
          <w:tcPr>
            <w:tcW w:w="65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rPr>
          <w:trHeight w:val="340" w:hRule="atLeast"/>
          <w:jc w:val="center"/>
        </w:trPr>
        <w:tc>
          <w:tcPr>
            <w:tcW w:w="1323"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八一村</w:t>
            </w:r>
          </w:p>
        </w:tc>
        <w:tc>
          <w:tcPr>
            <w:tcW w:w="65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8小时</w:t>
            </w:r>
          </w:p>
        </w:tc>
        <w:tc>
          <w:tcPr>
            <w:tcW w:w="134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w:t>
            </w:r>
            <w:r>
              <w:rPr>
                <w:rFonts w:hint="eastAsia" w:ascii="Times New Roman" w:hAnsi="Times New Roman" w:cs="Times New Roman"/>
                <w:i w:val="0"/>
                <w:iCs w:val="0"/>
                <w:color w:val="auto"/>
                <w:kern w:val="0"/>
                <w:sz w:val="21"/>
                <w:szCs w:val="21"/>
                <w:u w:val="none"/>
                <w:lang w:val="en-US" w:eastAsia="zh-CN" w:bidi="ar"/>
              </w:rPr>
              <w:t>13</w:t>
            </w:r>
            <w:r>
              <w:rPr>
                <w:rFonts w:hint="eastAsia" w:ascii="Times New Roman" w:hAnsi="Times New Roman" w:eastAsia="宋体" w:cs="Times New Roman"/>
                <w:i w:val="0"/>
                <w:iCs w:val="0"/>
                <w:color w:val="auto"/>
                <w:kern w:val="0"/>
                <w:sz w:val="21"/>
                <w:szCs w:val="21"/>
                <w:u w:val="none"/>
                <w:lang w:val="en-US" w:eastAsia="zh-CN" w:bidi="ar"/>
              </w:rPr>
              <w:t>E-03</w:t>
            </w:r>
          </w:p>
        </w:tc>
        <w:tc>
          <w:tcPr>
            <w:tcW w:w="1909"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19063008</w:t>
            </w:r>
          </w:p>
        </w:tc>
        <w:tc>
          <w:tcPr>
            <w:tcW w:w="124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59</w:t>
            </w:r>
          </w:p>
        </w:tc>
        <w:tc>
          <w:tcPr>
            <w:tcW w:w="65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rPr>
          <w:trHeight w:val="340" w:hRule="atLeast"/>
          <w:jc w:val="center"/>
        </w:trPr>
        <w:tc>
          <w:tcPr>
            <w:tcW w:w="132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网格（-50，-50）</w:t>
            </w:r>
          </w:p>
        </w:tc>
        <w:tc>
          <w:tcPr>
            <w:tcW w:w="654"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8小时</w:t>
            </w:r>
          </w:p>
        </w:tc>
        <w:tc>
          <w:tcPr>
            <w:tcW w:w="134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0.095</w:t>
            </w:r>
            <w:r>
              <w:rPr>
                <w:rFonts w:hint="eastAsia" w:ascii="Times New Roman" w:hAnsi="Times New Roman" w:eastAsia="宋体" w:cs="Times New Roman"/>
                <w:i w:val="0"/>
                <w:iCs w:val="0"/>
                <w:color w:val="auto"/>
                <w:kern w:val="0"/>
                <w:sz w:val="21"/>
                <w:szCs w:val="21"/>
                <w:u w:val="none"/>
                <w:lang w:val="en-US" w:eastAsia="zh-CN" w:bidi="ar"/>
              </w:rPr>
              <w:t>E-01</w:t>
            </w:r>
          </w:p>
        </w:tc>
        <w:tc>
          <w:tcPr>
            <w:tcW w:w="1909"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19051708</w:t>
            </w:r>
          </w:p>
        </w:tc>
        <w:tc>
          <w:tcPr>
            <w:tcW w:w="124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7.91</w:t>
            </w:r>
          </w:p>
        </w:tc>
        <w:tc>
          <w:tcPr>
            <w:tcW w:w="655"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bl>
    <w:p>
      <w:pPr>
        <w:pStyle w:val="33"/>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由上表的预测结果可以看出，项目</w:t>
      </w:r>
      <w:r>
        <w:rPr>
          <w:rFonts w:hint="eastAsia" w:ascii="Times New Roman" w:hAnsi="Times New Roman" w:eastAsia="宋体" w:cs="Times New Roman"/>
          <w:color w:val="auto"/>
          <w:sz w:val="24"/>
          <w:highlight w:val="none"/>
        </w:rPr>
        <w:t>排放的VOCs在</w:t>
      </w:r>
      <w:r>
        <w:rPr>
          <w:rFonts w:ascii="Times New Roman" w:hAnsi="Times New Roman" w:eastAsia="宋体" w:cs="Times New Roman"/>
          <w:color w:val="auto"/>
          <w:sz w:val="24"/>
          <w:highlight w:val="none"/>
        </w:rPr>
        <w:t>各敏感点</w:t>
      </w:r>
      <w:r>
        <w:rPr>
          <w:rFonts w:hint="eastAsia" w:ascii="Times New Roman" w:hAnsi="Times New Roman" w:eastAsia="宋体" w:cs="Times New Roman"/>
          <w:color w:val="auto"/>
          <w:sz w:val="24"/>
          <w:highlight w:val="none"/>
        </w:rPr>
        <w:t>及</w:t>
      </w:r>
      <w:r>
        <w:rPr>
          <w:rFonts w:ascii="Times New Roman" w:hAnsi="Times New Roman" w:eastAsia="宋体" w:cs="Times New Roman"/>
          <w:color w:val="auto"/>
          <w:sz w:val="24"/>
          <w:highlight w:val="none"/>
        </w:rPr>
        <w:t>区域网格最大落地</w:t>
      </w:r>
      <w:r>
        <w:rPr>
          <w:rFonts w:hint="eastAsia" w:ascii="Times New Roman" w:hAnsi="Times New Roman" w:eastAsia="宋体" w:cs="Times New Roman"/>
          <w:color w:val="auto"/>
          <w:sz w:val="24"/>
          <w:highlight w:val="none"/>
        </w:rPr>
        <w:t>浓度点处的</w:t>
      </w:r>
      <w:r>
        <w:rPr>
          <w:rFonts w:ascii="Times New Roman" w:hAnsi="Times New Roman" w:eastAsia="宋体" w:cs="Times New Roman"/>
          <w:color w:val="auto"/>
          <w:sz w:val="24"/>
          <w:highlight w:val="none"/>
        </w:rPr>
        <w:t>8小时浓度</w:t>
      </w:r>
      <w:r>
        <w:rPr>
          <w:rFonts w:hint="eastAsia" w:ascii="Times New Roman" w:hAnsi="Times New Roman" w:eastAsia="宋体" w:cs="Times New Roman"/>
          <w:color w:val="auto"/>
          <w:sz w:val="24"/>
          <w:highlight w:val="none"/>
        </w:rPr>
        <w:t>值</w:t>
      </w:r>
      <w:r>
        <w:rPr>
          <w:rFonts w:ascii="Times New Roman" w:hAnsi="Times New Roman" w:eastAsia="宋体" w:cs="Times New Roman"/>
          <w:color w:val="auto"/>
          <w:sz w:val="24"/>
          <w:highlight w:val="none"/>
        </w:rPr>
        <w:t>满足</w:t>
      </w:r>
      <w:r>
        <w:rPr>
          <w:rFonts w:hint="eastAsia" w:ascii="Times New Roman" w:hAnsi="Times New Roman" w:eastAsia="宋体" w:cs="Times New Roman"/>
          <w:color w:val="auto"/>
          <w:sz w:val="24"/>
          <w:highlight w:val="none"/>
        </w:rPr>
        <w:t>《环境影响评价技术导则 大气环境》(HJ2.2-2018)附录D中标准限值要求</w:t>
      </w:r>
      <w:r>
        <w:rPr>
          <w:rFonts w:ascii="Times New Roman" w:hAnsi="Times New Roman" w:eastAsia="宋体" w:cs="Times New Roman"/>
          <w:color w:val="auto"/>
          <w:sz w:val="24"/>
          <w:highlight w:val="none"/>
        </w:rPr>
        <w:t>。</w:t>
      </w:r>
    </w:p>
    <w:p>
      <w:pPr>
        <w:spacing w:line="360" w:lineRule="auto"/>
        <w:rPr>
          <w:rFonts w:ascii="Times New Roman" w:hAnsi="Times New Roman" w:eastAsia="宋体" w:cs="Times New Roman"/>
          <w:color w:val="auto"/>
          <w:kern w:val="0"/>
          <w:sz w:val="24"/>
          <w:highlight w:val="none"/>
        </w:rPr>
      </w:pPr>
      <w:r>
        <w:rPr>
          <w:color w:val="auto"/>
        </w:rPr>
        <w:drawing>
          <wp:inline distT="0" distB="0" distL="114300" distR="114300">
            <wp:extent cx="5900420" cy="3998595"/>
            <wp:effectExtent l="0" t="0" r="5080" b="1905"/>
            <wp:docPr id="24"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7"/>
                    <pic:cNvPicPr>
                      <a:picLocks noChangeAspect="1"/>
                    </pic:cNvPicPr>
                  </pic:nvPicPr>
                  <pic:blipFill>
                    <a:blip r:embed="rId55"/>
                    <a:stretch>
                      <a:fillRect/>
                    </a:stretch>
                  </pic:blipFill>
                  <pic:spPr>
                    <a:xfrm>
                      <a:off x="0" y="0"/>
                      <a:ext cx="5900420" cy="3998595"/>
                    </a:xfrm>
                    <a:prstGeom prst="rect">
                      <a:avLst/>
                    </a:prstGeom>
                    <a:noFill/>
                    <a:ln>
                      <a:noFill/>
                    </a:ln>
                  </pic:spPr>
                </pic:pic>
              </a:graphicData>
            </a:graphic>
          </wp:inline>
        </w:drawing>
      </w:r>
    </w:p>
    <w:p>
      <w:pPr>
        <w:pStyle w:val="36"/>
        <w:bidi w:val="0"/>
        <w:rPr>
          <w:rFonts w:hint="eastAsia"/>
          <w:color w:val="auto"/>
          <w:lang w:val="en-US" w:eastAsia="zh-CN"/>
        </w:rPr>
      </w:pPr>
      <w:r>
        <w:rPr>
          <w:rFonts w:hint="eastAsia"/>
          <w:color w:val="auto"/>
          <w:lang w:val="en-US" w:eastAsia="zh-CN"/>
        </w:rPr>
        <w:t>图7.1-7 VOCs最大8小时贡献浓度分布图</w:t>
      </w:r>
    </w:p>
    <w:p>
      <w:pPr>
        <w:pStyle w:val="33"/>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b/>
          <w:bCs/>
          <w:color w:val="auto"/>
          <w:kern w:val="0"/>
          <w:sz w:val="24"/>
          <w:highlight w:val="none"/>
        </w:rPr>
      </w:pPr>
      <w:r>
        <w:rPr>
          <w:rFonts w:ascii="Times New Roman" w:hAnsi="Times New Roman" w:eastAsia="宋体" w:cs="Times New Roman"/>
          <w:b/>
          <w:bCs/>
          <w:color w:val="auto"/>
          <w:kern w:val="0"/>
          <w:sz w:val="24"/>
          <w:highlight w:val="none"/>
        </w:rPr>
        <w:t>2、</w:t>
      </w:r>
      <w:r>
        <w:rPr>
          <w:rFonts w:hint="eastAsia" w:ascii="Times New Roman" w:hAnsi="Times New Roman" w:cs="Times New Roman"/>
          <w:b/>
          <w:bCs/>
          <w:color w:val="auto"/>
          <w:kern w:val="0"/>
          <w:sz w:val="24"/>
          <w:highlight w:val="none"/>
          <w:lang w:val="en-US" w:eastAsia="zh-CN"/>
        </w:rPr>
        <w:t>甲醇</w:t>
      </w:r>
      <w:r>
        <w:rPr>
          <w:rFonts w:ascii="Times New Roman" w:hAnsi="Times New Roman" w:eastAsia="宋体" w:cs="Times New Roman"/>
          <w:b/>
          <w:bCs/>
          <w:color w:val="auto"/>
          <w:kern w:val="0"/>
          <w:sz w:val="24"/>
          <w:highlight w:val="none"/>
        </w:rPr>
        <w:t>贡献浓度预测结果</w:t>
      </w:r>
    </w:p>
    <w:p>
      <w:pPr>
        <w:pStyle w:val="36"/>
        <w:bidi w:val="0"/>
        <w:rPr>
          <w:color w:val="auto"/>
        </w:rPr>
      </w:pPr>
      <w:r>
        <w:rPr>
          <w:rFonts w:hint="eastAsia"/>
          <w:color w:val="auto"/>
          <w:lang w:val="en-US" w:eastAsia="zh-CN"/>
        </w:rPr>
        <w:t>表7.1-19</w:t>
      </w:r>
      <w:r>
        <w:rPr>
          <w:color w:val="auto"/>
        </w:rPr>
        <w:t>项目</w:t>
      </w:r>
      <w:r>
        <w:rPr>
          <w:rFonts w:hint="eastAsia"/>
          <w:color w:val="auto"/>
          <w:lang w:val="en-US" w:eastAsia="zh-CN"/>
        </w:rPr>
        <w:t>甲醇</w:t>
      </w:r>
      <w:r>
        <w:rPr>
          <w:color w:val="auto"/>
        </w:rPr>
        <w:t>贡献质量浓度预测结果表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59"/>
        <w:gridCol w:w="1268"/>
        <w:gridCol w:w="1293"/>
        <w:gridCol w:w="1822"/>
        <w:gridCol w:w="1317"/>
        <w:gridCol w:w="12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trPr>
        <w:tc>
          <w:tcPr>
            <w:tcW w:w="1345" w:type="pct"/>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预测点（保护目标名称和区域最大落地浓度）</w:t>
            </w:r>
          </w:p>
        </w:tc>
        <w:tc>
          <w:tcPr>
            <w:tcW w:w="666" w:type="pct"/>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平均时段</w:t>
            </w:r>
          </w:p>
        </w:tc>
        <w:tc>
          <w:tcPr>
            <w:tcW w:w="679" w:type="pct"/>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最大贡献值(μg/m</w:t>
            </w:r>
            <w:r>
              <w:rPr>
                <w:rFonts w:hint="default" w:ascii="Times New Roman" w:hAnsi="Times New Roman" w:eastAsia="宋体" w:cs="Times New Roman"/>
                <w:b/>
                <w:color w:val="auto"/>
                <w:kern w:val="0"/>
                <w:sz w:val="21"/>
                <w:szCs w:val="21"/>
                <w:highlight w:val="none"/>
                <w:vertAlign w:val="superscript"/>
              </w:rPr>
              <w:t>3</w:t>
            </w:r>
            <w:r>
              <w:rPr>
                <w:rFonts w:hint="default" w:ascii="Times New Roman" w:hAnsi="Times New Roman" w:eastAsia="宋体" w:cs="Times New Roman"/>
                <w:b/>
                <w:color w:val="auto"/>
                <w:kern w:val="0"/>
                <w:sz w:val="21"/>
                <w:szCs w:val="21"/>
                <w:highlight w:val="none"/>
              </w:rPr>
              <w:t>)</w:t>
            </w:r>
          </w:p>
        </w:tc>
        <w:tc>
          <w:tcPr>
            <w:tcW w:w="957" w:type="pct"/>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出现时间(YYMMDDHH)</w:t>
            </w:r>
          </w:p>
        </w:tc>
        <w:tc>
          <w:tcPr>
            <w:tcW w:w="692" w:type="pct"/>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占标率%</w:t>
            </w:r>
          </w:p>
        </w:tc>
        <w:tc>
          <w:tcPr>
            <w:tcW w:w="657" w:type="pct"/>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方家咀</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5.56E-03</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19070207</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0.19</w:t>
            </w:r>
          </w:p>
        </w:tc>
        <w:tc>
          <w:tcPr>
            <w:tcW w:w="65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基隆村</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1.99E-03</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19062406</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0.07</w:t>
            </w:r>
          </w:p>
        </w:tc>
        <w:tc>
          <w:tcPr>
            <w:tcW w:w="65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大田村</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6.13E-03</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19030824</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0.2</w:t>
            </w:r>
          </w:p>
        </w:tc>
        <w:tc>
          <w:tcPr>
            <w:tcW w:w="65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胜利村</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4.01E-03</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19041902</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0.13</w:t>
            </w:r>
          </w:p>
        </w:tc>
        <w:tc>
          <w:tcPr>
            <w:tcW w:w="65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滨江村</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4.61E-04</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19070207</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0.02</w:t>
            </w:r>
          </w:p>
        </w:tc>
        <w:tc>
          <w:tcPr>
            <w:tcW w:w="65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云溪一中</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1.54E-03</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19060720</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w:t>
            </w:r>
          </w:p>
        </w:tc>
        <w:tc>
          <w:tcPr>
            <w:tcW w:w="65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胜利小区</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2.20E-03</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19101124</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0.07</w:t>
            </w:r>
          </w:p>
        </w:tc>
        <w:tc>
          <w:tcPr>
            <w:tcW w:w="65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云溪城区</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1.42E-03</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19082920</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w:t>
            </w:r>
          </w:p>
        </w:tc>
        <w:tc>
          <w:tcPr>
            <w:tcW w:w="65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八一村</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4.37E-03</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19063001</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0.15</w:t>
            </w:r>
          </w:p>
        </w:tc>
        <w:tc>
          <w:tcPr>
            <w:tcW w:w="65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rPr>
              <w:t>网格（-50，-50）</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3.96E-03</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19102318</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0.13</w:t>
            </w:r>
          </w:p>
        </w:tc>
        <w:tc>
          <w:tcPr>
            <w:tcW w:w="65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方家咀</w:t>
            </w:r>
          </w:p>
        </w:tc>
        <w:tc>
          <w:tcPr>
            <w:tcW w:w="666"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日平均</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2.93E-04</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190425</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0.03</w:t>
            </w:r>
          </w:p>
        </w:tc>
        <w:tc>
          <w:tcPr>
            <w:tcW w:w="657"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基隆村</w:t>
            </w:r>
          </w:p>
        </w:tc>
        <w:tc>
          <w:tcPr>
            <w:tcW w:w="666"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日平均</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2.67E-04</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190407</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0.03</w:t>
            </w:r>
          </w:p>
        </w:tc>
        <w:tc>
          <w:tcPr>
            <w:tcW w:w="657"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大田村</w:t>
            </w:r>
          </w:p>
        </w:tc>
        <w:tc>
          <w:tcPr>
            <w:tcW w:w="666"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日平均</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3.23E-04</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191122</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0.03</w:t>
            </w:r>
          </w:p>
        </w:tc>
        <w:tc>
          <w:tcPr>
            <w:tcW w:w="657"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胜利村</w:t>
            </w:r>
          </w:p>
        </w:tc>
        <w:tc>
          <w:tcPr>
            <w:tcW w:w="666"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日平均</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2.04E-04</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190419</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0.02</w:t>
            </w:r>
          </w:p>
        </w:tc>
        <w:tc>
          <w:tcPr>
            <w:tcW w:w="657"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滨江村</w:t>
            </w:r>
          </w:p>
        </w:tc>
        <w:tc>
          <w:tcPr>
            <w:tcW w:w="666"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日平均</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2.01E-05</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190702</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657"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云溪一中</w:t>
            </w:r>
          </w:p>
        </w:tc>
        <w:tc>
          <w:tcPr>
            <w:tcW w:w="666"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日平均</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1.69E-04</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190515</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0.02</w:t>
            </w:r>
          </w:p>
        </w:tc>
        <w:tc>
          <w:tcPr>
            <w:tcW w:w="657"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胜利小区</w:t>
            </w:r>
          </w:p>
        </w:tc>
        <w:tc>
          <w:tcPr>
            <w:tcW w:w="666"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日平均</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1.62E-04</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190617</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0.02</w:t>
            </w:r>
          </w:p>
        </w:tc>
        <w:tc>
          <w:tcPr>
            <w:tcW w:w="657"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云溪城区</w:t>
            </w:r>
          </w:p>
        </w:tc>
        <w:tc>
          <w:tcPr>
            <w:tcW w:w="666"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日平均</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1.29E-04</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190811</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0.01</w:t>
            </w:r>
          </w:p>
        </w:tc>
        <w:tc>
          <w:tcPr>
            <w:tcW w:w="657"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八一村</w:t>
            </w:r>
          </w:p>
        </w:tc>
        <w:tc>
          <w:tcPr>
            <w:tcW w:w="666"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日平均</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1.91E-04</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190630</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0.02</w:t>
            </w:r>
          </w:p>
        </w:tc>
        <w:tc>
          <w:tcPr>
            <w:tcW w:w="657"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rPr>
              <w:t>网格（-50，-50）</w:t>
            </w:r>
          </w:p>
        </w:tc>
        <w:tc>
          <w:tcPr>
            <w:tcW w:w="666"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日平均</w:t>
            </w:r>
          </w:p>
        </w:tc>
        <w:tc>
          <w:tcPr>
            <w:tcW w:w="114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3.54E-04</w:t>
            </w:r>
          </w:p>
        </w:tc>
        <w:tc>
          <w:tcPr>
            <w:tcW w:w="16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190627</w:t>
            </w:r>
          </w:p>
        </w:tc>
        <w:tc>
          <w:tcPr>
            <w:tcW w:w="11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0.04</w:t>
            </w:r>
          </w:p>
        </w:tc>
        <w:tc>
          <w:tcPr>
            <w:tcW w:w="657"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bl>
    <w:p>
      <w:pPr>
        <w:pStyle w:val="33"/>
        <w:ind w:firstLine="48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由上表的预测结果可以看出，项目排放的</w:t>
      </w:r>
      <w:r>
        <w:rPr>
          <w:rFonts w:hint="eastAsia" w:ascii="Times New Roman" w:hAnsi="Times New Roman" w:cs="Times New Roman"/>
          <w:color w:val="auto"/>
          <w:sz w:val="24"/>
          <w:highlight w:val="none"/>
          <w:lang w:val="en-US" w:eastAsia="zh-CN"/>
        </w:rPr>
        <w:t>甲醇</w:t>
      </w:r>
      <w:r>
        <w:rPr>
          <w:rFonts w:hint="eastAsia" w:ascii="Times New Roman" w:hAnsi="Times New Roman" w:eastAsia="宋体" w:cs="Times New Roman"/>
          <w:color w:val="auto"/>
          <w:sz w:val="24"/>
          <w:highlight w:val="none"/>
        </w:rPr>
        <w:t>在各敏感点及区域网格最大落地浓度点处的最大1小时和日均浓度值满足《环境影响评价技术导则 大气环境》(HJ2.2-2018)附录D中标准限值要求。</w:t>
      </w:r>
    </w:p>
    <w:p>
      <w:pPr>
        <w:spacing w:line="360" w:lineRule="auto"/>
        <w:jc w:val="center"/>
        <w:rPr>
          <w:rFonts w:ascii="Times New Roman" w:hAnsi="Times New Roman" w:eastAsia="宋体" w:cs="Times New Roman"/>
          <w:color w:val="auto"/>
          <w:sz w:val="24"/>
          <w:highlight w:val="none"/>
        </w:rPr>
      </w:pPr>
      <w:r>
        <w:rPr>
          <w:color w:val="auto"/>
        </w:rPr>
        <w:drawing>
          <wp:inline distT="0" distB="0" distL="114300" distR="114300">
            <wp:extent cx="5901055" cy="3900170"/>
            <wp:effectExtent l="0" t="0" r="4445" b="5080"/>
            <wp:docPr id="25"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9"/>
                    <pic:cNvPicPr>
                      <a:picLocks noChangeAspect="1"/>
                    </pic:cNvPicPr>
                  </pic:nvPicPr>
                  <pic:blipFill>
                    <a:blip r:embed="rId56"/>
                    <a:stretch>
                      <a:fillRect/>
                    </a:stretch>
                  </pic:blipFill>
                  <pic:spPr>
                    <a:xfrm>
                      <a:off x="0" y="0"/>
                      <a:ext cx="5901055" cy="3900170"/>
                    </a:xfrm>
                    <a:prstGeom prst="rect">
                      <a:avLst/>
                    </a:prstGeom>
                    <a:noFill/>
                    <a:ln>
                      <a:noFill/>
                    </a:ln>
                  </pic:spPr>
                </pic:pic>
              </a:graphicData>
            </a:graphic>
          </wp:inline>
        </w:drawing>
      </w:r>
    </w:p>
    <w:p>
      <w:pPr>
        <w:pStyle w:val="36"/>
        <w:bidi w:val="0"/>
        <w:rPr>
          <w:rFonts w:hint="eastAsia"/>
          <w:color w:val="auto"/>
          <w:lang w:val="en-US" w:eastAsia="zh-CN"/>
        </w:rPr>
      </w:pPr>
      <w:r>
        <w:rPr>
          <w:rFonts w:hint="eastAsia"/>
          <w:color w:val="auto"/>
          <w:lang w:val="en-US" w:eastAsia="zh-CN"/>
        </w:rPr>
        <w:t>图7.1-8甲醇最大小时贡献浓度分布图</w:t>
      </w:r>
    </w:p>
    <w:p>
      <w:pPr>
        <w:spacing w:line="360" w:lineRule="auto"/>
        <w:jc w:val="center"/>
        <w:rPr>
          <w:rFonts w:ascii="Times New Roman" w:hAnsi="Times New Roman" w:eastAsia="宋体" w:cs="Times New Roman"/>
          <w:color w:val="auto"/>
          <w:sz w:val="24"/>
          <w:highlight w:val="none"/>
        </w:rPr>
      </w:pPr>
      <w:r>
        <w:rPr>
          <w:color w:val="auto"/>
        </w:rPr>
        <w:drawing>
          <wp:inline distT="0" distB="0" distL="114300" distR="114300">
            <wp:extent cx="5902960" cy="3762375"/>
            <wp:effectExtent l="0" t="0" r="2540" b="9525"/>
            <wp:docPr id="26"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0"/>
                    <pic:cNvPicPr>
                      <a:picLocks noChangeAspect="1"/>
                    </pic:cNvPicPr>
                  </pic:nvPicPr>
                  <pic:blipFill>
                    <a:blip r:embed="rId57"/>
                    <a:stretch>
                      <a:fillRect/>
                    </a:stretch>
                  </pic:blipFill>
                  <pic:spPr>
                    <a:xfrm>
                      <a:off x="0" y="0"/>
                      <a:ext cx="5902960" cy="3762375"/>
                    </a:xfrm>
                    <a:prstGeom prst="rect">
                      <a:avLst/>
                    </a:prstGeom>
                    <a:noFill/>
                    <a:ln>
                      <a:noFill/>
                    </a:ln>
                  </pic:spPr>
                </pic:pic>
              </a:graphicData>
            </a:graphic>
          </wp:inline>
        </w:drawing>
      </w:r>
    </w:p>
    <w:p>
      <w:pPr>
        <w:pStyle w:val="36"/>
        <w:bidi w:val="0"/>
        <w:rPr>
          <w:color w:val="auto"/>
        </w:rPr>
      </w:pPr>
      <w:r>
        <w:rPr>
          <w:rFonts w:hint="eastAsia"/>
          <w:color w:val="auto"/>
          <w:lang w:val="en-US" w:eastAsia="zh-CN"/>
        </w:rPr>
        <w:t>图7.1-9甲醇</w:t>
      </w:r>
      <w:r>
        <w:rPr>
          <w:color w:val="auto"/>
        </w:rPr>
        <w:t>最大日均贡献浓度分布图</w:t>
      </w:r>
    </w:p>
    <w:p>
      <w:pPr>
        <w:pStyle w:val="33"/>
        <w:ind w:left="0" w:leftChars="0" w:firstLine="480" w:firstLineChars="200"/>
        <w:rPr>
          <w:rFonts w:hint="eastAsia"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lang w:val="en-US" w:eastAsia="zh-CN"/>
        </w:rPr>
        <w:t>2</w:t>
      </w:r>
      <w:r>
        <w:rPr>
          <w:rFonts w:hint="eastAsia" w:ascii="Times New Roman" w:hAnsi="Times New Roman" w:eastAsia="宋体" w:cs="Times New Roman"/>
          <w:b/>
          <w:bCs/>
          <w:color w:val="auto"/>
          <w:kern w:val="0"/>
          <w:sz w:val="24"/>
          <w:highlight w:val="none"/>
          <w:lang w:eastAsia="zh-CN"/>
        </w:rPr>
        <w:t>）</w:t>
      </w:r>
      <w:r>
        <w:rPr>
          <w:rFonts w:hint="eastAsia" w:ascii="Times New Roman" w:hAnsi="Times New Roman" w:eastAsia="宋体" w:cs="Times New Roman"/>
          <w:b/>
          <w:bCs/>
          <w:color w:val="auto"/>
          <w:kern w:val="0"/>
          <w:sz w:val="24"/>
          <w:highlight w:val="none"/>
        </w:rPr>
        <w:t>叠加后环境质量浓度预测结果表</w:t>
      </w:r>
    </w:p>
    <w:p>
      <w:pPr>
        <w:pStyle w:val="33"/>
        <w:ind w:firstLine="480"/>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本次大气预测的因子VOCs</w:t>
      </w:r>
      <w:r>
        <w:rPr>
          <w:rFonts w:hint="eastAsia" w:ascii="Times New Roman" w:hAnsi="Times New Roman" w:cs="Times New Roman"/>
          <w:color w:val="auto"/>
          <w:kern w:val="0"/>
          <w:sz w:val="24"/>
          <w:highlight w:val="none"/>
          <w:lang w:val="en-US" w:eastAsia="zh-CN"/>
        </w:rPr>
        <w:t>和甲醇</w:t>
      </w:r>
      <w:r>
        <w:rPr>
          <w:rFonts w:hint="eastAsia" w:ascii="Times New Roman" w:hAnsi="Times New Roman" w:eastAsia="宋体" w:cs="Times New Roman"/>
          <w:color w:val="auto"/>
          <w:kern w:val="0"/>
          <w:sz w:val="24"/>
          <w:highlight w:val="none"/>
        </w:rPr>
        <w:t>均不是环境空气质量中的基本因子，本评价中VOCs和</w:t>
      </w:r>
      <w:r>
        <w:rPr>
          <w:rFonts w:hint="eastAsia" w:ascii="Times New Roman" w:hAnsi="Times New Roman" w:cs="Times New Roman"/>
          <w:color w:val="auto"/>
          <w:kern w:val="0"/>
          <w:sz w:val="24"/>
          <w:highlight w:val="none"/>
          <w:lang w:val="en-US" w:eastAsia="zh-CN"/>
        </w:rPr>
        <w:t>甲醇</w:t>
      </w:r>
      <w:r>
        <w:rPr>
          <w:rFonts w:hint="eastAsia" w:ascii="Times New Roman" w:hAnsi="Times New Roman" w:eastAsia="宋体" w:cs="Times New Roman"/>
          <w:color w:val="auto"/>
          <w:kern w:val="0"/>
          <w:sz w:val="24"/>
          <w:highlight w:val="none"/>
        </w:rPr>
        <w:t>的叠加背景浓度均来源于引用数据。根据环境空气质量现状数据可知，TVOC在监测时段内的8小时均值达标，</w:t>
      </w:r>
      <w:r>
        <w:rPr>
          <w:rFonts w:hint="eastAsia" w:ascii="Times New Roman" w:hAnsi="Times New Roman" w:cs="Times New Roman"/>
          <w:color w:val="auto"/>
          <w:kern w:val="0"/>
          <w:sz w:val="24"/>
          <w:highlight w:val="none"/>
          <w:lang w:val="en-US" w:eastAsia="zh-CN"/>
        </w:rPr>
        <w:t>甲醇</w:t>
      </w:r>
      <w:r>
        <w:rPr>
          <w:rFonts w:hint="eastAsia" w:ascii="Times New Roman" w:hAnsi="Times New Roman" w:eastAsia="宋体" w:cs="Times New Roman"/>
          <w:color w:val="auto"/>
          <w:kern w:val="0"/>
          <w:sz w:val="24"/>
          <w:highlight w:val="none"/>
        </w:rPr>
        <w:t>在监测时段内1小时和日均浓度值达标。根据《环境影响评价技术导则 大气环境》（HJ2.2-2018）要求，对于现状达标因子直接叠加补充监测的短期浓度进行评价。</w:t>
      </w:r>
    </w:p>
    <w:p>
      <w:pPr>
        <w:pStyle w:val="33"/>
        <w:ind w:firstLine="480"/>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根据《环境影响评价技术导则 大气环境》（HJ2.2-2018）要求，“对采用补充监测数据进行现状评价的，取各污染物不同评价时段监测浓度的最大值，作为评价范围内环境空气保护目标及网格点环境质量现状浓度。根据</w:t>
      </w:r>
      <w:r>
        <w:rPr>
          <w:rFonts w:hint="eastAsia" w:ascii="Times New Roman" w:hAnsi="Times New Roman" w:cs="Times New Roman"/>
          <w:color w:val="auto"/>
          <w:kern w:val="0"/>
          <w:sz w:val="24"/>
          <w:highlight w:val="none"/>
          <w:lang w:val="en-US" w:eastAsia="zh-CN"/>
        </w:rPr>
        <w:t>6.5</w:t>
      </w:r>
      <w:r>
        <w:rPr>
          <w:rFonts w:hint="eastAsia" w:ascii="Times New Roman" w:hAnsi="Times New Roman" w:eastAsia="宋体" w:cs="Times New Roman"/>
          <w:color w:val="auto"/>
          <w:kern w:val="0"/>
          <w:sz w:val="24"/>
          <w:highlight w:val="none"/>
        </w:rPr>
        <w:t>节的环境空气现状数据可知，监测时段内TVOC8小时值的最大监测结果</w:t>
      </w:r>
      <w:r>
        <w:rPr>
          <w:rFonts w:ascii="Times New Roman" w:hAnsi="Times New Roman" w:eastAsia="宋体" w:cs="Times New Roman"/>
          <w:color w:val="auto"/>
          <w:kern w:val="0"/>
          <w:sz w:val="24"/>
          <w:highlight w:val="none"/>
        </w:rPr>
        <w:t>为</w:t>
      </w:r>
      <w:r>
        <w:rPr>
          <w:rFonts w:hint="eastAsia" w:ascii="Times New Roman" w:hAnsi="Times New Roman" w:cs="Times New Roman"/>
          <w:color w:val="auto"/>
          <w:kern w:val="0"/>
          <w:sz w:val="24"/>
          <w:highlight w:val="none"/>
          <w:lang w:val="en-US" w:eastAsia="zh-CN"/>
        </w:rPr>
        <w:t>0.0046m</w:t>
      </w:r>
      <w:r>
        <w:rPr>
          <w:rFonts w:ascii="Times New Roman" w:hAnsi="Times New Roman" w:cs="Times New Roman"/>
          <w:color w:val="auto"/>
          <w:kern w:val="0"/>
          <w:sz w:val="24"/>
          <w:highlight w:val="none"/>
        </w:rPr>
        <w:t>g/m</w:t>
      </w:r>
      <w:r>
        <w:rPr>
          <w:rFonts w:ascii="Times New Roman" w:hAnsi="Times New Roman"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w:t>
      </w:r>
      <w:r>
        <w:rPr>
          <w:rFonts w:hint="eastAsia" w:ascii="Times New Roman" w:hAnsi="Times New Roman" w:cs="Times New Roman"/>
          <w:color w:val="auto"/>
          <w:kern w:val="0"/>
          <w:sz w:val="24"/>
          <w:highlight w:val="none"/>
          <w:lang w:val="en-US" w:eastAsia="zh-CN"/>
        </w:rPr>
        <w:t>甲醇</w:t>
      </w:r>
      <w:r>
        <w:rPr>
          <w:rFonts w:hint="eastAsia" w:ascii="Times New Roman" w:hAnsi="Times New Roman" w:eastAsia="宋体" w:cs="Times New Roman"/>
          <w:color w:val="auto"/>
          <w:kern w:val="0"/>
          <w:sz w:val="24"/>
          <w:highlight w:val="none"/>
        </w:rPr>
        <w:t>的1小时值最大监测结果</w:t>
      </w:r>
      <w:r>
        <w:rPr>
          <w:rFonts w:ascii="Times New Roman" w:hAnsi="Times New Roman" w:eastAsia="宋体" w:cs="Times New Roman"/>
          <w:color w:val="auto"/>
          <w:kern w:val="0"/>
          <w:sz w:val="24"/>
          <w:highlight w:val="none"/>
        </w:rPr>
        <w:t>为</w:t>
      </w:r>
      <w:r>
        <w:rPr>
          <w:rFonts w:hint="eastAsia" w:ascii="Times New Roman" w:hAnsi="Times New Roman" w:cs="Times New Roman"/>
          <w:color w:val="auto"/>
          <w:kern w:val="0"/>
          <w:sz w:val="24"/>
          <w:highlight w:val="none"/>
          <w:lang w:val="en-US" w:eastAsia="zh-CN"/>
        </w:rPr>
        <w:t>1.66m</w:t>
      </w:r>
      <w:r>
        <w:rPr>
          <w:rFonts w:ascii="Times New Roman" w:hAnsi="Times New Roman" w:cs="Times New Roman"/>
          <w:color w:val="auto"/>
          <w:kern w:val="0"/>
          <w:sz w:val="24"/>
          <w:highlight w:val="none"/>
        </w:rPr>
        <w:t>g/m</w:t>
      </w:r>
      <w:r>
        <w:rPr>
          <w:rFonts w:ascii="Times New Roman" w:hAnsi="Times New Roman" w:cs="Times New Roman"/>
          <w:color w:val="auto"/>
          <w:kern w:val="0"/>
          <w:sz w:val="24"/>
          <w:highlight w:val="none"/>
          <w:vertAlign w:val="superscript"/>
        </w:rPr>
        <w:t>3</w:t>
      </w:r>
      <w:r>
        <w:rPr>
          <w:rFonts w:hint="eastAsia" w:ascii="Times New Roman" w:hAnsi="Times New Roman" w:eastAsia="宋体" w:cs="Times New Roman"/>
          <w:color w:val="auto"/>
          <w:kern w:val="0"/>
          <w:sz w:val="24"/>
          <w:highlight w:val="none"/>
        </w:rPr>
        <w:t>。</w:t>
      </w:r>
    </w:p>
    <w:p>
      <w:pPr>
        <w:pStyle w:val="33"/>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本项目各环境空气保护目标和区域网格点主要污染物</w:t>
      </w:r>
      <w:r>
        <w:rPr>
          <w:rFonts w:hint="eastAsia" w:ascii="Times New Roman" w:hAnsi="Times New Roman" w:eastAsia="宋体" w:cs="Times New Roman"/>
          <w:color w:val="auto"/>
          <w:sz w:val="24"/>
          <w:highlight w:val="none"/>
        </w:rPr>
        <w:t>在叠加背景浓度及区域在建拟建污染源后，相关因子的</w:t>
      </w:r>
      <w:r>
        <w:rPr>
          <w:rFonts w:ascii="Times New Roman" w:hAnsi="Times New Roman" w:eastAsia="宋体" w:cs="Times New Roman"/>
          <w:color w:val="auto"/>
          <w:sz w:val="24"/>
          <w:highlight w:val="none"/>
        </w:rPr>
        <w:t>叠加浓度预测结果如下。</w:t>
      </w:r>
    </w:p>
    <w:p>
      <w:pPr>
        <w:pStyle w:val="33"/>
        <w:ind w:left="0" w:leftChars="0" w:firstLine="480"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w:t>
      </w:r>
      <w:r>
        <w:rPr>
          <w:rFonts w:hint="eastAsia" w:ascii="Times New Roman" w:hAnsi="Times New Roman" w:eastAsia="宋体" w:cs="Times New Roman"/>
          <w:b/>
          <w:color w:val="auto"/>
          <w:sz w:val="24"/>
          <w:highlight w:val="none"/>
        </w:rPr>
        <w:t>VOCs</w:t>
      </w:r>
      <w:r>
        <w:rPr>
          <w:rFonts w:ascii="Times New Roman" w:hAnsi="Times New Roman" w:eastAsia="宋体" w:cs="Times New Roman"/>
          <w:b/>
          <w:color w:val="auto"/>
          <w:sz w:val="24"/>
          <w:highlight w:val="none"/>
        </w:rPr>
        <w:t>叠加浓度预测结果</w:t>
      </w:r>
    </w:p>
    <w:p>
      <w:pPr>
        <w:pStyle w:val="36"/>
        <w:bidi w:val="0"/>
        <w:rPr>
          <w:color w:val="auto"/>
        </w:rPr>
      </w:pPr>
      <w:r>
        <w:rPr>
          <w:rFonts w:hint="eastAsia"/>
          <w:color w:val="auto"/>
          <w:lang w:val="en-US" w:eastAsia="zh-CN"/>
        </w:rPr>
        <w:t>表7.1-20</w:t>
      </w:r>
      <w:r>
        <w:rPr>
          <w:color w:val="auto"/>
        </w:rPr>
        <w:t>项目</w:t>
      </w:r>
      <w:r>
        <w:rPr>
          <w:rFonts w:hint="eastAsia"/>
          <w:color w:val="auto"/>
        </w:rPr>
        <w:t>VOCs</w:t>
      </w:r>
      <w:r>
        <w:rPr>
          <w:color w:val="auto"/>
        </w:rPr>
        <w:t>叠加后环境质量浓度预测结果表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1511"/>
        <w:gridCol w:w="1451"/>
        <w:gridCol w:w="1294"/>
        <w:gridCol w:w="1357"/>
        <w:gridCol w:w="1150"/>
        <w:gridCol w:w="912"/>
      </w:tblGrid>
      <w:tr>
        <w:trPr>
          <w:trHeight w:val="340" w:hRule="atLeast"/>
          <w:tblHeader/>
          <w:jc w:val="center"/>
        </w:trPr>
        <w:tc>
          <w:tcPr>
            <w:tcW w:w="964" w:type="pct"/>
            <w:tcBorders>
              <w:tl2br w:val="nil"/>
              <w:tr2bl w:val="nil"/>
            </w:tcBorders>
            <w:noWrap w:val="0"/>
            <w:vAlign w:val="center"/>
          </w:tcPr>
          <w:p>
            <w:pPr>
              <w:widowControl/>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预测点名称</w:t>
            </w:r>
          </w:p>
        </w:tc>
        <w:tc>
          <w:tcPr>
            <w:tcW w:w="794" w:type="pct"/>
            <w:tcBorders>
              <w:tl2br w:val="nil"/>
              <w:tr2bl w:val="nil"/>
            </w:tcBorders>
            <w:noWrap w:val="0"/>
            <w:vAlign w:val="center"/>
          </w:tcPr>
          <w:p>
            <w:pPr>
              <w:widowControl/>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平均时段</w:t>
            </w:r>
          </w:p>
        </w:tc>
        <w:tc>
          <w:tcPr>
            <w:tcW w:w="762" w:type="pct"/>
            <w:tcBorders>
              <w:tl2br w:val="nil"/>
              <w:tr2bl w:val="nil"/>
            </w:tcBorders>
            <w:noWrap w:val="0"/>
            <w:vAlign w:val="center"/>
          </w:tcPr>
          <w:p>
            <w:pPr>
              <w:widowControl/>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浓度增量(</w:t>
            </w:r>
            <w:r>
              <w:rPr>
                <w:rFonts w:hint="eastAsia" w:ascii="Times New Roman" w:hAnsi="Times New Roman" w:cs="Times New Roman"/>
                <w:b/>
                <w:color w:val="auto"/>
                <w:kern w:val="0"/>
                <w:szCs w:val="21"/>
                <w:highlight w:val="none"/>
                <w:lang w:val="en-US" w:eastAsia="zh-CN"/>
              </w:rPr>
              <w:t>m</w:t>
            </w:r>
            <w:r>
              <w:rPr>
                <w:rFonts w:ascii="Times New Roman" w:hAnsi="Times New Roman" w:cs="Times New Roman"/>
                <w:b/>
                <w:color w:val="auto"/>
                <w:kern w:val="0"/>
                <w:szCs w:val="21"/>
                <w:highlight w:val="none"/>
              </w:rPr>
              <w:t>g/m</w:t>
            </w:r>
            <w:r>
              <w:rPr>
                <w:rFonts w:ascii="Times New Roman" w:hAnsi="Times New Roman" w:cs="Times New Roman"/>
                <w:b/>
                <w:color w:val="auto"/>
                <w:kern w:val="0"/>
                <w:szCs w:val="21"/>
                <w:highlight w:val="none"/>
                <w:vertAlign w:val="superscript"/>
              </w:rPr>
              <w:t>3</w:t>
            </w:r>
            <w:r>
              <w:rPr>
                <w:rFonts w:ascii="Times New Roman" w:hAnsi="Times New Roman" w:cs="Times New Roman"/>
                <w:b/>
                <w:color w:val="auto"/>
                <w:kern w:val="0"/>
                <w:szCs w:val="21"/>
                <w:highlight w:val="none"/>
              </w:rPr>
              <w:t>)</w:t>
            </w:r>
          </w:p>
        </w:tc>
        <w:tc>
          <w:tcPr>
            <w:tcW w:w="680" w:type="pct"/>
            <w:tcBorders>
              <w:tl2br w:val="nil"/>
              <w:tr2bl w:val="nil"/>
            </w:tcBorders>
            <w:noWrap w:val="0"/>
            <w:vAlign w:val="center"/>
          </w:tcPr>
          <w:p>
            <w:pPr>
              <w:widowControl/>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背景浓度(</w:t>
            </w:r>
            <w:r>
              <w:rPr>
                <w:rFonts w:hint="eastAsia" w:ascii="Times New Roman" w:hAnsi="Times New Roman" w:cs="Times New Roman"/>
                <w:b/>
                <w:color w:val="auto"/>
                <w:kern w:val="0"/>
                <w:szCs w:val="21"/>
                <w:highlight w:val="none"/>
                <w:lang w:val="en-US" w:eastAsia="zh-CN"/>
              </w:rPr>
              <w:t>m</w:t>
            </w:r>
            <w:r>
              <w:rPr>
                <w:rFonts w:ascii="Times New Roman" w:hAnsi="Times New Roman" w:cs="Times New Roman"/>
                <w:b/>
                <w:color w:val="auto"/>
                <w:kern w:val="0"/>
                <w:szCs w:val="21"/>
                <w:highlight w:val="none"/>
              </w:rPr>
              <w:t>g/m</w:t>
            </w:r>
            <w:r>
              <w:rPr>
                <w:rFonts w:ascii="Times New Roman" w:hAnsi="Times New Roman" w:cs="Times New Roman"/>
                <w:b/>
                <w:color w:val="auto"/>
                <w:kern w:val="0"/>
                <w:szCs w:val="21"/>
                <w:highlight w:val="none"/>
                <w:vertAlign w:val="superscript"/>
              </w:rPr>
              <w:t>3</w:t>
            </w:r>
            <w:r>
              <w:rPr>
                <w:rFonts w:ascii="Times New Roman" w:hAnsi="Times New Roman" w:cs="Times New Roman"/>
                <w:b/>
                <w:color w:val="auto"/>
                <w:kern w:val="0"/>
                <w:szCs w:val="21"/>
                <w:highlight w:val="none"/>
              </w:rPr>
              <w:t>)</w:t>
            </w:r>
          </w:p>
        </w:tc>
        <w:tc>
          <w:tcPr>
            <w:tcW w:w="713" w:type="pct"/>
            <w:tcBorders>
              <w:tl2br w:val="nil"/>
              <w:tr2bl w:val="nil"/>
            </w:tcBorders>
            <w:noWrap w:val="0"/>
            <w:vAlign w:val="center"/>
          </w:tcPr>
          <w:p>
            <w:pPr>
              <w:widowControl/>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叠加后的浓度(μg/m</w:t>
            </w:r>
            <w:r>
              <w:rPr>
                <w:rFonts w:ascii="Times New Roman" w:hAnsi="Times New Roman" w:cs="Times New Roman"/>
                <w:b/>
                <w:color w:val="auto"/>
                <w:kern w:val="0"/>
                <w:szCs w:val="21"/>
                <w:highlight w:val="none"/>
                <w:vertAlign w:val="superscript"/>
              </w:rPr>
              <w:t>3</w:t>
            </w:r>
            <w:r>
              <w:rPr>
                <w:rFonts w:ascii="Times New Roman" w:hAnsi="Times New Roman" w:cs="Times New Roman"/>
                <w:b/>
                <w:color w:val="auto"/>
                <w:kern w:val="0"/>
                <w:szCs w:val="21"/>
                <w:highlight w:val="none"/>
              </w:rPr>
              <w:t>)</w:t>
            </w:r>
          </w:p>
        </w:tc>
        <w:tc>
          <w:tcPr>
            <w:tcW w:w="604" w:type="pct"/>
            <w:tcBorders>
              <w:tl2br w:val="nil"/>
              <w:tr2bl w:val="nil"/>
            </w:tcBorders>
            <w:noWrap w:val="0"/>
            <w:vAlign w:val="center"/>
          </w:tcPr>
          <w:p>
            <w:pPr>
              <w:widowControl/>
              <w:ind w:left="-105" w:leftChars="-50" w:right="-105" w:rightChars="-50"/>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占标率%</w:t>
            </w:r>
          </w:p>
          <w:p>
            <w:pPr>
              <w:widowControl/>
              <w:ind w:left="-105" w:leftChars="-50" w:right="-105" w:rightChars="-50"/>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(叠加后)</w:t>
            </w:r>
          </w:p>
        </w:tc>
        <w:tc>
          <w:tcPr>
            <w:tcW w:w="479" w:type="pct"/>
            <w:tcBorders>
              <w:tl2br w:val="nil"/>
              <w:tr2bl w:val="nil"/>
            </w:tcBorders>
            <w:noWrap w:val="0"/>
            <w:vAlign w:val="center"/>
          </w:tcPr>
          <w:p>
            <w:pPr>
              <w:widowControl/>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64"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滨江村</w:t>
            </w:r>
          </w:p>
        </w:tc>
        <w:tc>
          <w:tcPr>
            <w:tcW w:w="794"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8小时</w:t>
            </w:r>
          </w:p>
        </w:tc>
        <w:tc>
          <w:tcPr>
            <w:tcW w:w="127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1.01E-02</w:t>
            </w:r>
          </w:p>
        </w:tc>
        <w:tc>
          <w:tcPr>
            <w:tcW w:w="113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0.0046</w:t>
            </w:r>
          </w:p>
        </w:tc>
        <w:tc>
          <w:tcPr>
            <w:tcW w:w="1187"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1.35E-02</w:t>
            </w:r>
          </w:p>
        </w:tc>
        <w:tc>
          <w:tcPr>
            <w:tcW w:w="1001"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1.12</w:t>
            </w:r>
          </w:p>
        </w:tc>
        <w:tc>
          <w:tcPr>
            <w:tcW w:w="479"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64"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基隆村</w:t>
            </w:r>
          </w:p>
        </w:tc>
        <w:tc>
          <w:tcPr>
            <w:tcW w:w="794"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8小时</w:t>
            </w:r>
          </w:p>
        </w:tc>
        <w:tc>
          <w:tcPr>
            <w:tcW w:w="127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8.34E-03</w:t>
            </w:r>
          </w:p>
        </w:tc>
        <w:tc>
          <w:tcPr>
            <w:tcW w:w="113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0.0046</w:t>
            </w:r>
          </w:p>
        </w:tc>
        <w:tc>
          <w:tcPr>
            <w:tcW w:w="1187"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1.17E-02</w:t>
            </w:r>
          </w:p>
        </w:tc>
        <w:tc>
          <w:tcPr>
            <w:tcW w:w="1001"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0.98</w:t>
            </w:r>
          </w:p>
        </w:tc>
        <w:tc>
          <w:tcPr>
            <w:tcW w:w="479"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64"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大田村</w:t>
            </w:r>
          </w:p>
        </w:tc>
        <w:tc>
          <w:tcPr>
            <w:tcW w:w="794"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8小时</w:t>
            </w:r>
          </w:p>
        </w:tc>
        <w:tc>
          <w:tcPr>
            <w:tcW w:w="127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4.62E-03</w:t>
            </w:r>
          </w:p>
        </w:tc>
        <w:tc>
          <w:tcPr>
            <w:tcW w:w="113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0.0046</w:t>
            </w:r>
          </w:p>
        </w:tc>
        <w:tc>
          <w:tcPr>
            <w:tcW w:w="1187"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7.99E-03</w:t>
            </w:r>
          </w:p>
        </w:tc>
        <w:tc>
          <w:tcPr>
            <w:tcW w:w="1001"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0.67</w:t>
            </w:r>
          </w:p>
        </w:tc>
        <w:tc>
          <w:tcPr>
            <w:tcW w:w="479"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64"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方家咀</w:t>
            </w:r>
          </w:p>
        </w:tc>
        <w:tc>
          <w:tcPr>
            <w:tcW w:w="794"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8小时</w:t>
            </w:r>
          </w:p>
        </w:tc>
        <w:tc>
          <w:tcPr>
            <w:tcW w:w="127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1.15E-02</w:t>
            </w:r>
          </w:p>
        </w:tc>
        <w:tc>
          <w:tcPr>
            <w:tcW w:w="113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0.0046</w:t>
            </w:r>
          </w:p>
        </w:tc>
        <w:tc>
          <w:tcPr>
            <w:tcW w:w="1187"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1.48E-02</w:t>
            </w:r>
          </w:p>
        </w:tc>
        <w:tc>
          <w:tcPr>
            <w:tcW w:w="1001"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1.24</w:t>
            </w:r>
          </w:p>
        </w:tc>
        <w:tc>
          <w:tcPr>
            <w:tcW w:w="479"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64"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胜利村</w:t>
            </w:r>
          </w:p>
        </w:tc>
        <w:tc>
          <w:tcPr>
            <w:tcW w:w="794"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8小时</w:t>
            </w:r>
          </w:p>
        </w:tc>
        <w:tc>
          <w:tcPr>
            <w:tcW w:w="127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1.44E-03</w:t>
            </w:r>
          </w:p>
        </w:tc>
        <w:tc>
          <w:tcPr>
            <w:tcW w:w="113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0.0046</w:t>
            </w:r>
          </w:p>
        </w:tc>
        <w:tc>
          <w:tcPr>
            <w:tcW w:w="1187"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4.81E-03</w:t>
            </w:r>
          </w:p>
        </w:tc>
        <w:tc>
          <w:tcPr>
            <w:tcW w:w="1001"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0.4</w:t>
            </w:r>
          </w:p>
        </w:tc>
        <w:tc>
          <w:tcPr>
            <w:tcW w:w="479"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64"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胜利小区</w:t>
            </w:r>
          </w:p>
        </w:tc>
        <w:tc>
          <w:tcPr>
            <w:tcW w:w="794"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8小时</w:t>
            </w:r>
          </w:p>
        </w:tc>
        <w:tc>
          <w:tcPr>
            <w:tcW w:w="127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5.16E-03</w:t>
            </w:r>
          </w:p>
        </w:tc>
        <w:tc>
          <w:tcPr>
            <w:tcW w:w="113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0.0046</w:t>
            </w:r>
          </w:p>
        </w:tc>
        <w:tc>
          <w:tcPr>
            <w:tcW w:w="1187"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8.53E-03</w:t>
            </w:r>
          </w:p>
        </w:tc>
        <w:tc>
          <w:tcPr>
            <w:tcW w:w="1001"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0.71</w:t>
            </w:r>
          </w:p>
        </w:tc>
        <w:tc>
          <w:tcPr>
            <w:tcW w:w="479"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64"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云溪区一中</w:t>
            </w:r>
          </w:p>
        </w:tc>
        <w:tc>
          <w:tcPr>
            <w:tcW w:w="794"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8小时</w:t>
            </w:r>
          </w:p>
        </w:tc>
        <w:tc>
          <w:tcPr>
            <w:tcW w:w="127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8.10E-03</w:t>
            </w:r>
          </w:p>
        </w:tc>
        <w:tc>
          <w:tcPr>
            <w:tcW w:w="113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0.0046</w:t>
            </w:r>
          </w:p>
        </w:tc>
        <w:tc>
          <w:tcPr>
            <w:tcW w:w="1187"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1.15E-02</w:t>
            </w:r>
          </w:p>
        </w:tc>
        <w:tc>
          <w:tcPr>
            <w:tcW w:w="1001"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0.96</w:t>
            </w:r>
          </w:p>
        </w:tc>
        <w:tc>
          <w:tcPr>
            <w:tcW w:w="479"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64"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云溪城区</w:t>
            </w:r>
          </w:p>
        </w:tc>
        <w:tc>
          <w:tcPr>
            <w:tcW w:w="794"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8小时</w:t>
            </w:r>
          </w:p>
        </w:tc>
        <w:tc>
          <w:tcPr>
            <w:tcW w:w="127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8.51E-03</w:t>
            </w:r>
          </w:p>
        </w:tc>
        <w:tc>
          <w:tcPr>
            <w:tcW w:w="113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0.0046</w:t>
            </w:r>
          </w:p>
        </w:tc>
        <w:tc>
          <w:tcPr>
            <w:tcW w:w="1187"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1.19E-02</w:t>
            </w:r>
          </w:p>
        </w:tc>
        <w:tc>
          <w:tcPr>
            <w:tcW w:w="1001"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0.99</w:t>
            </w:r>
          </w:p>
        </w:tc>
        <w:tc>
          <w:tcPr>
            <w:tcW w:w="479"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64"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八一村</w:t>
            </w:r>
          </w:p>
        </w:tc>
        <w:tc>
          <w:tcPr>
            <w:tcW w:w="794"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8小时</w:t>
            </w:r>
          </w:p>
        </w:tc>
        <w:tc>
          <w:tcPr>
            <w:tcW w:w="127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7.35E-03</w:t>
            </w:r>
          </w:p>
        </w:tc>
        <w:tc>
          <w:tcPr>
            <w:tcW w:w="113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0.0046</w:t>
            </w:r>
          </w:p>
        </w:tc>
        <w:tc>
          <w:tcPr>
            <w:tcW w:w="1187"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1.07E-02</w:t>
            </w:r>
          </w:p>
        </w:tc>
        <w:tc>
          <w:tcPr>
            <w:tcW w:w="1001"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0.89</w:t>
            </w:r>
          </w:p>
        </w:tc>
        <w:tc>
          <w:tcPr>
            <w:tcW w:w="479"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964"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网格（-50，-50）</w:t>
            </w:r>
          </w:p>
        </w:tc>
        <w:tc>
          <w:tcPr>
            <w:tcW w:w="794"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8小时</w:t>
            </w:r>
          </w:p>
        </w:tc>
        <w:tc>
          <w:tcPr>
            <w:tcW w:w="127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1.08E-01</w:t>
            </w:r>
          </w:p>
        </w:tc>
        <w:tc>
          <w:tcPr>
            <w:tcW w:w="1130"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0.0046</w:t>
            </w:r>
          </w:p>
        </w:tc>
        <w:tc>
          <w:tcPr>
            <w:tcW w:w="1187"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1.12E-01</w:t>
            </w:r>
          </w:p>
        </w:tc>
        <w:tc>
          <w:tcPr>
            <w:tcW w:w="1001" w:type="dxa"/>
            <w:tcBorders>
              <w:tl2br w:val="nil"/>
              <w:tr2bl w:val="nil"/>
            </w:tcBorders>
            <w:noWrap/>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9.32</w:t>
            </w:r>
          </w:p>
        </w:tc>
        <w:tc>
          <w:tcPr>
            <w:tcW w:w="479" w:type="pct"/>
            <w:tcBorders>
              <w:tl2br w:val="nil"/>
              <w:tr2bl w:val="nil"/>
            </w:tcBorders>
            <w:noWrap/>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bl>
    <w:p>
      <w:pPr>
        <w:pStyle w:val="33"/>
        <w:ind w:firstLine="48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由上表的预测结果可知，</w:t>
      </w:r>
      <w:r>
        <w:rPr>
          <w:rFonts w:hint="eastAsia" w:ascii="Times New Roman" w:hAnsi="Times New Roman" w:eastAsia="宋体" w:cs="Times New Roman"/>
          <w:color w:val="auto"/>
          <w:kern w:val="0"/>
          <w:sz w:val="24"/>
          <w:highlight w:val="none"/>
        </w:rPr>
        <w:t>叠加背景浓度及区域在建拟建污染源后，项目排放的VOCs在各敏感点及区域网格最大落地浓度点处的8小时浓度值满足《环境影响评价技术导则 大气环境》(HJ2.2-2018)附录D中标准限值要求。</w:t>
      </w:r>
    </w:p>
    <w:p>
      <w:pPr>
        <w:pStyle w:val="12"/>
        <w:rPr>
          <w:color w:val="auto"/>
          <w:highlight w:val="none"/>
        </w:rPr>
      </w:pPr>
    </w:p>
    <w:p>
      <w:pPr>
        <w:spacing w:line="360" w:lineRule="auto"/>
        <w:jc w:val="center"/>
        <w:rPr>
          <w:rFonts w:ascii="Times New Roman" w:hAnsi="Times New Roman" w:eastAsia="宋体" w:cs="Times New Roman"/>
          <w:color w:val="auto"/>
          <w:kern w:val="0"/>
          <w:sz w:val="24"/>
          <w:highlight w:val="none"/>
        </w:rPr>
      </w:pPr>
      <w:r>
        <w:rPr>
          <w:color w:val="auto"/>
        </w:rPr>
        <w:drawing>
          <wp:inline distT="0" distB="0" distL="114300" distR="114300">
            <wp:extent cx="5902960" cy="4130675"/>
            <wp:effectExtent l="0" t="0" r="2540" b="3175"/>
            <wp:docPr id="27"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8"/>
                    <pic:cNvPicPr>
                      <a:picLocks noChangeAspect="1"/>
                    </pic:cNvPicPr>
                  </pic:nvPicPr>
                  <pic:blipFill>
                    <a:blip r:embed="rId58"/>
                    <a:stretch>
                      <a:fillRect/>
                    </a:stretch>
                  </pic:blipFill>
                  <pic:spPr>
                    <a:xfrm>
                      <a:off x="0" y="0"/>
                      <a:ext cx="5902960" cy="4130675"/>
                    </a:xfrm>
                    <a:prstGeom prst="rect">
                      <a:avLst/>
                    </a:prstGeom>
                    <a:noFill/>
                    <a:ln>
                      <a:noFill/>
                    </a:ln>
                  </pic:spPr>
                </pic:pic>
              </a:graphicData>
            </a:graphic>
          </wp:inline>
        </w:drawing>
      </w:r>
    </w:p>
    <w:p>
      <w:pPr>
        <w:pStyle w:val="36"/>
        <w:bidi w:val="0"/>
        <w:rPr>
          <w:rFonts w:hint="eastAsia"/>
          <w:color w:val="auto"/>
        </w:rPr>
      </w:pPr>
      <w:r>
        <w:rPr>
          <w:rFonts w:hint="eastAsia"/>
          <w:color w:val="auto"/>
          <w:lang w:val="en-US" w:eastAsia="zh-CN"/>
        </w:rPr>
        <w:t xml:space="preserve">图7.1-10 </w:t>
      </w:r>
      <w:r>
        <w:rPr>
          <w:rFonts w:hint="eastAsia"/>
          <w:color w:val="auto"/>
        </w:rPr>
        <w:t>VOCs叠加后最大8h平均质量浓度分布图</w:t>
      </w:r>
    </w:p>
    <w:p>
      <w:pPr>
        <w:pStyle w:val="33"/>
        <w:ind w:left="0" w:leftChars="0" w:firstLine="480"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w:t>
      </w:r>
      <w:r>
        <w:rPr>
          <w:rFonts w:hint="eastAsia" w:ascii="Times New Roman" w:hAnsi="Times New Roman" w:cs="Times New Roman"/>
          <w:b/>
          <w:color w:val="auto"/>
          <w:sz w:val="24"/>
          <w:highlight w:val="none"/>
          <w:lang w:val="en-US" w:eastAsia="zh-CN"/>
        </w:rPr>
        <w:t>甲醇</w:t>
      </w:r>
      <w:r>
        <w:rPr>
          <w:rFonts w:ascii="Times New Roman" w:hAnsi="Times New Roman" w:eastAsia="宋体" w:cs="Times New Roman"/>
          <w:b/>
          <w:color w:val="auto"/>
          <w:sz w:val="24"/>
          <w:highlight w:val="none"/>
        </w:rPr>
        <w:t>叠加浓度预测结果</w:t>
      </w:r>
    </w:p>
    <w:p>
      <w:pPr>
        <w:pStyle w:val="36"/>
        <w:bidi w:val="0"/>
        <w:rPr>
          <w:color w:val="auto"/>
        </w:rPr>
      </w:pPr>
      <w:r>
        <w:rPr>
          <w:rFonts w:hint="eastAsia"/>
          <w:color w:val="auto"/>
          <w:lang w:val="en-US" w:eastAsia="zh-CN"/>
        </w:rPr>
        <w:t>表7.1-21</w:t>
      </w:r>
      <w:r>
        <w:rPr>
          <w:color w:val="auto"/>
        </w:rPr>
        <w:t>项目</w:t>
      </w:r>
      <w:r>
        <w:rPr>
          <w:rFonts w:hint="eastAsia"/>
          <w:color w:val="auto"/>
          <w:lang w:val="en-US" w:eastAsia="zh-CN"/>
        </w:rPr>
        <w:t>甲醇</w:t>
      </w:r>
      <w:r>
        <w:rPr>
          <w:color w:val="auto"/>
        </w:rPr>
        <w:t>叠加后环境质量浓度预测结果表</w:t>
      </w:r>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45"/>
        <w:gridCol w:w="1094"/>
        <w:gridCol w:w="1088"/>
        <w:gridCol w:w="1648"/>
        <w:gridCol w:w="1024"/>
        <w:gridCol w:w="1060"/>
        <w:gridCol w:w="1045"/>
        <w:gridCol w:w="9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blHeader/>
        </w:trPr>
        <w:tc>
          <w:tcPr>
            <w:tcW w:w="86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预测点</w:t>
            </w:r>
          </w:p>
        </w:tc>
        <w:tc>
          <w:tcPr>
            <w:tcW w:w="5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平均时段</w:t>
            </w:r>
          </w:p>
        </w:tc>
        <w:tc>
          <w:tcPr>
            <w:tcW w:w="572"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浓度增量(</w:t>
            </w:r>
            <w:r>
              <w:rPr>
                <w:rFonts w:hint="eastAsia" w:ascii="Times New Roman" w:hAnsi="Times New Roman" w:cs="Times New Roman"/>
                <w:b/>
                <w:color w:val="auto"/>
                <w:kern w:val="0"/>
                <w:sz w:val="21"/>
                <w:szCs w:val="21"/>
                <w:highlight w:val="none"/>
                <w:lang w:val="en-US" w:eastAsia="zh-CN"/>
              </w:rPr>
              <w:t>m</w:t>
            </w:r>
            <w:r>
              <w:rPr>
                <w:rFonts w:hint="default" w:ascii="Times New Roman" w:hAnsi="Times New Roman" w:eastAsia="宋体" w:cs="Times New Roman"/>
                <w:b/>
                <w:color w:val="auto"/>
                <w:kern w:val="0"/>
                <w:sz w:val="21"/>
                <w:szCs w:val="21"/>
                <w:highlight w:val="none"/>
              </w:rPr>
              <w:t>g/m</w:t>
            </w:r>
            <w:r>
              <w:rPr>
                <w:rFonts w:hint="default" w:ascii="Times New Roman" w:hAnsi="Times New Roman" w:eastAsia="宋体" w:cs="Times New Roman"/>
                <w:b/>
                <w:color w:val="auto"/>
                <w:kern w:val="0"/>
                <w:sz w:val="21"/>
                <w:szCs w:val="21"/>
                <w:highlight w:val="none"/>
                <w:vertAlign w:val="superscript"/>
              </w:rPr>
              <w:t>3</w:t>
            </w:r>
            <w:r>
              <w:rPr>
                <w:rFonts w:hint="default" w:ascii="Times New Roman" w:hAnsi="Times New Roman" w:eastAsia="宋体" w:cs="Times New Roman"/>
                <w:b/>
                <w:color w:val="auto"/>
                <w:kern w:val="0"/>
                <w:sz w:val="21"/>
                <w:szCs w:val="21"/>
                <w:highlight w:val="none"/>
              </w:rPr>
              <w:t>)</w:t>
            </w:r>
          </w:p>
        </w:tc>
        <w:tc>
          <w:tcPr>
            <w:tcW w:w="866"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出现时间(YYMMDDHH)</w:t>
            </w:r>
          </w:p>
        </w:tc>
        <w:tc>
          <w:tcPr>
            <w:tcW w:w="538"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背景浓度(</w:t>
            </w:r>
            <w:r>
              <w:rPr>
                <w:rFonts w:hint="eastAsia" w:ascii="Times New Roman" w:hAnsi="Times New Roman" w:cs="Times New Roman"/>
                <w:b/>
                <w:color w:val="auto"/>
                <w:kern w:val="0"/>
                <w:sz w:val="21"/>
                <w:szCs w:val="21"/>
                <w:highlight w:val="none"/>
                <w:lang w:val="en-US" w:eastAsia="zh-CN"/>
              </w:rPr>
              <w:t>m</w:t>
            </w:r>
            <w:r>
              <w:rPr>
                <w:rFonts w:hint="default" w:ascii="Times New Roman" w:hAnsi="Times New Roman" w:eastAsia="宋体" w:cs="Times New Roman"/>
                <w:b/>
                <w:color w:val="auto"/>
                <w:kern w:val="0"/>
                <w:sz w:val="21"/>
                <w:szCs w:val="21"/>
                <w:highlight w:val="none"/>
              </w:rPr>
              <w:t>g/m</w:t>
            </w:r>
            <w:r>
              <w:rPr>
                <w:rFonts w:hint="default" w:ascii="Times New Roman" w:hAnsi="Times New Roman" w:eastAsia="宋体" w:cs="Times New Roman"/>
                <w:b/>
                <w:color w:val="auto"/>
                <w:kern w:val="0"/>
                <w:sz w:val="21"/>
                <w:szCs w:val="21"/>
                <w:highlight w:val="none"/>
                <w:vertAlign w:val="superscript"/>
              </w:rPr>
              <w:t>3</w:t>
            </w:r>
            <w:r>
              <w:rPr>
                <w:rFonts w:hint="default" w:ascii="Times New Roman" w:hAnsi="Times New Roman" w:eastAsia="宋体" w:cs="Times New Roman"/>
                <w:b/>
                <w:color w:val="auto"/>
                <w:kern w:val="0"/>
                <w:sz w:val="21"/>
                <w:szCs w:val="21"/>
                <w:highlight w:val="none"/>
              </w:rPr>
              <w:t>)</w:t>
            </w:r>
          </w:p>
        </w:tc>
        <w:tc>
          <w:tcPr>
            <w:tcW w:w="557"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叠加背景后的浓度(μg/m</w:t>
            </w:r>
            <w:r>
              <w:rPr>
                <w:rFonts w:hint="default" w:ascii="Times New Roman" w:hAnsi="Times New Roman" w:eastAsia="宋体" w:cs="Times New Roman"/>
                <w:b/>
                <w:color w:val="auto"/>
                <w:kern w:val="0"/>
                <w:sz w:val="21"/>
                <w:szCs w:val="21"/>
                <w:highlight w:val="none"/>
                <w:vertAlign w:val="superscript"/>
              </w:rPr>
              <w:t>3</w:t>
            </w:r>
            <w:r>
              <w:rPr>
                <w:rFonts w:hint="default" w:ascii="Times New Roman" w:hAnsi="Times New Roman" w:eastAsia="宋体" w:cs="Times New Roman"/>
                <w:b/>
                <w:color w:val="auto"/>
                <w:kern w:val="0"/>
                <w:sz w:val="21"/>
                <w:szCs w:val="21"/>
                <w:highlight w:val="none"/>
              </w:rPr>
              <w:t>)</w:t>
            </w:r>
          </w:p>
        </w:tc>
        <w:tc>
          <w:tcPr>
            <w:tcW w:w="549"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占标率%(叠加背景以后)</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是否超标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滨江村</w:t>
            </w:r>
          </w:p>
        </w:tc>
        <w:tc>
          <w:tcPr>
            <w:tcW w:w="5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5.56E-03</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19070207</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1.12E+00</w:t>
            </w:r>
          </w:p>
        </w:tc>
        <w:tc>
          <w:tcPr>
            <w:tcW w:w="109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1.13E+00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37.52</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基隆村</w:t>
            </w:r>
          </w:p>
        </w:tc>
        <w:tc>
          <w:tcPr>
            <w:tcW w:w="5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1.99E-03</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19062406</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9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37.4</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大田村</w:t>
            </w:r>
          </w:p>
        </w:tc>
        <w:tc>
          <w:tcPr>
            <w:tcW w:w="5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6.13E-03</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19030824</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9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1.13E+00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37.54</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方家咀</w:t>
            </w:r>
          </w:p>
        </w:tc>
        <w:tc>
          <w:tcPr>
            <w:tcW w:w="5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4.01E-03</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19041902</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9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37.47</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胜利村</w:t>
            </w:r>
          </w:p>
        </w:tc>
        <w:tc>
          <w:tcPr>
            <w:tcW w:w="5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4.61E-04</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19070207</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9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37.35</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胜利小区</w:t>
            </w:r>
          </w:p>
        </w:tc>
        <w:tc>
          <w:tcPr>
            <w:tcW w:w="5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1.54E-03</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19060720</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9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37.38</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云溪区一中</w:t>
            </w:r>
          </w:p>
        </w:tc>
        <w:tc>
          <w:tcPr>
            <w:tcW w:w="5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2.20E-03</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19101124</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9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37.41</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云溪城区</w:t>
            </w:r>
          </w:p>
        </w:tc>
        <w:tc>
          <w:tcPr>
            <w:tcW w:w="5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1.42E-03</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19082920</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9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37.38</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八一村</w:t>
            </w:r>
          </w:p>
        </w:tc>
        <w:tc>
          <w:tcPr>
            <w:tcW w:w="5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4.37E-03</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19063001</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9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37.48</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网格（300，0）</w:t>
            </w:r>
          </w:p>
        </w:tc>
        <w:tc>
          <w:tcPr>
            <w:tcW w:w="5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3.96E-03</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19051707</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1.12E+00</w:t>
            </w:r>
          </w:p>
        </w:tc>
        <w:tc>
          <w:tcPr>
            <w:tcW w:w="109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1.14E+00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37.95</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滨江村</w:t>
            </w:r>
          </w:p>
        </w:tc>
        <w:tc>
          <w:tcPr>
            <w:tcW w:w="5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日平均</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2.93E-04</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190425</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0.82E+00</w:t>
            </w:r>
          </w:p>
        </w:tc>
        <w:tc>
          <w:tcPr>
            <w:tcW w:w="1059"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0.84E+00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rPr>
              <w:t>84.1</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基隆村</w:t>
            </w:r>
          </w:p>
        </w:tc>
        <w:tc>
          <w:tcPr>
            <w:tcW w:w="57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日平均</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2.67E-04</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190407</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0.82E+00</w:t>
            </w:r>
          </w:p>
        </w:tc>
        <w:tc>
          <w:tcPr>
            <w:tcW w:w="1059"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0.83E+00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rPr>
              <w:t>83.2</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大田村</w:t>
            </w:r>
          </w:p>
        </w:tc>
        <w:tc>
          <w:tcPr>
            <w:tcW w:w="57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日平均</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3.23E-04</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191122</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0.82E+00</w:t>
            </w:r>
          </w:p>
        </w:tc>
        <w:tc>
          <w:tcPr>
            <w:tcW w:w="1059"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0.84E+00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84.2</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方家咀</w:t>
            </w:r>
          </w:p>
        </w:tc>
        <w:tc>
          <w:tcPr>
            <w:tcW w:w="57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日平均</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2.04E-04</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190419</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0.82E+00</w:t>
            </w:r>
          </w:p>
        </w:tc>
        <w:tc>
          <w:tcPr>
            <w:tcW w:w="1059"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0.83E+00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83.4</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胜利村</w:t>
            </w:r>
          </w:p>
        </w:tc>
        <w:tc>
          <w:tcPr>
            <w:tcW w:w="57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日平均</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2.01E-05</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190702</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0.82E+00</w:t>
            </w:r>
          </w:p>
        </w:tc>
        <w:tc>
          <w:tcPr>
            <w:tcW w:w="1059"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0.84E+00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84.2</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胜利小区</w:t>
            </w:r>
          </w:p>
        </w:tc>
        <w:tc>
          <w:tcPr>
            <w:tcW w:w="57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日平均</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1.69E-04</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190515</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0.82E+00</w:t>
            </w:r>
          </w:p>
        </w:tc>
        <w:tc>
          <w:tcPr>
            <w:tcW w:w="1059"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0.83E+00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83.2</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云溪区一中</w:t>
            </w:r>
          </w:p>
        </w:tc>
        <w:tc>
          <w:tcPr>
            <w:tcW w:w="57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日平均</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1.62E-04</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190617</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0.82E+00</w:t>
            </w:r>
          </w:p>
        </w:tc>
        <w:tc>
          <w:tcPr>
            <w:tcW w:w="1059"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0.83E+00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83.2</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云溪城区</w:t>
            </w:r>
          </w:p>
        </w:tc>
        <w:tc>
          <w:tcPr>
            <w:tcW w:w="57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日平均</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1.29E-04</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190811</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0.82E+00</w:t>
            </w:r>
          </w:p>
        </w:tc>
        <w:tc>
          <w:tcPr>
            <w:tcW w:w="1059"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0.83E+00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83.2</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八一村</w:t>
            </w:r>
          </w:p>
        </w:tc>
        <w:tc>
          <w:tcPr>
            <w:tcW w:w="57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日平均</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1.91E-04</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190630</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0.82E+00</w:t>
            </w:r>
          </w:p>
        </w:tc>
        <w:tc>
          <w:tcPr>
            <w:tcW w:w="1059"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0.83E+00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83.2</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8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网格（-50，0）</w:t>
            </w:r>
          </w:p>
        </w:tc>
        <w:tc>
          <w:tcPr>
            <w:tcW w:w="57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日平均</w:t>
            </w:r>
          </w:p>
        </w:tc>
        <w:tc>
          <w:tcPr>
            <w:tcW w:w="976"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1.27E-03</w:t>
            </w:r>
          </w:p>
        </w:tc>
        <w:tc>
          <w:tcPr>
            <w:tcW w:w="1477"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190513</w:t>
            </w:r>
          </w:p>
        </w:tc>
        <w:tc>
          <w:tcPr>
            <w:tcW w:w="1023"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0.82E+00</w:t>
            </w:r>
          </w:p>
        </w:tc>
        <w:tc>
          <w:tcPr>
            <w:tcW w:w="1059"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0.83E+00</w:t>
            </w:r>
          </w:p>
        </w:tc>
        <w:tc>
          <w:tcPr>
            <w:tcW w:w="1022"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rPr>
              <w:t>83.2</w:t>
            </w:r>
          </w:p>
        </w:tc>
        <w:tc>
          <w:tcPr>
            <w:tcW w:w="475" w:type="pct"/>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bl>
    <w:p>
      <w:pPr>
        <w:pStyle w:val="33"/>
        <w:ind w:firstLine="48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由上表的预测结果可以看出，</w:t>
      </w:r>
      <w:r>
        <w:rPr>
          <w:rFonts w:hint="eastAsia" w:ascii="Times New Roman" w:hAnsi="Times New Roman" w:eastAsia="宋体" w:cs="Times New Roman"/>
          <w:color w:val="auto"/>
          <w:kern w:val="0"/>
          <w:sz w:val="24"/>
          <w:highlight w:val="none"/>
        </w:rPr>
        <w:t>叠加背景浓度及区域在建拟建污染源后，</w:t>
      </w:r>
      <w:r>
        <w:rPr>
          <w:rFonts w:hint="eastAsia" w:ascii="Times New Roman" w:hAnsi="Times New Roman" w:eastAsia="宋体" w:cs="Times New Roman"/>
          <w:color w:val="auto"/>
          <w:sz w:val="24"/>
          <w:highlight w:val="none"/>
        </w:rPr>
        <w:t>项目排放的</w:t>
      </w:r>
      <w:r>
        <w:rPr>
          <w:rFonts w:hint="eastAsia" w:ascii="Times New Roman" w:hAnsi="Times New Roman" w:cs="Times New Roman"/>
          <w:color w:val="auto"/>
          <w:sz w:val="24"/>
          <w:highlight w:val="none"/>
          <w:lang w:val="en-US" w:eastAsia="zh-CN"/>
        </w:rPr>
        <w:t>甲醇</w:t>
      </w:r>
      <w:r>
        <w:rPr>
          <w:rFonts w:hint="eastAsia" w:ascii="Times New Roman" w:hAnsi="Times New Roman" w:eastAsia="宋体" w:cs="Times New Roman"/>
          <w:color w:val="auto"/>
          <w:sz w:val="24"/>
          <w:highlight w:val="none"/>
        </w:rPr>
        <w:t>在各敏感点及区域网格最大落地浓度点处的最大1小时和日均浓度值满足《环境影响评价技术导则 大气环境》(HJ2.2-2018)附录D中标准限值要求。</w:t>
      </w:r>
    </w:p>
    <w:p>
      <w:pPr>
        <w:spacing w:line="360" w:lineRule="auto"/>
        <w:jc w:val="center"/>
        <w:rPr>
          <w:rFonts w:ascii="Times New Roman" w:hAnsi="Times New Roman" w:eastAsia="宋体" w:cs="Times New Roman"/>
          <w:color w:val="auto"/>
          <w:kern w:val="0"/>
          <w:sz w:val="24"/>
          <w:highlight w:val="none"/>
        </w:rPr>
      </w:pPr>
      <w:r>
        <w:rPr>
          <w:color w:val="auto"/>
        </w:rPr>
        <w:drawing>
          <wp:inline distT="0" distB="0" distL="114300" distR="114300">
            <wp:extent cx="5902325" cy="3813810"/>
            <wp:effectExtent l="0" t="0" r="3175" b="15240"/>
            <wp:docPr id="28"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2"/>
                    <pic:cNvPicPr>
                      <a:picLocks noChangeAspect="1"/>
                    </pic:cNvPicPr>
                  </pic:nvPicPr>
                  <pic:blipFill>
                    <a:blip r:embed="rId59"/>
                    <a:stretch>
                      <a:fillRect/>
                    </a:stretch>
                  </pic:blipFill>
                  <pic:spPr>
                    <a:xfrm>
                      <a:off x="0" y="0"/>
                      <a:ext cx="5902325" cy="3813810"/>
                    </a:xfrm>
                    <a:prstGeom prst="rect">
                      <a:avLst/>
                    </a:prstGeom>
                    <a:noFill/>
                    <a:ln>
                      <a:noFill/>
                    </a:ln>
                  </pic:spPr>
                </pic:pic>
              </a:graphicData>
            </a:graphic>
          </wp:inline>
        </w:drawing>
      </w:r>
    </w:p>
    <w:p>
      <w:pPr>
        <w:pStyle w:val="36"/>
        <w:bidi w:val="0"/>
        <w:rPr>
          <w:rFonts w:ascii="Times New Roman" w:hAnsi="Times New Roman" w:eastAsia="宋体" w:cs="Times New Roman"/>
          <w:color w:val="auto"/>
          <w:kern w:val="0"/>
          <w:sz w:val="24"/>
          <w:highlight w:val="none"/>
        </w:rPr>
      </w:pPr>
      <w:r>
        <w:rPr>
          <w:rFonts w:hint="eastAsia" w:cs="Times New Roman"/>
          <w:b/>
          <w:color w:val="auto"/>
          <w:kern w:val="2"/>
          <w:sz w:val="24"/>
          <w:szCs w:val="22"/>
          <w:lang w:val="en-US" w:eastAsia="zh-CN" w:bidi="ar-SA"/>
        </w:rPr>
        <w:t>图7.1</w:t>
      </w:r>
      <w:r>
        <w:rPr>
          <w:rFonts w:hint="eastAsia" w:ascii="Times New Roman" w:hAnsi="Times New Roman" w:eastAsia="宋体" w:cs="Times New Roman"/>
          <w:b/>
          <w:color w:val="auto"/>
          <w:kern w:val="2"/>
          <w:sz w:val="24"/>
          <w:szCs w:val="22"/>
          <w:lang w:val="en-US" w:eastAsia="zh-CN" w:bidi="ar-SA"/>
        </w:rPr>
        <w:t>-</w:t>
      </w:r>
      <w:r>
        <w:rPr>
          <w:rFonts w:hint="eastAsia" w:cs="Times New Roman"/>
          <w:b/>
          <w:color w:val="auto"/>
          <w:kern w:val="2"/>
          <w:sz w:val="24"/>
          <w:szCs w:val="22"/>
          <w:lang w:val="en-US" w:eastAsia="zh-CN" w:bidi="ar-SA"/>
        </w:rPr>
        <w:t>11</w:t>
      </w:r>
      <w:r>
        <w:rPr>
          <w:rFonts w:hint="eastAsia" w:cs="Times New Roman"/>
          <w:color w:val="auto"/>
          <w:kern w:val="0"/>
          <w:sz w:val="24"/>
          <w:highlight w:val="none"/>
          <w:lang w:val="en-US" w:eastAsia="zh-CN"/>
        </w:rPr>
        <w:t>甲醇</w:t>
      </w:r>
      <w:r>
        <w:rPr>
          <w:rFonts w:ascii="Times New Roman" w:hAnsi="Times New Roman" w:eastAsia="宋体" w:cs="Times New Roman"/>
          <w:color w:val="auto"/>
          <w:kern w:val="0"/>
          <w:sz w:val="24"/>
          <w:highlight w:val="none"/>
        </w:rPr>
        <w:t>叠加后最大</w:t>
      </w:r>
      <w:r>
        <w:rPr>
          <w:rFonts w:hint="eastAsia" w:ascii="Times New Roman" w:hAnsi="Times New Roman" w:eastAsia="宋体" w:cs="Times New Roman"/>
          <w:color w:val="auto"/>
          <w:kern w:val="0"/>
          <w:sz w:val="24"/>
          <w:highlight w:val="none"/>
        </w:rPr>
        <w:t>1</w:t>
      </w:r>
      <w:r>
        <w:rPr>
          <w:rFonts w:ascii="Times New Roman" w:hAnsi="Times New Roman" w:eastAsia="宋体" w:cs="Times New Roman"/>
          <w:color w:val="auto"/>
          <w:kern w:val="0"/>
          <w:sz w:val="24"/>
          <w:highlight w:val="none"/>
        </w:rPr>
        <w:t>小时平均质量浓度分布图</w:t>
      </w:r>
    </w:p>
    <w:p>
      <w:pPr>
        <w:widowControl/>
        <w:spacing w:line="360" w:lineRule="auto"/>
        <w:jc w:val="left"/>
        <w:rPr>
          <w:rFonts w:ascii="Times New Roman" w:hAnsi="Times New Roman" w:eastAsia="宋体" w:cs="Times New Roman"/>
          <w:color w:val="auto"/>
          <w:kern w:val="0"/>
          <w:sz w:val="24"/>
          <w:highlight w:val="none"/>
        </w:rPr>
      </w:pPr>
      <w:r>
        <w:rPr>
          <w:color w:val="auto"/>
          <w:highlight w:val="none"/>
        </w:rPr>
        <w:t xml:space="preserve"> </w:t>
      </w:r>
      <w:r>
        <w:rPr>
          <w:color w:val="auto"/>
        </w:rPr>
        <w:drawing>
          <wp:inline distT="0" distB="0" distL="114300" distR="114300">
            <wp:extent cx="5902960" cy="3841750"/>
            <wp:effectExtent l="0" t="0" r="2540" b="6350"/>
            <wp:docPr id="29"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3"/>
                    <pic:cNvPicPr>
                      <a:picLocks noChangeAspect="1"/>
                    </pic:cNvPicPr>
                  </pic:nvPicPr>
                  <pic:blipFill>
                    <a:blip r:embed="rId60"/>
                    <a:stretch>
                      <a:fillRect/>
                    </a:stretch>
                  </pic:blipFill>
                  <pic:spPr>
                    <a:xfrm>
                      <a:off x="0" y="0"/>
                      <a:ext cx="5902960" cy="3841750"/>
                    </a:xfrm>
                    <a:prstGeom prst="rect">
                      <a:avLst/>
                    </a:prstGeom>
                    <a:noFill/>
                    <a:ln>
                      <a:noFill/>
                    </a:ln>
                  </pic:spPr>
                </pic:pic>
              </a:graphicData>
            </a:graphic>
          </wp:inline>
        </w:drawing>
      </w:r>
    </w:p>
    <w:p>
      <w:pPr>
        <w:pStyle w:val="36"/>
        <w:bidi w:val="0"/>
        <w:rPr>
          <w:color w:val="auto"/>
        </w:rPr>
      </w:pPr>
      <w:r>
        <w:rPr>
          <w:rFonts w:hint="eastAsia"/>
          <w:color w:val="auto"/>
          <w:lang w:val="en-US" w:eastAsia="zh-CN"/>
        </w:rPr>
        <w:t>图7.1-12甲醇</w:t>
      </w:r>
      <w:r>
        <w:rPr>
          <w:color w:val="auto"/>
        </w:rPr>
        <w:t>叠加后最大日均质量浓度分布图</w:t>
      </w:r>
    </w:p>
    <w:p>
      <w:pPr>
        <w:pStyle w:val="33"/>
        <w:ind w:left="0" w:leftChars="0" w:firstLine="480" w:firstLineChars="200"/>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3）项目非正常排放情况下预测结果</w:t>
      </w:r>
    </w:p>
    <w:p>
      <w:pPr>
        <w:pStyle w:val="33"/>
        <w:ind w:left="0" w:leftChars="0" w:firstLine="480" w:firstLineChars="200"/>
        <w:rPr>
          <w:rFonts w:hint="eastAsia" w:ascii="Times New Roman" w:hAnsi="Times New Roman" w:eastAsia="宋体" w:cs="Times New Roman"/>
          <w:b w:val="0"/>
          <w:bCs w:val="0"/>
          <w:color w:val="auto"/>
          <w:kern w:val="0"/>
          <w:sz w:val="24"/>
          <w:highlight w:val="none"/>
          <w:lang w:val="en-US" w:eastAsia="zh-CN"/>
        </w:rPr>
      </w:pPr>
      <w:r>
        <w:rPr>
          <w:rFonts w:hint="eastAsia" w:ascii="Times New Roman" w:hAnsi="Times New Roman" w:eastAsia="宋体" w:cs="Times New Roman"/>
          <w:b w:val="0"/>
          <w:bCs w:val="0"/>
          <w:color w:val="auto"/>
          <w:kern w:val="0"/>
          <w:sz w:val="24"/>
          <w:highlight w:val="none"/>
          <w:lang w:val="en-US" w:eastAsia="zh-CN"/>
        </w:rPr>
        <w:t>本评价废气非正常排放</w:t>
      </w:r>
      <w:r>
        <w:rPr>
          <w:rFonts w:hint="eastAsia" w:cs="Times New Roman"/>
          <w:b w:val="0"/>
          <w:bCs w:val="0"/>
          <w:color w:val="auto"/>
          <w:kern w:val="0"/>
          <w:sz w:val="24"/>
          <w:highlight w:val="none"/>
          <w:lang w:val="en-US" w:eastAsia="zh-CN"/>
        </w:rPr>
        <w:t>，</w:t>
      </w:r>
      <w:r>
        <w:rPr>
          <w:rFonts w:hint="eastAsia" w:ascii="Times New Roman" w:hAnsi="Times New Roman" w:eastAsia="宋体" w:cs="Times New Roman"/>
          <w:b w:val="0"/>
          <w:bCs w:val="0"/>
          <w:color w:val="auto"/>
          <w:kern w:val="0"/>
          <w:sz w:val="24"/>
          <w:highlight w:val="none"/>
          <w:lang w:val="en-US" w:eastAsia="zh-CN"/>
        </w:rPr>
        <w:t>按处理效率为0的极端情况考虑</w:t>
      </w:r>
      <w:r>
        <w:rPr>
          <w:rFonts w:hint="eastAsia" w:cs="Times New Roman"/>
          <w:b w:val="0"/>
          <w:bCs w:val="0"/>
          <w:color w:val="auto"/>
          <w:kern w:val="0"/>
          <w:sz w:val="24"/>
          <w:highlight w:val="none"/>
          <w:lang w:val="en-US" w:eastAsia="zh-CN"/>
        </w:rPr>
        <w:t>。</w:t>
      </w:r>
      <w:r>
        <w:rPr>
          <w:rFonts w:hint="eastAsia" w:ascii="Times New Roman" w:hAnsi="Times New Roman" w:eastAsia="宋体" w:cs="Times New Roman"/>
          <w:b w:val="0"/>
          <w:bCs w:val="0"/>
          <w:color w:val="auto"/>
          <w:kern w:val="0"/>
          <w:sz w:val="24"/>
          <w:highlight w:val="none"/>
          <w:lang w:val="en-US" w:eastAsia="zh-CN"/>
        </w:rPr>
        <w:t>主要选取</w:t>
      </w:r>
      <w:r>
        <w:rPr>
          <w:rFonts w:hint="eastAsia" w:cs="Times New Roman"/>
          <w:b w:val="0"/>
          <w:bCs w:val="0"/>
          <w:color w:val="auto"/>
          <w:kern w:val="0"/>
          <w:sz w:val="24"/>
          <w:highlight w:val="none"/>
          <w:lang w:val="en-US" w:eastAsia="zh-CN"/>
        </w:rPr>
        <w:t>废气</w:t>
      </w:r>
      <w:r>
        <w:rPr>
          <w:rFonts w:hint="eastAsia" w:ascii="Times New Roman" w:hAnsi="Times New Roman" w:eastAsia="宋体" w:cs="Times New Roman"/>
          <w:b w:val="0"/>
          <w:bCs w:val="0"/>
          <w:color w:val="auto"/>
          <w:kern w:val="0"/>
          <w:sz w:val="24"/>
          <w:highlight w:val="none"/>
          <w:lang w:val="en-US" w:eastAsia="zh-CN"/>
        </w:rPr>
        <w:t>污染物未经处理前</w:t>
      </w:r>
      <w:r>
        <w:rPr>
          <w:rFonts w:hint="eastAsia" w:cs="Times New Roman"/>
          <w:b w:val="0"/>
          <w:bCs w:val="0"/>
          <w:color w:val="auto"/>
          <w:kern w:val="0"/>
          <w:sz w:val="24"/>
          <w:highlight w:val="none"/>
          <w:lang w:val="en-US" w:eastAsia="zh-CN"/>
        </w:rPr>
        <w:t>的</w:t>
      </w:r>
      <w:r>
        <w:rPr>
          <w:rFonts w:hint="eastAsia" w:ascii="Times New Roman" w:hAnsi="Times New Roman" w:eastAsia="宋体" w:cs="Times New Roman"/>
          <w:b w:val="0"/>
          <w:bCs w:val="0"/>
          <w:color w:val="auto"/>
          <w:kern w:val="0"/>
          <w:sz w:val="24"/>
          <w:highlight w:val="none"/>
          <w:lang w:val="en-US" w:eastAsia="zh-CN"/>
        </w:rPr>
        <w:t>产生量</w:t>
      </w:r>
      <w:r>
        <w:rPr>
          <w:rFonts w:hint="eastAsia" w:cs="Times New Roman"/>
          <w:b w:val="0"/>
          <w:bCs w:val="0"/>
          <w:color w:val="auto"/>
          <w:kern w:val="0"/>
          <w:sz w:val="24"/>
          <w:highlight w:val="none"/>
          <w:lang w:val="en-US" w:eastAsia="zh-CN"/>
        </w:rPr>
        <w:t>做非正常排放量预测</w:t>
      </w:r>
      <w:r>
        <w:rPr>
          <w:rFonts w:hint="eastAsia" w:ascii="Times New Roman" w:hAnsi="Times New Roman" w:eastAsia="宋体" w:cs="Times New Roman"/>
          <w:b w:val="0"/>
          <w:bCs w:val="0"/>
          <w:color w:val="auto"/>
          <w:kern w:val="0"/>
          <w:sz w:val="24"/>
          <w:highlight w:val="none"/>
          <w:lang w:val="en-US" w:eastAsia="zh-CN"/>
        </w:rPr>
        <w:t>。</w:t>
      </w:r>
    </w:p>
    <w:p>
      <w:pPr>
        <w:pStyle w:val="33"/>
        <w:ind w:left="0" w:leftChars="0" w:firstLine="480" w:firstLineChars="200"/>
        <w:rPr>
          <w:rFonts w:hint="eastAsia" w:ascii="Times New Roman" w:hAnsi="Times New Roman" w:eastAsia="宋体" w:cs="Times New Roman"/>
          <w:b w:val="0"/>
          <w:bCs w:val="0"/>
          <w:color w:val="auto"/>
          <w:kern w:val="0"/>
          <w:sz w:val="24"/>
          <w:highlight w:val="none"/>
          <w:lang w:val="en-US" w:eastAsia="zh-CN"/>
        </w:rPr>
      </w:pPr>
      <w:r>
        <w:rPr>
          <w:rFonts w:hint="eastAsia" w:ascii="Times New Roman" w:hAnsi="Times New Roman" w:eastAsia="宋体" w:cs="Times New Roman"/>
          <w:b w:val="0"/>
          <w:bCs w:val="0"/>
          <w:color w:val="auto"/>
          <w:kern w:val="0"/>
          <w:sz w:val="24"/>
          <w:highlight w:val="none"/>
          <w:lang w:val="en-US" w:eastAsia="zh-CN"/>
        </w:rPr>
        <w:t>本项目废气非正常排放情况下的预测结果如下：</w:t>
      </w:r>
    </w:p>
    <w:p>
      <w:pPr>
        <w:pStyle w:val="33"/>
        <w:ind w:left="0" w:leftChars="0" w:firstLine="480"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w:t>
      </w:r>
      <w:r>
        <w:rPr>
          <w:rFonts w:hint="eastAsia" w:ascii="Times New Roman" w:hAnsi="Times New Roman" w:eastAsia="宋体" w:cs="Times New Roman"/>
          <w:b/>
          <w:color w:val="auto"/>
          <w:sz w:val="24"/>
          <w:highlight w:val="none"/>
        </w:rPr>
        <w:t>VOCs非正常排放</w:t>
      </w:r>
      <w:r>
        <w:rPr>
          <w:rFonts w:ascii="Times New Roman" w:hAnsi="Times New Roman" w:eastAsia="宋体" w:cs="Times New Roman"/>
          <w:b/>
          <w:color w:val="auto"/>
          <w:sz w:val="24"/>
          <w:highlight w:val="none"/>
        </w:rPr>
        <w:t>预测结果</w:t>
      </w:r>
    </w:p>
    <w:p>
      <w:pPr>
        <w:pStyle w:val="36"/>
        <w:bidi w:val="0"/>
        <w:rPr>
          <w:color w:val="auto"/>
        </w:rPr>
      </w:pPr>
      <w:r>
        <w:rPr>
          <w:rFonts w:hint="eastAsia"/>
          <w:color w:val="auto"/>
          <w:lang w:val="en-US" w:eastAsia="zh-CN"/>
        </w:rPr>
        <w:t>表7.1-22</w:t>
      </w:r>
      <w:r>
        <w:rPr>
          <w:color w:val="auto"/>
        </w:rPr>
        <w:t>非正常排放情况下</w:t>
      </w:r>
      <w:r>
        <w:rPr>
          <w:rFonts w:hint="eastAsia"/>
          <w:color w:val="auto"/>
        </w:rPr>
        <w:t>VOCs</w:t>
      </w:r>
      <w:r>
        <w:rPr>
          <w:color w:val="auto"/>
        </w:rPr>
        <w:t>预测结果表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40"/>
        <w:gridCol w:w="1520"/>
        <w:gridCol w:w="1673"/>
        <w:gridCol w:w="1520"/>
        <w:gridCol w:w="1673"/>
        <w:gridCol w:w="12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trPr>
        <w:tc>
          <w:tcPr>
            <w:tcW w:w="967" w:type="pct"/>
            <w:tcBorders>
              <w:tl2br w:val="nil"/>
              <w:tr2bl w:val="nil"/>
            </w:tcBorders>
            <w:noWrap w:val="0"/>
            <w:vAlign w:val="center"/>
          </w:tcPr>
          <w:p>
            <w:pPr>
              <w:widowControl/>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预测点</w:t>
            </w:r>
          </w:p>
        </w:tc>
        <w:tc>
          <w:tcPr>
            <w:tcW w:w="799" w:type="pct"/>
            <w:tcBorders>
              <w:tl2br w:val="nil"/>
              <w:tr2bl w:val="nil"/>
            </w:tcBorders>
            <w:noWrap w:val="0"/>
            <w:vAlign w:val="center"/>
          </w:tcPr>
          <w:p>
            <w:pPr>
              <w:widowControl/>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平均时段</w:t>
            </w:r>
          </w:p>
        </w:tc>
        <w:tc>
          <w:tcPr>
            <w:tcW w:w="879" w:type="pct"/>
            <w:tcBorders>
              <w:tl2br w:val="nil"/>
              <w:tr2bl w:val="nil"/>
            </w:tcBorders>
            <w:noWrap w:val="0"/>
            <w:vAlign w:val="center"/>
          </w:tcPr>
          <w:p>
            <w:pPr>
              <w:widowControl/>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最大浓度增量(</w:t>
            </w:r>
            <w:r>
              <w:rPr>
                <w:rFonts w:hint="eastAsia" w:ascii="Times New Roman" w:hAnsi="Times New Roman" w:cs="Times New Roman"/>
                <w:b/>
                <w:color w:val="auto"/>
                <w:kern w:val="0"/>
                <w:szCs w:val="21"/>
                <w:highlight w:val="none"/>
                <w:lang w:val="en-US" w:eastAsia="zh-CN"/>
              </w:rPr>
              <w:t>m</w:t>
            </w:r>
            <w:r>
              <w:rPr>
                <w:rFonts w:ascii="Times New Roman" w:hAnsi="Times New Roman" w:cs="Times New Roman"/>
                <w:b/>
                <w:color w:val="auto"/>
                <w:kern w:val="0"/>
                <w:szCs w:val="21"/>
                <w:highlight w:val="none"/>
              </w:rPr>
              <w:t>g/m</w:t>
            </w:r>
            <w:r>
              <w:rPr>
                <w:rFonts w:ascii="Times New Roman" w:hAnsi="Times New Roman" w:cs="Times New Roman"/>
                <w:b/>
                <w:color w:val="auto"/>
                <w:kern w:val="0"/>
                <w:szCs w:val="21"/>
                <w:highlight w:val="none"/>
                <w:vertAlign w:val="superscript"/>
              </w:rPr>
              <w:t>3</w:t>
            </w:r>
            <w:r>
              <w:rPr>
                <w:rFonts w:ascii="Times New Roman" w:hAnsi="Times New Roman" w:cs="Times New Roman"/>
                <w:b/>
                <w:color w:val="auto"/>
                <w:kern w:val="0"/>
                <w:szCs w:val="21"/>
                <w:highlight w:val="none"/>
              </w:rPr>
              <w:t>)</w:t>
            </w:r>
          </w:p>
        </w:tc>
        <w:tc>
          <w:tcPr>
            <w:tcW w:w="799" w:type="pct"/>
            <w:tcBorders>
              <w:tl2br w:val="nil"/>
              <w:tr2bl w:val="nil"/>
            </w:tcBorders>
            <w:noWrap w:val="0"/>
            <w:vAlign w:val="center"/>
          </w:tcPr>
          <w:p>
            <w:pPr>
              <w:widowControl/>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评价标准(μg/m</w:t>
            </w:r>
            <w:r>
              <w:rPr>
                <w:rFonts w:ascii="Times New Roman" w:hAnsi="Times New Roman" w:cs="Times New Roman"/>
                <w:b/>
                <w:color w:val="auto"/>
                <w:kern w:val="0"/>
                <w:szCs w:val="21"/>
                <w:highlight w:val="none"/>
                <w:vertAlign w:val="superscript"/>
              </w:rPr>
              <w:t>3</w:t>
            </w:r>
            <w:r>
              <w:rPr>
                <w:rFonts w:ascii="Times New Roman" w:hAnsi="Times New Roman" w:cs="Times New Roman"/>
                <w:b/>
                <w:color w:val="auto"/>
                <w:kern w:val="0"/>
                <w:szCs w:val="21"/>
                <w:highlight w:val="none"/>
              </w:rPr>
              <w:t>)</w:t>
            </w:r>
          </w:p>
        </w:tc>
        <w:tc>
          <w:tcPr>
            <w:tcW w:w="879" w:type="pct"/>
            <w:tcBorders>
              <w:tl2br w:val="nil"/>
              <w:tr2bl w:val="nil"/>
            </w:tcBorders>
            <w:noWrap w:val="0"/>
            <w:vAlign w:val="center"/>
          </w:tcPr>
          <w:p>
            <w:pPr>
              <w:widowControl/>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最大浓度占标率%</w:t>
            </w:r>
          </w:p>
        </w:tc>
        <w:tc>
          <w:tcPr>
            <w:tcW w:w="675" w:type="pct"/>
            <w:tcBorders>
              <w:tl2br w:val="nil"/>
              <w:tr2bl w:val="nil"/>
            </w:tcBorders>
            <w:noWrap w:val="0"/>
            <w:vAlign w:val="center"/>
          </w:tcPr>
          <w:p>
            <w:pPr>
              <w:widowControl/>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是否超标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rPr>
              <w:t>滨江村</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14.82</w:t>
            </w:r>
            <w:r>
              <w:rPr>
                <w:rFonts w:hint="eastAsia" w:ascii="Times New Roman" w:hAnsi="Times New Roman" w:cs="Times New Roman"/>
                <w:color w:val="auto"/>
                <w:kern w:val="0"/>
                <w:szCs w:val="21"/>
                <w:highlight w:val="none"/>
              </w:rPr>
              <w:t>E-02</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1200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12.36</w:t>
            </w:r>
          </w:p>
        </w:tc>
        <w:tc>
          <w:tcPr>
            <w:tcW w:w="675"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rPr>
              <w:t>基隆村</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5.72</w:t>
            </w:r>
            <w:r>
              <w:rPr>
                <w:rFonts w:hint="eastAsia" w:ascii="Times New Roman" w:hAnsi="Times New Roman" w:cs="Times New Roman"/>
                <w:color w:val="auto"/>
                <w:kern w:val="0"/>
                <w:szCs w:val="21"/>
                <w:highlight w:val="none"/>
              </w:rPr>
              <w:t>E-02</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1200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4.76</w:t>
            </w:r>
          </w:p>
        </w:tc>
        <w:tc>
          <w:tcPr>
            <w:tcW w:w="675"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kern w:val="0"/>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rPr>
              <w:t>大田村</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16.62</w:t>
            </w:r>
            <w:r>
              <w:rPr>
                <w:rFonts w:hint="eastAsia" w:ascii="Times New Roman" w:hAnsi="Times New Roman" w:cs="Times New Roman"/>
                <w:color w:val="auto"/>
                <w:kern w:val="0"/>
                <w:szCs w:val="21"/>
                <w:highlight w:val="none"/>
              </w:rPr>
              <w:t>E-02</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1200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13.86</w:t>
            </w:r>
          </w:p>
        </w:tc>
        <w:tc>
          <w:tcPr>
            <w:tcW w:w="675"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kern w:val="0"/>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rPr>
              <w:t>方家咀</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10.84</w:t>
            </w:r>
            <w:r>
              <w:rPr>
                <w:rFonts w:hint="eastAsia" w:ascii="Times New Roman" w:hAnsi="Times New Roman" w:cs="Times New Roman"/>
                <w:color w:val="auto"/>
                <w:kern w:val="0"/>
                <w:szCs w:val="21"/>
                <w:highlight w:val="none"/>
              </w:rPr>
              <w:t>E-02</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1200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9.02</w:t>
            </w:r>
          </w:p>
        </w:tc>
        <w:tc>
          <w:tcPr>
            <w:tcW w:w="675"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kern w:val="0"/>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rPr>
              <w:t>胜利村</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18.72</w:t>
            </w:r>
            <w:r>
              <w:rPr>
                <w:rFonts w:hint="eastAsia" w:ascii="Times New Roman" w:hAnsi="Times New Roman" w:cs="Times New Roman"/>
                <w:color w:val="auto"/>
                <w:kern w:val="0"/>
                <w:szCs w:val="21"/>
                <w:highlight w:val="none"/>
              </w:rPr>
              <w:t>E-03</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1200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1.56</w:t>
            </w:r>
          </w:p>
        </w:tc>
        <w:tc>
          <w:tcPr>
            <w:tcW w:w="675"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kern w:val="0"/>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rPr>
              <w:t>胜利小区</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4.60</w:t>
            </w:r>
            <w:r>
              <w:rPr>
                <w:rFonts w:hint="eastAsia" w:ascii="Times New Roman" w:hAnsi="Times New Roman" w:cs="Times New Roman"/>
                <w:color w:val="auto"/>
                <w:kern w:val="0"/>
                <w:szCs w:val="21"/>
                <w:highlight w:val="none"/>
              </w:rPr>
              <w:t>E-02</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1200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3.84</w:t>
            </w:r>
          </w:p>
        </w:tc>
        <w:tc>
          <w:tcPr>
            <w:tcW w:w="675"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kern w:val="0"/>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rPr>
              <w:t>云溪区一中</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6.28</w:t>
            </w:r>
            <w:r>
              <w:rPr>
                <w:rFonts w:hint="eastAsia" w:ascii="Times New Roman" w:hAnsi="Times New Roman" w:cs="Times New Roman"/>
                <w:color w:val="auto"/>
                <w:kern w:val="0"/>
                <w:szCs w:val="21"/>
                <w:highlight w:val="none"/>
              </w:rPr>
              <w:t>E-02</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1200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5.24</w:t>
            </w:r>
          </w:p>
        </w:tc>
        <w:tc>
          <w:tcPr>
            <w:tcW w:w="675"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kern w:val="0"/>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rPr>
              <w:t>云溪城区</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4.30</w:t>
            </w:r>
            <w:r>
              <w:rPr>
                <w:rFonts w:hint="eastAsia" w:ascii="Times New Roman" w:hAnsi="Times New Roman" w:cs="Times New Roman"/>
                <w:color w:val="auto"/>
                <w:kern w:val="0"/>
                <w:szCs w:val="21"/>
                <w:highlight w:val="none"/>
              </w:rPr>
              <w:t>E-02</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1200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3.58</w:t>
            </w:r>
          </w:p>
        </w:tc>
        <w:tc>
          <w:tcPr>
            <w:tcW w:w="675"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kern w:val="0"/>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rPr>
              <w:t>八一村</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11.82</w:t>
            </w:r>
            <w:r>
              <w:rPr>
                <w:rFonts w:hint="eastAsia" w:ascii="Times New Roman" w:hAnsi="Times New Roman" w:cs="Times New Roman"/>
                <w:color w:val="auto"/>
                <w:kern w:val="0"/>
                <w:szCs w:val="21"/>
                <w:highlight w:val="none"/>
              </w:rPr>
              <w:t>E-02</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1200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9.86</w:t>
            </w:r>
          </w:p>
        </w:tc>
        <w:tc>
          <w:tcPr>
            <w:tcW w:w="675" w:type="pct"/>
            <w:tcBorders>
              <w:tl2br w:val="nil"/>
              <w:tr2bl w:val="nil"/>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kern w:val="0"/>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rPr>
              <w:t>网格（-50，0）</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10.82</w:t>
            </w:r>
            <w:r>
              <w:rPr>
                <w:rFonts w:hint="eastAsia" w:ascii="Times New Roman" w:hAnsi="Times New Roman" w:cs="Times New Roman"/>
                <w:color w:val="auto"/>
                <w:kern w:val="0"/>
                <w:szCs w:val="21"/>
                <w:highlight w:val="none"/>
              </w:rPr>
              <w:t>E-02</w:t>
            </w:r>
          </w:p>
        </w:tc>
        <w:tc>
          <w:tcPr>
            <w:tcW w:w="799" w:type="pct"/>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1200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9</w:t>
            </w:r>
          </w:p>
        </w:tc>
        <w:tc>
          <w:tcPr>
            <w:tcW w:w="675" w:type="pct"/>
            <w:tcBorders>
              <w:tl2br w:val="nil"/>
              <w:tr2bl w:val="nil"/>
            </w:tcBorders>
            <w:noWrap w:val="0"/>
            <w:vAlign w:val="center"/>
          </w:tcPr>
          <w:p>
            <w:pPr>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达标</w:t>
            </w:r>
          </w:p>
        </w:tc>
      </w:tr>
    </w:tbl>
    <w:p>
      <w:pPr>
        <w:pStyle w:val="33"/>
        <w:ind w:left="0" w:leftChars="0" w:firstLine="420" w:firstLineChars="200"/>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注：上表中VOCs的1h平均浓度按8h均值的2倍进行了折算。</w:t>
      </w:r>
    </w:p>
    <w:p>
      <w:pPr>
        <w:pStyle w:val="33"/>
        <w:ind w:left="0" w:leftChars="0" w:firstLine="480" w:firstLineChars="200"/>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由上表的预测结果可知，当全厂废气处理设施失效时，VOCs未经处理直接排放的情况下，各敏感点及区域网格最大点处的TVOC虽然能满足标准要求，但占标率明显增加，但废气处理设施失效时，应立即停产检修，待废气处理设施正常运行后方可继续生产。</w:t>
      </w:r>
    </w:p>
    <w:p>
      <w:pPr>
        <w:pStyle w:val="33"/>
        <w:ind w:left="0" w:leftChars="0" w:firstLine="420" w:firstLineChars="200"/>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2、</w:t>
      </w:r>
      <w:r>
        <w:rPr>
          <w:rFonts w:hint="eastAsia" w:ascii="Times New Roman" w:hAnsi="Times New Roman" w:cs="Times New Roman"/>
          <w:b/>
          <w:color w:val="auto"/>
          <w:sz w:val="21"/>
          <w:szCs w:val="21"/>
          <w:highlight w:val="none"/>
          <w:lang w:val="en-US" w:eastAsia="zh-CN"/>
        </w:rPr>
        <w:t>甲醇</w:t>
      </w:r>
      <w:r>
        <w:rPr>
          <w:rFonts w:hint="eastAsia" w:ascii="Times New Roman" w:hAnsi="Times New Roman" w:eastAsia="宋体" w:cs="Times New Roman"/>
          <w:b/>
          <w:color w:val="auto"/>
          <w:sz w:val="21"/>
          <w:szCs w:val="21"/>
          <w:highlight w:val="none"/>
        </w:rPr>
        <w:t>非正常排放</w:t>
      </w:r>
      <w:r>
        <w:rPr>
          <w:rFonts w:ascii="Times New Roman" w:hAnsi="Times New Roman" w:eastAsia="宋体" w:cs="Times New Roman"/>
          <w:b/>
          <w:color w:val="auto"/>
          <w:sz w:val="21"/>
          <w:szCs w:val="21"/>
          <w:highlight w:val="none"/>
        </w:rPr>
        <w:t>预测结果</w:t>
      </w:r>
    </w:p>
    <w:p>
      <w:pPr>
        <w:pStyle w:val="36"/>
        <w:bidi w:val="0"/>
        <w:rPr>
          <w:rFonts w:hint="eastAsia"/>
          <w:color w:val="auto"/>
          <w:lang w:val="en-US" w:eastAsia="zh-CN"/>
        </w:rPr>
      </w:pPr>
      <w:r>
        <w:rPr>
          <w:rFonts w:hint="eastAsia"/>
          <w:color w:val="auto"/>
          <w:lang w:val="en-US" w:eastAsia="zh-CN"/>
        </w:rPr>
        <w:t>表7.1-23非正常排放情况下甲醇预测结果表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40"/>
        <w:gridCol w:w="1520"/>
        <w:gridCol w:w="1673"/>
        <w:gridCol w:w="1520"/>
        <w:gridCol w:w="1673"/>
        <w:gridCol w:w="12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trPr>
        <w:tc>
          <w:tcPr>
            <w:tcW w:w="967" w:type="pct"/>
            <w:tcBorders>
              <w:tl2br w:val="nil"/>
              <w:tr2bl w:val="nil"/>
            </w:tcBorders>
            <w:noWrap w:val="0"/>
            <w:vAlign w:val="center"/>
          </w:tcPr>
          <w:p>
            <w:pPr>
              <w:widowControl/>
              <w:jc w:val="center"/>
              <w:rPr>
                <w:rFonts w:ascii="Times New Roman" w:hAnsi="Times New Roman" w:cs="Times New Roman"/>
                <w:b/>
                <w:color w:val="auto"/>
                <w:kern w:val="0"/>
                <w:sz w:val="21"/>
                <w:szCs w:val="21"/>
                <w:highlight w:val="none"/>
              </w:rPr>
            </w:pPr>
            <w:r>
              <w:rPr>
                <w:rFonts w:ascii="Times New Roman" w:hAnsi="Times New Roman" w:cs="Times New Roman"/>
                <w:b/>
                <w:color w:val="auto"/>
                <w:kern w:val="0"/>
                <w:sz w:val="21"/>
                <w:szCs w:val="21"/>
                <w:highlight w:val="none"/>
              </w:rPr>
              <w:t>预测点</w:t>
            </w:r>
          </w:p>
        </w:tc>
        <w:tc>
          <w:tcPr>
            <w:tcW w:w="799" w:type="pct"/>
            <w:tcBorders>
              <w:tl2br w:val="nil"/>
              <w:tr2bl w:val="nil"/>
            </w:tcBorders>
            <w:noWrap w:val="0"/>
            <w:vAlign w:val="center"/>
          </w:tcPr>
          <w:p>
            <w:pPr>
              <w:widowControl/>
              <w:jc w:val="center"/>
              <w:rPr>
                <w:rFonts w:ascii="Times New Roman" w:hAnsi="Times New Roman" w:cs="Times New Roman"/>
                <w:b/>
                <w:color w:val="auto"/>
                <w:kern w:val="0"/>
                <w:sz w:val="21"/>
                <w:szCs w:val="21"/>
                <w:highlight w:val="none"/>
              </w:rPr>
            </w:pPr>
            <w:r>
              <w:rPr>
                <w:rFonts w:ascii="Times New Roman" w:hAnsi="Times New Roman" w:cs="Times New Roman"/>
                <w:b/>
                <w:color w:val="auto"/>
                <w:kern w:val="0"/>
                <w:sz w:val="21"/>
                <w:szCs w:val="21"/>
                <w:highlight w:val="none"/>
              </w:rPr>
              <w:t>平均时段</w:t>
            </w:r>
          </w:p>
        </w:tc>
        <w:tc>
          <w:tcPr>
            <w:tcW w:w="879" w:type="pct"/>
            <w:tcBorders>
              <w:tl2br w:val="nil"/>
              <w:tr2bl w:val="nil"/>
            </w:tcBorders>
            <w:noWrap w:val="0"/>
            <w:vAlign w:val="center"/>
          </w:tcPr>
          <w:p>
            <w:pPr>
              <w:widowControl/>
              <w:jc w:val="center"/>
              <w:rPr>
                <w:rFonts w:ascii="Times New Roman" w:hAnsi="Times New Roman" w:cs="Times New Roman"/>
                <w:b/>
                <w:color w:val="auto"/>
                <w:kern w:val="0"/>
                <w:sz w:val="21"/>
                <w:szCs w:val="21"/>
                <w:highlight w:val="none"/>
              </w:rPr>
            </w:pPr>
            <w:r>
              <w:rPr>
                <w:rFonts w:ascii="Times New Roman" w:hAnsi="Times New Roman" w:cs="Times New Roman"/>
                <w:b/>
                <w:color w:val="auto"/>
                <w:kern w:val="0"/>
                <w:sz w:val="21"/>
                <w:szCs w:val="21"/>
                <w:highlight w:val="none"/>
              </w:rPr>
              <w:t>最大贡献浓度(</w:t>
            </w:r>
            <w:r>
              <w:rPr>
                <w:rFonts w:hint="eastAsia" w:ascii="Times New Roman" w:hAnsi="Times New Roman" w:cs="Times New Roman"/>
                <w:b/>
                <w:color w:val="auto"/>
                <w:kern w:val="0"/>
                <w:sz w:val="21"/>
                <w:szCs w:val="21"/>
                <w:highlight w:val="none"/>
                <w:lang w:val="en-US" w:eastAsia="zh-CN"/>
              </w:rPr>
              <w:t>m</w:t>
            </w:r>
            <w:r>
              <w:rPr>
                <w:rFonts w:ascii="Times New Roman" w:hAnsi="Times New Roman" w:cs="Times New Roman"/>
                <w:b/>
                <w:color w:val="auto"/>
                <w:kern w:val="0"/>
                <w:sz w:val="21"/>
                <w:szCs w:val="21"/>
                <w:highlight w:val="none"/>
              </w:rPr>
              <w:t>g/m</w:t>
            </w:r>
            <w:r>
              <w:rPr>
                <w:rFonts w:ascii="Times New Roman" w:hAnsi="Times New Roman" w:cs="Times New Roman"/>
                <w:b/>
                <w:color w:val="auto"/>
                <w:kern w:val="0"/>
                <w:sz w:val="21"/>
                <w:szCs w:val="21"/>
                <w:highlight w:val="none"/>
                <w:vertAlign w:val="superscript"/>
              </w:rPr>
              <w:t>3</w:t>
            </w:r>
            <w:r>
              <w:rPr>
                <w:rFonts w:ascii="Times New Roman" w:hAnsi="Times New Roman" w:cs="Times New Roman"/>
                <w:b/>
                <w:color w:val="auto"/>
                <w:kern w:val="0"/>
                <w:sz w:val="21"/>
                <w:szCs w:val="21"/>
                <w:highlight w:val="none"/>
              </w:rPr>
              <w:t>)</w:t>
            </w:r>
          </w:p>
        </w:tc>
        <w:tc>
          <w:tcPr>
            <w:tcW w:w="799" w:type="pct"/>
            <w:tcBorders>
              <w:tl2br w:val="nil"/>
              <w:tr2bl w:val="nil"/>
            </w:tcBorders>
            <w:noWrap w:val="0"/>
            <w:vAlign w:val="center"/>
          </w:tcPr>
          <w:p>
            <w:pPr>
              <w:widowControl/>
              <w:jc w:val="center"/>
              <w:rPr>
                <w:rFonts w:ascii="Times New Roman" w:hAnsi="Times New Roman" w:cs="Times New Roman"/>
                <w:b/>
                <w:color w:val="auto"/>
                <w:kern w:val="0"/>
                <w:sz w:val="21"/>
                <w:szCs w:val="21"/>
                <w:highlight w:val="none"/>
              </w:rPr>
            </w:pPr>
            <w:r>
              <w:rPr>
                <w:rFonts w:ascii="Times New Roman" w:hAnsi="Times New Roman" w:cs="Times New Roman"/>
                <w:b/>
                <w:color w:val="auto"/>
                <w:kern w:val="0"/>
                <w:sz w:val="21"/>
                <w:szCs w:val="21"/>
                <w:highlight w:val="none"/>
              </w:rPr>
              <w:t>评价标准(μg/m</w:t>
            </w:r>
            <w:r>
              <w:rPr>
                <w:rFonts w:ascii="Times New Roman" w:hAnsi="Times New Roman" w:cs="Times New Roman"/>
                <w:b/>
                <w:color w:val="auto"/>
                <w:kern w:val="0"/>
                <w:sz w:val="21"/>
                <w:szCs w:val="21"/>
                <w:highlight w:val="none"/>
                <w:vertAlign w:val="superscript"/>
              </w:rPr>
              <w:t>3</w:t>
            </w:r>
            <w:r>
              <w:rPr>
                <w:rFonts w:ascii="Times New Roman" w:hAnsi="Times New Roman" w:cs="Times New Roman"/>
                <w:b/>
                <w:color w:val="auto"/>
                <w:kern w:val="0"/>
                <w:sz w:val="21"/>
                <w:szCs w:val="21"/>
                <w:highlight w:val="none"/>
              </w:rPr>
              <w:t>)</w:t>
            </w:r>
          </w:p>
        </w:tc>
        <w:tc>
          <w:tcPr>
            <w:tcW w:w="879" w:type="pct"/>
            <w:tcBorders>
              <w:tl2br w:val="nil"/>
              <w:tr2bl w:val="nil"/>
            </w:tcBorders>
            <w:noWrap w:val="0"/>
            <w:vAlign w:val="center"/>
          </w:tcPr>
          <w:p>
            <w:pPr>
              <w:widowControl/>
              <w:jc w:val="center"/>
              <w:rPr>
                <w:rFonts w:ascii="Times New Roman" w:hAnsi="Times New Roman" w:cs="Times New Roman"/>
                <w:b/>
                <w:color w:val="auto"/>
                <w:kern w:val="0"/>
                <w:sz w:val="21"/>
                <w:szCs w:val="21"/>
                <w:highlight w:val="none"/>
              </w:rPr>
            </w:pPr>
            <w:r>
              <w:rPr>
                <w:rFonts w:ascii="Times New Roman" w:hAnsi="Times New Roman" w:cs="Times New Roman"/>
                <w:b/>
                <w:color w:val="auto"/>
                <w:kern w:val="0"/>
                <w:sz w:val="21"/>
                <w:szCs w:val="21"/>
                <w:highlight w:val="none"/>
              </w:rPr>
              <w:t>最大浓度占标率%</w:t>
            </w:r>
          </w:p>
        </w:tc>
        <w:tc>
          <w:tcPr>
            <w:tcW w:w="675" w:type="pct"/>
            <w:tcBorders>
              <w:tl2br w:val="nil"/>
              <w:tr2bl w:val="nil"/>
            </w:tcBorders>
            <w:noWrap w:val="0"/>
            <w:vAlign w:val="center"/>
          </w:tcPr>
          <w:p>
            <w:pPr>
              <w:widowControl/>
              <w:jc w:val="center"/>
              <w:rPr>
                <w:rFonts w:ascii="Times New Roman" w:hAnsi="Times New Roman" w:cs="Times New Roman"/>
                <w:b/>
                <w:color w:val="auto"/>
                <w:kern w:val="0"/>
                <w:sz w:val="21"/>
                <w:szCs w:val="21"/>
                <w:highlight w:val="none"/>
              </w:rPr>
            </w:pPr>
            <w:r>
              <w:rPr>
                <w:rFonts w:ascii="Times New Roman" w:hAnsi="Times New Roman" w:cs="Times New Roman"/>
                <w:b/>
                <w:color w:val="auto"/>
                <w:kern w:val="0"/>
                <w:sz w:val="21"/>
                <w:szCs w:val="21"/>
                <w:highlight w:val="none"/>
              </w:rPr>
              <w:t>是否超标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滨江村</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1.13E+00</w:t>
            </w:r>
          </w:p>
        </w:tc>
        <w:tc>
          <w:tcPr>
            <w:tcW w:w="799" w:type="pct"/>
            <w:tcBorders>
              <w:tl2br w:val="nil"/>
              <w:tr2bl w:val="nil"/>
            </w:tcBorders>
            <w:noWrap w:val="0"/>
            <w:vAlign w:val="center"/>
          </w:tcPr>
          <w:p>
            <w:pPr>
              <w:widowControl/>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3000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37.8</w:t>
            </w:r>
          </w:p>
        </w:tc>
        <w:tc>
          <w:tcPr>
            <w:tcW w:w="675"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基隆村</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1.13E+00</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3000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37.5</w:t>
            </w:r>
          </w:p>
        </w:tc>
        <w:tc>
          <w:tcPr>
            <w:tcW w:w="675"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大田村</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1.14E+00</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3000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37.86</w:t>
            </w:r>
          </w:p>
        </w:tc>
        <w:tc>
          <w:tcPr>
            <w:tcW w:w="675"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方家咀</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1.13E+00</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3000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37.67</w:t>
            </w:r>
          </w:p>
        </w:tc>
        <w:tc>
          <w:tcPr>
            <w:tcW w:w="675"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胜利村</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1.12E+00</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3000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37.37</w:t>
            </w:r>
          </w:p>
        </w:tc>
        <w:tc>
          <w:tcPr>
            <w:tcW w:w="675"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胜利小区</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1.12E+00</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3000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37.46</w:t>
            </w:r>
          </w:p>
        </w:tc>
        <w:tc>
          <w:tcPr>
            <w:tcW w:w="675"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云溪区一中</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1.13E+00</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3000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37.52</w:t>
            </w:r>
          </w:p>
        </w:tc>
        <w:tc>
          <w:tcPr>
            <w:tcW w:w="675"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云溪城区</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1.12E+00</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3000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37.45</w:t>
            </w:r>
          </w:p>
        </w:tc>
        <w:tc>
          <w:tcPr>
            <w:tcW w:w="675"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八一村</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1.13E+00</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3000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37.7</w:t>
            </w:r>
          </w:p>
        </w:tc>
        <w:tc>
          <w:tcPr>
            <w:tcW w:w="675"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650" w:type="dxa"/>
            <w:tcBorders>
              <w:tl2br w:val="nil"/>
              <w:tr2bl w:val="nil"/>
            </w:tcBorders>
            <w:noWrap w:val="0"/>
            <w:vAlign w:val="center"/>
          </w:tcPr>
          <w:p>
            <w:pPr>
              <w:jc w:val="center"/>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网格（-50，0）</w:t>
            </w:r>
          </w:p>
        </w:tc>
        <w:tc>
          <w:tcPr>
            <w:tcW w:w="799"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1小时</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1.13E+00</w:t>
            </w:r>
          </w:p>
        </w:tc>
        <w:tc>
          <w:tcPr>
            <w:tcW w:w="799" w:type="pct"/>
            <w:tcBorders>
              <w:tl2br w:val="nil"/>
              <w:tr2bl w:val="nil"/>
            </w:tcBorders>
            <w:noWrap w:val="0"/>
            <w:vAlign w:val="center"/>
          </w:tcPr>
          <w:p>
            <w:pPr>
              <w:widowControl/>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300</w:t>
            </w:r>
          </w:p>
        </w:tc>
        <w:tc>
          <w:tcPr>
            <w:tcW w:w="1673" w:type="dxa"/>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37.67</w:t>
            </w:r>
          </w:p>
        </w:tc>
        <w:tc>
          <w:tcPr>
            <w:tcW w:w="675" w:type="pct"/>
            <w:tcBorders>
              <w:tl2br w:val="nil"/>
              <w:tr2bl w:val="nil"/>
            </w:tcBorders>
            <w:noWrap w:val="0"/>
            <w:vAlign w:val="center"/>
          </w:tcPr>
          <w:p>
            <w:pPr>
              <w:widowControl/>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达标</w:t>
            </w:r>
          </w:p>
        </w:tc>
      </w:tr>
    </w:tbl>
    <w:p>
      <w:pPr>
        <w:pStyle w:val="33"/>
        <w:ind w:left="0" w:leftChars="0"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由上表的预测结果可知，</w:t>
      </w:r>
      <w:r>
        <w:rPr>
          <w:rFonts w:hint="eastAsia" w:ascii="Times New Roman" w:hAnsi="Times New Roman" w:eastAsia="宋体" w:cs="Times New Roman"/>
          <w:color w:val="auto"/>
          <w:sz w:val="24"/>
          <w:highlight w:val="none"/>
        </w:rPr>
        <w:t>当全厂废气处理设施失效时，</w:t>
      </w:r>
      <w:r>
        <w:rPr>
          <w:rFonts w:hint="eastAsia" w:ascii="Times New Roman" w:hAnsi="Times New Roman" w:cs="Times New Roman"/>
          <w:color w:val="auto"/>
          <w:sz w:val="24"/>
          <w:highlight w:val="none"/>
          <w:lang w:val="en-US" w:eastAsia="zh-CN"/>
        </w:rPr>
        <w:t>甲醇</w:t>
      </w:r>
      <w:r>
        <w:rPr>
          <w:rFonts w:hint="eastAsia" w:ascii="Times New Roman" w:hAnsi="Times New Roman" w:eastAsia="宋体" w:cs="Times New Roman"/>
          <w:color w:val="auto"/>
          <w:sz w:val="24"/>
          <w:highlight w:val="none"/>
        </w:rPr>
        <w:t>未经处理直接排放的情况下，各敏感点及区域网格最大点处的</w:t>
      </w:r>
      <w:r>
        <w:rPr>
          <w:rFonts w:hint="eastAsia" w:ascii="Times New Roman" w:hAnsi="Times New Roman" w:cs="Times New Roman"/>
          <w:color w:val="auto"/>
          <w:sz w:val="24"/>
          <w:highlight w:val="none"/>
          <w:lang w:val="en-US" w:eastAsia="zh-CN"/>
        </w:rPr>
        <w:t>甲醇</w:t>
      </w:r>
      <w:r>
        <w:rPr>
          <w:rFonts w:hint="eastAsia" w:ascii="Times New Roman" w:hAnsi="Times New Roman" w:eastAsia="宋体" w:cs="Times New Roman"/>
          <w:color w:val="auto"/>
          <w:sz w:val="24"/>
          <w:highlight w:val="none"/>
        </w:rPr>
        <w:t>1h浓度虽然能满足标准要求，但占标率明显增加，但废气处理设施失效时，应立即停产检修，待废气处理设施正常运行后方可继续生产。</w:t>
      </w:r>
    </w:p>
    <w:p>
      <w:pPr>
        <w:pStyle w:val="32"/>
        <w:bidi w:val="0"/>
        <w:rPr>
          <w:rFonts w:hint="eastAsia"/>
          <w:color w:val="auto"/>
          <w:lang w:val="en-US" w:eastAsia="zh-CN"/>
        </w:rPr>
      </w:pPr>
      <w:r>
        <w:rPr>
          <w:rFonts w:hint="eastAsia"/>
          <w:color w:val="auto"/>
          <w:lang w:val="en-US" w:eastAsia="zh-CN"/>
        </w:rPr>
        <w:t>7.1.7大气防护距离</w:t>
      </w:r>
    </w:p>
    <w:p>
      <w:pPr>
        <w:pStyle w:val="33"/>
        <w:ind w:left="0" w:leftChars="0"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根据《环境影响评价技术导则  大气环境》（HJ2.2-2018）规定，对于项目厂界浓度满足大气污染物厂界浓度限值，但厂界外大气污染物短期贡献浓度超过环境质量浓度限值的，可以自厂界向外设置一定区域的大气环境防护区域，以确保大气环境防护区域外的污染物贡献浓度满足环境质量标准。</w:t>
      </w:r>
    </w:p>
    <w:p>
      <w:pPr>
        <w:spacing w:line="360" w:lineRule="auto"/>
        <w:ind w:firstLine="480" w:firstLineChars="200"/>
        <w:rPr>
          <w:rFonts w:ascii="Times New Roman" w:hAnsi="Times New Roman" w:eastAsia="宋体" w:cs="Times New Roman"/>
          <w:b w:val="0"/>
          <w:bCs w:val="0"/>
          <w:color w:val="auto"/>
          <w:sz w:val="24"/>
          <w:highlight w:val="none"/>
        </w:rPr>
      </w:pPr>
      <w:r>
        <w:rPr>
          <w:rFonts w:ascii="Times New Roman" w:hAnsi="Times New Roman" w:eastAsia="宋体" w:cs="Times New Roman"/>
          <w:color w:val="auto"/>
          <w:sz w:val="24"/>
          <w:highlight w:val="none"/>
        </w:rPr>
        <w:t>根据大气预测结果可知</w:t>
      </w:r>
      <w:r>
        <w:rPr>
          <w:rFonts w:ascii="Times New Roman" w:hAnsi="Times New Roman" w:eastAsia="宋体" w:cs="Times New Roman"/>
          <w:b w:val="0"/>
          <w:bCs w:val="0"/>
          <w:color w:val="auto"/>
          <w:sz w:val="24"/>
          <w:highlight w:val="none"/>
        </w:rPr>
        <w:t>，本项目厂界线外没有超标点，无需设置大气环境防护距离。</w:t>
      </w:r>
    </w:p>
    <w:p>
      <w:pPr>
        <w:pStyle w:val="32"/>
        <w:bidi w:val="0"/>
        <w:rPr>
          <w:rFonts w:hint="eastAsia"/>
          <w:color w:val="auto"/>
          <w:lang w:val="en-US" w:eastAsia="zh-CN"/>
        </w:rPr>
      </w:pPr>
      <w:r>
        <w:rPr>
          <w:rFonts w:hint="eastAsia"/>
          <w:color w:val="auto"/>
          <w:lang w:val="en-US" w:eastAsia="zh-CN"/>
        </w:rPr>
        <w:t>7.1.8交通运输移动污染源</w:t>
      </w:r>
    </w:p>
    <w:p>
      <w:pPr>
        <w:pStyle w:val="33"/>
        <w:bidi w:val="0"/>
        <w:rPr>
          <w:rFonts w:hint="eastAsia"/>
          <w:color w:val="auto"/>
          <w:u w:val="single"/>
          <w:lang w:val="en-US" w:eastAsia="zh-CN"/>
        </w:rPr>
      </w:pPr>
      <w:r>
        <w:rPr>
          <w:rFonts w:hint="eastAsia"/>
          <w:color w:val="auto"/>
          <w:u w:val="single"/>
          <w:lang w:val="en-US" w:eastAsia="zh-CN"/>
        </w:rPr>
        <w:t>由于原料运输不可避免由于路面材料的破碎受碾压、摩擦等作用会形成尘土，这些尘土在运输车辆过往期间被车轮及周边流动空气带起形成扬散粉尘影响沿路空气环境。</w:t>
      </w:r>
    </w:p>
    <w:p>
      <w:pPr>
        <w:pStyle w:val="33"/>
        <w:bidi w:val="0"/>
        <w:rPr>
          <w:rFonts w:hint="eastAsia"/>
          <w:color w:val="auto"/>
          <w:u w:val="single"/>
          <w:lang w:val="en-US" w:eastAsia="zh-CN"/>
        </w:rPr>
      </w:pPr>
      <w:r>
        <w:rPr>
          <w:rFonts w:hint="eastAsia"/>
          <w:color w:val="auto"/>
          <w:u w:val="single"/>
          <w:lang w:val="en-US" w:eastAsia="zh-CN"/>
        </w:rPr>
        <w:t>路面扬尘属于开放不连续性产尘，产尘点多而不固定、涉及面大，属于具有阵发产尘性质的尘源，通常只有在汽车行驶时才产生浓度较大的粉尘。项目运输道路主要为水泥硬化道路。根据类比分析本项目道路在不洒水的情况下，道路沿线粉尘浓度低于0.35mg/m</w:t>
      </w:r>
      <w:r>
        <w:rPr>
          <w:rFonts w:hint="eastAsia"/>
          <w:color w:val="auto"/>
          <w:u w:val="single"/>
          <w:vertAlign w:val="superscript"/>
          <w:lang w:val="en-US" w:eastAsia="zh-CN"/>
        </w:rPr>
        <w:t>3</w:t>
      </w:r>
      <w:r>
        <w:rPr>
          <w:rFonts w:hint="eastAsia"/>
          <w:color w:val="auto"/>
          <w:u w:val="single"/>
          <w:lang w:val="en-US" w:eastAsia="zh-CN"/>
        </w:rPr>
        <w:t>左右，达到《环境空气质量标准》（GB3095-2012）二级小时浓度标准。为减轻道路扬尘对周围大气环境的影响，拟对运输车辆采取专用封闭运输，同时加强道路的定期清扫。采取以上措施后，运输道路产生的扬尘对周围环境影响不大。</w:t>
      </w:r>
    </w:p>
    <w:p>
      <w:pPr>
        <w:pStyle w:val="32"/>
        <w:bidi w:val="0"/>
        <w:rPr>
          <w:rFonts w:hint="eastAsia"/>
          <w:color w:val="auto"/>
          <w:lang w:val="en-US" w:eastAsia="zh-CN"/>
        </w:rPr>
      </w:pPr>
      <w:r>
        <w:rPr>
          <w:rFonts w:hint="eastAsia"/>
          <w:color w:val="auto"/>
          <w:lang w:val="en-US" w:eastAsia="zh-CN"/>
        </w:rPr>
        <w:t>7.1.9大气环境影响评价结论</w:t>
      </w:r>
    </w:p>
    <w:p>
      <w:pPr>
        <w:pStyle w:val="33"/>
        <w:ind w:left="0" w:leftChars="0" w:firstLine="480" w:firstLineChars="200"/>
        <w:rPr>
          <w:rFonts w:ascii="Times New Roman" w:hAnsi="Times New Roman" w:eastAsia="宋体" w:cs="Times New Roman"/>
          <w:color w:val="auto"/>
          <w:kern w:val="0"/>
          <w:sz w:val="24"/>
          <w:highlight w:val="none"/>
        </w:rPr>
      </w:pPr>
      <w:bookmarkStart w:id="168" w:name="_Hlk59445195"/>
      <w:r>
        <w:rPr>
          <w:rFonts w:ascii="Times New Roman" w:hAnsi="Times New Roman" w:eastAsia="宋体" w:cs="Times New Roman"/>
          <w:color w:val="auto"/>
          <w:kern w:val="0"/>
          <w:sz w:val="24"/>
          <w:highlight w:val="none"/>
        </w:rPr>
        <w:t>本项目评价基准年为2019年，所在区域基准年为环境空气质量不达标区，超标因子为O</w:t>
      </w:r>
      <w:r>
        <w:rPr>
          <w:rFonts w:ascii="Times New Roman" w:hAnsi="Times New Roman" w:eastAsia="宋体" w:cs="Times New Roman"/>
          <w:color w:val="auto"/>
          <w:kern w:val="0"/>
          <w:sz w:val="24"/>
          <w:highlight w:val="none"/>
          <w:vertAlign w:val="subscript"/>
        </w:rPr>
        <w:t>3</w:t>
      </w:r>
      <w:r>
        <w:rPr>
          <w:rFonts w:ascii="Times New Roman" w:hAnsi="Times New Roman" w:eastAsia="宋体" w:cs="Times New Roman"/>
          <w:color w:val="auto"/>
          <w:kern w:val="0"/>
          <w:sz w:val="24"/>
          <w:highlight w:val="none"/>
        </w:rPr>
        <w:t>和PM</w:t>
      </w:r>
      <w:r>
        <w:rPr>
          <w:rFonts w:ascii="Times New Roman" w:hAnsi="Times New Roman" w:eastAsia="宋体" w:cs="Times New Roman"/>
          <w:color w:val="auto"/>
          <w:kern w:val="0"/>
          <w:sz w:val="24"/>
          <w:highlight w:val="none"/>
          <w:vertAlign w:val="subscript"/>
        </w:rPr>
        <w:t>2.5</w:t>
      </w:r>
      <w:r>
        <w:rPr>
          <w:rFonts w:ascii="Times New Roman" w:hAnsi="Times New Roman" w:eastAsia="宋体" w:cs="Times New Roman"/>
          <w:color w:val="auto"/>
          <w:kern w:val="0"/>
          <w:sz w:val="24"/>
          <w:highlight w:val="none"/>
        </w:rPr>
        <w:t>。</w:t>
      </w:r>
      <w:r>
        <w:rPr>
          <w:rFonts w:hint="eastAsia" w:ascii="宋体" w:hAnsi="宋体" w:eastAsia="宋体" w:cs="宋体"/>
          <w:color w:val="auto"/>
          <w:kern w:val="0"/>
          <w:sz w:val="24"/>
          <w:highlight w:val="none"/>
        </w:rPr>
        <w:t>①</w:t>
      </w:r>
      <w:r>
        <w:rPr>
          <w:rFonts w:ascii="Times New Roman" w:hAnsi="Times New Roman" w:eastAsia="宋体" w:cs="Times New Roman"/>
          <w:color w:val="auto"/>
          <w:kern w:val="0"/>
          <w:sz w:val="24"/>
          <w:highlight w:val="none"/>
        </w:rPr>
        <w:t>本项目</w:t>
      </w:r>
      <w:r>
        <w:rPr>
          <w:rFonts w:hint="eastAsia" w:ascii="Times New Roman" w:hAnsi="Times New Roman" w:eastAsia="宋体" w:cs="Times New Roman"/>
          <w:color w:val="auto"/>
          <w:kern w:val="0"/>
          <w:sz w:val="24"/>
          <w:highlight w:val="none"/>
        </w:rPr>
        <w:t>所排放的污染因子为VOCs、</w:t>
      </w:r>
      <w:r>
        <w:rPr>
          <w:rFonts w:hint="eastAsia" w:ascii="Times New Roman" w:hAnsi="Times New Roman" w:cs="Times New Roman"/>
          <w:color w:val="auto"/>
          <w:kern w:val="0"/>
          <w:sz w:val="24"/>
          <w:highlight w:val="none"/>
          <w:lang w:val="en-US" w:eastAsia="zh-CN"/>
        </w:rPr>
        <w:t>甲醇</w:t>
      </w:r>
      <w:r>
        <w:rPr>
          <w:rFonts w:hint="eastAsia" w:ascii="Times New Roman" w:hAnsi="Times New Roman" w:eastAsia="宋体" w:cs="Times New Roman"/>
          <w:color w:val="auto"/>
          <w:kern w:val="0"/>
          <w:sz w:val="24"/>
          <w:highlight w:val="none"/>
        </w:rPr>
        <w:t>，均属于达标因子</w:t>
      </w:r>
      <w:r>
        <w:rPr>
          <w:rFonts w:ascii="Times New Roman" w:hAnsi="Times New Roman" w:eastAsia="宋体" w:cs="Times New Roman"/>
          <w:color w:val="auto"/>
          <w:kern w:val="0"/>
          <w:sz w:val="24"/>
          <w:highlight w:val="none"/>
        </w:rPr>
        <w:t>；</w:t>
      </w:r>
      <w:r>
        <w:rPr>
          <w:rFonts w:hint="eastAsia" w:ascii="宋体" w:hAnsi="宋体" w:eastAsia="宋体" w:cs="宋体"/>
          <w:color w:val="auto"/>
          <w:kern w:val="0"/>
          <w:sz w:val="24"/>
          <w:highlight w:val="none"/>
        </w:rPr>
        <w:t>②</w:t>
      </w:r>
      <w:r>
        <w:rPr>
          <w:rFonts w:ascii="Times New Roman" w:hAnsi="Times New Roman" w:eastAsia="宋体" w:cs="Times New Roman"/>
          <w:color w:val="auto"/>
          <w:kern w:val="0"/>
          <w:sz w:val="24"/>
          <w:highlight w:val="none"/>
        </w:rPr>
        <w:t>本项目新增污染源正常排放下</w:t>
      </w:r>
      <w:r>
        <w:rPr>
          <w:rFonts w:hint="eastAsia" w:ascii="Times New Roman" w:hAnsi="Times New Roman" w:eastAsia="宋体" w:cs="Times New Roman"/>
          <w:color w:val="auto"/>
          <w:kern w:val="0"/>
          <w:sz w:val="24"/>
          <w:highlight w:val="none"/>
        </w:rPr>
        <w:t>VOCs</w:t>
      </w:r>
      <w:r>
        <w:rPr>
          <w:rFonts w:ascii="Times New Roman" w:hAnsi="Times New Roman" w:eastAsia="宋体" w:cs="Times New Roman"/>
          <w:color w:val="auto"/>
          <w:kern w:val="0"/>
          <w:sz w:val="24"/>
          <w:highlight w:val="none"/>
        </w:rPr>
        <w:t>的</w:t>
      </w:r>
      <w:r>
        <w:rPr>
          <w:rFonts w:hint="eastAsia" w:ascii="Times New Roman" w:hAnsi="Times New Roman" w:eastAsia="宋体" w:cs="Times New Roman"/>
          <w:color w:val="auto"/>
          <w:kern w:val="0"/>
          <w:sz w:val="24"/>
          <w:highlight w:val="none"/>
        </w:rPr>
        <w:t>8</w:t>
      </w:r>
      <w:r>
        <w:rPr>
          <w:rFonts w:ascii="Times New Roman" w:hAnsi="Times New Roman" w:eastAsia="宋体" w:cs="Times New Roman"/>
          <w:color w:val="auto"/>
          <w:kern w:val="0"/>
          <w:sz w:val="24"/>
          <w:highlight w:val="none"/>
        </w:rPr>
        <w:t>小时最大浓度贡献值占标率为</w:t>
      </w:r>
      <w:r>
        <w:rPr>
          <w:rFonts w:hint="eastAsia" w:cs="Times New Roman"/>
          <w:color w:val="auto"/>
          <w:kern w:val="0"/>
          <w:sz w:val="24"/>
          <w:highlight w:val="none"/>
          <w:lang w:val="en-US" w:eastAsia="zh-CN"/>
        </w:rPr>
        <w:t>7.91</w:t>
      </w:r>
      <w:r>
        <w:rPr>
          <w:rFonts w:ascii="Times New Roman" w:hAnsi="Times New Roman" w:eastAsia="宋体" w:cs="Times New Roman"/>
          <w:color w:val="auto"/>
          <w:kern w:val="0"/>
          <w:sz w:val="24"/>
          <w:highlight w:val="none"/>
        </w:rPr>
        <w:t>%；</w:t>
      </w:r>
      <w:r>
        <w:rPr>
          <w:rFonts w:hint="eastAsia" w:ascii="Times New Roman" w:hAnsi="Times New Roman" w:cs="Times New Roman"/>
          <w:color w:val="auto"/>
          <w:kern w:val="0"/>
          <w:sz w:val="24"/>
          <w:highlight w:val="none"/>
          <w:lang w:val="en-US" w:eastAsia="zh-CN"/>
        </w:rPr>
        <w:t>甲醇</w:t>
      </w:r>
      <w:r>
        <w:rPr>
          <w:rFonts w:ascii="Times New Roman" w:hAnsi="Times New Roman" w:eastAsia="宋体" w:cs="Times New Roman"/>
          <w:color w:val="auto"/>
          <w:kern w:val="0"/>
          <w:sz w:val="24"/>
          <w:highlight w:val="none"/>
        </w:rPr>
        <w:t>的小时和日均最大浓度贡献值占标率分别为</w:t>
      </w:r>
      <w:r>
        <w:rPr>
          <w:rFonts w:hint="eastAsia" w:cs="Times New Roman"/>
          <w:color w:val="auto"/>
          <w:kern w:val="0"/>
          <w:sz w:val="24"/>
          <w:highlight w:val="none"/>
          <w:lang w:val="en-US" w:eastAsia="zh-CN"/>
        </w:rPr>
        <w:t>0.2</w:t>
      </w:r>
      <w:r>
        <w:rPr>
          <w:rFonts w:ascii="Times New Roman" w:hAnsi="Times New Roman" w:eastAsia="宋体" w:cs="Times New Roman"/>
          <w:color w:val="auto"/>
          <w:kern w:val="0"/>
          <w:sz w:val="24"/>
          <w:highlight w:val="none"/>
        </w:rPr>
        <w:t>%和</w:t>
      </w:r>
      <w:r>
        <w:rPr>
          <w:rFonts w:hint="eastAsia" w:cs="Times New Roman"/>
          <w:color w:val="auto"/>
          <w:kern w:val="0"/>
          <w:sz w:val="24"/>
          <w:highlight w:val="none"/>
          <w:lang w:val="en-US" w:eastAsia="zh-CN"/>
        </w:rPr>
        <w:t>0.04</w:t>
      </w:r>
      <w:r>
        <w:rPr>
          <w:rFonts w:ascii="Times New Roman" w:hAnsi="Times New Roman" w:eastAsia="宋体" w:cs="Times New Roman"/>
          <w:color w:val="auto"/>
          <w:kern w:val="0"/>
          <w:sz w:val="24"/>
          <w:highlight w:val="none"/>
        </w:rPr>
        <w:t>%；项目各污染物短期浓度贡献值的最大浓度占标率均＜100%。</w:t>
      </w:r>
      <w:r>
        <w:rPr>
          <w:rFonts w:hint="eastAsia" w:ascii="宋体" w:hAnsi="宋体" w:eastAsia="宋体" w:cs="宋体"/>
          <w:color w:val="auto"/>
          <w:kern w:val="0"/>
          <w:sz w:val="24"/>
          <w:highlight w:val="none"/>
        </w:rPr>
        <w:t>③</w:t>
      </w:r>
      <w:r>
        <w:rPr>
          <w:rFonts w:ascii="Times New Roman" w:hAnsi="Times New Roman" w:eastAsia="宋体" w:cs="Times New Roman"/>
          <w:color w:val="auto"/>
          <w:kern w:val="0"/>
          <w:sz w:val="24"/>
          <w:highlight w:val="none"/>
        </w:rPr>
        <w:t>对于仅有短期浓度的TVOC</w:t>
      </w:r>
      <w:r>
        <w:rPr>
          <w:rFonts w:hint="eastAsia" w:ascii="Times New Roman" w:hAnsi="Times New Roman" w:eastAsia="宋体" w:cs="Times New Roman"/>
          <w:color w:val="auto"/>
          <w:kern w:val="0"/>
          <w:sz w:val="24"/>
          <w:highlight w:val="none"/>
        </w:rPr>
        <w:t>和</w:t>
      </w:r>
      <w:r>
        <w:rPr>
          <w:rFonts w:hint="eastAsia" w:ascii="Times New Roman" w:hAnsi="Times New Roman" w:cs="Times New Roman"/>
          <w:color w:val="auto"/>
          <w:kern w:val="0"/>
          <w:sz w:val="24"/>
          <w:highlight w:val="none"/>
          <w:lang w:val="en-US" w:eastAsia="zh-CN"/>
        </w:rPr>
        <w:t>甲醇</w:t>
      </w:r>
      <w:r>
        <w:rPr>
          <w:rFonts w:ascii="Times New Roman" w:hAnsi="Times New Roman" w:eastAsia="宋体" w:cs="Times New Roman"/>
          <w:color w:val="auto"/>
          <w:kern w:val="0"/>
          <w:sz w:val="24"/>
          <w:highlight w:val="none"/>
        </w:rPr>
        <w:t>叠加</w:t>
      </w:r>
      <w:r>
        <w:rPr>
          <w:rFonts w:hint="eastAsia" w:ascii="Times New Roman" w:hAnsi="Times New Roman" w:eastAsia="宋体" w:cs="Times New Roman"/>
          <w:color w:val="auto"/>
          <w:kern w:val="0"/>
          <w:sz w:val="24"/>
          <w:highlight w:val="none"/>
        </w:rPr>
        <w:t>背景浓度和区域在建拟建污染源后，</w:t>
      </w:r>
      <w:r>
        <w:rPr>
          <w:rFonts w:ascii="Times New Roman" w:hAnsi="Times New Roman" w:eastAsia="宋体" w:cs="Times New Roman"/>
          <w:color w:val="auto"/>
          <w:kern w:val="0"/>
          <w:sz w:val="24"/>
          <w:highlight w:val="none"/>
        </w:rPr>
        <w:t>TVOC叠加后8小时浓度</w:t>
      </w:r>
      <w:r>
        <w:rPr>
          <w:rFonts w:hint="eastAsia" w:ascii="Times New Roman" w:hAnsi="Times New Roman" w:eastAsia="宋体" w:cs="Times New Roman"/>
          <w:color w:val="auto"/>
          <w:kern w:val="0"/>
          <w:sz w:val="24"/>
          <w:highlight w:val="none"/>
        </w:rPr>
        <w:t>占标率为</w:t>
      </w:r>
      <w:r>
        <w:rPr>
          <w:rFonts w:hint="eastAsia" w:cs="Times New Roman"/>
          <w:color w:val="auto"/>
          <w:kern w:val="0"/>
          <w:sz w:val="24"/>
          <w:highlight w:val="none"/>
          <w:lang w:val="en-US" w:eastAsia="zh-CN"/>
        </w:rPr>
        <w:t>9.32</w:t>
      </w:r>
      <w:r>
        <w:rPr>
          <w:rFonts w:hint="eastAsia" w:ascii="Times New Roman" w:hAnsi="Times New Roman" w:eastAsia="宋体" w:cs="Times New Roman"/>
          <w:color w:val="auto"/>
          <w:kern w:val="0"/>
          <w:sz w:val="24"/>
          <w:highlight w:val="none"/>
        </w:rPr>
        <w:t>%；</w:t>
      </w:r>
      <w:r>
        <w:rPr>
          <w:rFonts w:hint="eastAsia" w:ascii="Times New Roman" w:hAnsi="Times New Roman" w:cs="Times New Roman"/>
          <w:color w:val="auto"/>
          <w:kern w:val="0"/>
          <w:sz w:val="24"/>
          <w:highlight w:val="none"/>
          <w:lang w:val="en-US" w:eastAsia="zh-CN"/>
        </w:rPr>
        <w:t>甲醇</w:t>
      </w:r>
      <w:r>
        <w:rPr>
          <w:rFonts w:hint="eastAsia" w:ascii="Times New Roman" w:hAnsi="Times New Roman" w:eastAsia="宋体" w:cs="Times New Roman"/>
          <w:color w:val="auto"/>
          <w:kern w:val="0"/>
          <w:sz w:val="24"/>
          <w:highlight w:val="none"/>
        </w:rPr>
        <w:t>叠加后1</w:t>
      </w:r>
      <w:r>
        <w:rPr>
          <w:rFonts w:ascii="Times New Roman" w:hAnsi="Times New Roman" w:eastAsia="宋体" w:cs="Times New Roman"/>
          <w:color w:val="auto"/>
          <w:kern w:val="0"/>
          <w:sz w:val="24"/>
          <w:highlight w:val="none"/>
        </w:rPr>
        <w:t>小时和日均最大浓度占标率分别为</w:t>
      </w:r>
      <w:r>
        <w:rPr>
          <w:rFonts w:hint="eastAsia" w:cs="Times New Roman"/>
          <w:color w:val="auto"/>
          <w:kern w:val="0"/>
          <w:sz w:val="24"/>
          <w:highlight w:val="none"/>
          <w:lang w:val="en-US" w:eastAsia="zh-CN"/>
        </w:rPr>
        <w:t>37.54</w:t>
      </w:r>
      <w:r>
        <w:rPr>
          <w:rFonts w:ascii="Times New Roman" w:hAnsi="Times New Roman" w:eastAsia="宋体" w:cs="Times New Roman"/>
          <w:color w:val="auto"/>
          <w:kern w:val="0"/>
          <w:sz w:val="24"/>
          <w:highlight w:val="none"/>
        </w:rPr>
        <w:t>%和</w:t>
      </w:r>
      <w:r>
        <w:rPr>
          <w:rFonts w:hint="eastAsia" w:cs="Times New Roman"/>
          <w:color w:val="auto"/>
          <w:kern w:val="0"/>
          <w:sz w:val="24"/>
          <w:highlight w:val="none"/>
          <w:lang w:val="en-US" w:eastAsia="zh-CN"/>
        </w:rPr>
        <w:t>84.2</w:t>
      </w:r>
      <w:r>
        <w:rPr>
          <w:rFonts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rPr>
        <w:t>均</w:t>
      </w:r>
      <w:r>
        <w:rPr>
          <w:rFonts w:ascii="Times New Roman" w:hAnsi="Times New Roman" w:eastAsia="宋体" w:cs="Times New Roman"/>
          <w:color w:val="auto"/>
          <w:kern w:val="0"/>
          <w:sz w:val="24"/>
          <w:highlight w:val="none"/>
        </w:rPr>
        <w:t>满足《环境影响评价技术导则 大气环境》(HJ2.2-2018)附录D中标准限值要求。综上，本项目的大气环境影响可以接受。</w:t>
      </w:r>
    </w:p>
    <w:p>
      <w:pPr>
        <w:pStyle w:val="33"/>
        <w:ind w:left="0" w:leftChars="0" w:firstLine="480" w:firstLineChars="200"/>
        <w:rPr>
          <w:rFonts w:ascii="Times New Roman" w:hAnsi="Times New Roman" w:eastAsia="宋体" w:cs="Times New Roman"/>
          <w:b w:val="0"/>
          <w:color w:val="auto"/>
          <w:kern w:val="0"/>
          <w:sz w:val="24"/>
          <w:szCs w:val="20"/>
          <w:highlight w:val="none"/>
          <w:lang w:val="en-US" w:eastAsia="zh-CN" w:bidi="ar-SA"/>
        </w:rPr>
      </w:pPr>
      <w:r>
        <w:rPr>
          <w:rFonts w:ascii="Times New Roman" w:hAnsi="Times New Roman" w:eastAsia="宋体" w:cs="Times New Roman"/>
          <w:b w:val="0"/>
          <w:color w:val="auto"/>
          <w:kern w:val="0"/>
          <w:sz w:val="24"/>
          <w:szCs w:val="20"/>
          <w:highlight w:val="none"/>
          <w:lang w:val="en-US" w:eastAsia="zh-CN" w:bidi="ar-SA"/>
        </w:rPr>
        <w:t>根据预测计算，本项目厂界线外没有超标点，无需设置大气环境防护距离。</w:t>
      </w:r>
      <w:bookmarkEnd w:id="168"/>
    </w:p>
    <w:p>
      <w:pPr>
        <w:pStyle w:val="31"/>
        <w:bidi w:val="0"/>
        <w:rPr>
          <w:rFonts w:hint="eastAsia"/>
          <w:color w:val="auto"/>
          <w:lang w:val="en-US" w:eastAsia="zh-CN"/>
        </w:rPr>
      </w:pPr>
      <w:bookmarkStart w:id="169" w:name="_Toc26864"/>
      <w:bookmarkStart w:id="170" w:name="_Toc624"/>
      <w:bookmarkStart w:id="171" w:name="_Toc2673"/>
      <w:bookmarkStart w:id="172" w:name="_Toc27865"/>
      <w:bookmarkStart w:id="173" w:name="_Toc20119"/>
      <w:bookmarkStart w:id="174" w:name="_Toc24866"/>
      <w:bookmarkStart w:id="175" w:name="_Toc28874"/>
      <w:bookmarkStart w:id="176" w:name="_Toc25160"/>
      <w:bookmarkStart w:id="177" w:name="_Toc14123"/>
      <w:bookmarkStart w:id="178" w:name="_Toc27526"/>
      <w:bookmarkStart w:id="179" w:name="_Toc10080"/>
      <w:bookmarkStart w:id="180" w:name="_Toc15293"/>
      <w:bookmarkStart w:id="181" w:name="_Toc6647"/>
      <w:bookmarkStart w:id="182" w:name="_Toc14824"/>
      <w:bookmarkStart w:id="183" w:name="_Toc4146"/>
      <w:bookmarkStart w:id="184" w:name="_Toc2864"/>
      <w:bookmarkStart w:id="185" w:name="_Toc12869"/>
      <w:bookmarkStart w:id="186" w:name="_Toc17318"/>
      <w:r>
        <w:rPr>
          <w:rFonts w:hint="eastAsia"/>
          <w:color w:val="auto"/>
          <w:lang w:val="en-US" w:eastAsia="zh-CN"/>
        </w:rPr>
        <w:t>7.2地表水环境影响预测与评价</w:t>
      </w:r>
      <w:bookmarkEnd w:id="169"/>
      <w:bookmarkEnd w:id="170"/>
    </w:p>
    <w:p>
      <w:pPr>
        <w:pStyle w:val="33"/>
        <w:bidi w:val="0"/>
        <w:rPr>
          <w:rFonts w:hint="eastAsia"/>
          <w:color w:val="auto"/>
          <w:lang w:val="en-US" w:eastAsia="zh-CN"/>
        </w:rPr>
      </w:pPr>
      <w:r>
        <w:rPr>
          <w:rFonts w:hint="eastAsia"/>
          <w:color w:val="auto"/>
          <w:lang w:val="en-US" w:eastAsia="zh-CN"/>
        </w:rPr>
        <w:t>根据现场踏勘及调查可知，项目区域范围内排水系统已实行雨污分流。本项目严格按照雨污分流进行设计、建设。根据地表水导则要求判定本次评价项目地表水环境影响评价等级为三级B，可不进行水环境影响预测。主要评价内容包括：</w:t>
      </w:r>
    </w:p>
    <w:p>
      <w:pPr>
        <w:pStyle w:val="33"/>
        <w:bidi w:val="0"/>
        <w:rPr>
          <w:rFonts w:hint="eastAsia"/>
          <w:color w:val="auto"/>
          <w:lang w:val="en-US" w:eastAsia="zh-CN"/>
        </w:rPr>
      </w:pPr>
      <w:r>
        <w:rPr>
          <w:rFonts w:hint="eastAsia"/>
          <w:color w:val="auto"/>
          <w:lang w:val="en-US" w:eastAsia="zh-CN"/>
        </w:rPr>
        <w:t>①水污染控制和水环境影响减缓措施有效性评价；</w:t>
      </w:r>
    </w:p>
    <w:p>
      <w:pPr>
        <w:pStyle w:val="33"/>
        <w:bidi w:val="0"/>
        <w:rPr>
          <w:rFonts w:hint="eastAsia"/>
          <w:color w:val="auto"/>
          <w:lang w:val="en-US" w:eastAsia="zh-CN"/>
        </w:rPr>
      </w:pPr>
      <w:r>
        <w:rPr>
          <w:rFonts w:hint="eastAsia"/>
          <w:color w:val="auto"/>
          <w:lang w:val="en-US" w:eastAsia="zh-CN"/>
        </w:rPr>
        <w:t>②依托污水处理设施的环境可行性评价。</w:t>
      </w:r>
    </w:p>
    <w:p>
      <w:pPr>
        <w:pStyle w:val="32"/>
        <w:bidi w:val="0"/>
        <w:rPr>
          <w:rFonts w:hint="eastAsia"/>
          <w:color w:val="auto"/>
          <w:lang w:val="en-US" w:eastAsia="zh-CN"/>
        </w:rPr>
      </w:pPr>
      <w:bookmarkStart w:id="187" w:name="_Toc19752"/>
      <w:r>
        <w:rPr>
          <w:rFonts w:hint="eastAsia"/>
          <w:color w:val="auto"/>
          <w:lang w:val="en-US" w:eastAsia="zh-CN"/>
        </w:rPr>
        <w:t>7.2.1水污染控制和水环境影响减缓措施有效性评价</w:t>
      </w:r>
      <w:bookmarkEnd w:id="187"/>
    </w:p>
    <w:p>
      <w:pPr>
        <w:pStyle w:val="33"/>
        <w:bidi w:val="0"/>
        <w:rPr>
          <w:rFonts w:hint="eastAsia" w:ascii="Times New Roman" w:hAnsi="Times New Roman"/>
          <w:caps w:val="0"/>
          <w:smallCaps w:val="0"/>
          <w:color w:val="auto"/>
          <w:sz w:val="24"/>
          <w:szCs w:val="24"/>
          <w:u w:val="none"/>
        </w:rPr>
      </w:pPr>
      <w:r>
        <w:rPr>
          <w:rFonts w:hint="eastAsia" w:ascii="Times New Roman" w:hAnsi="Times New Roman"/>
          <w:caps w:val="0"/>
          <w:smallCaps w:val="0"/>
          <w:color w:val="auto"/>
          <w:sz w:val="24"/>
          <w:szCs w:val="24"/>
          <w:u w:val="none"/>
        </w:rPr>
        <w:t>本项目废水</w:t>
      </w:r>
      <w:r>
        <w:rPr>
          <w:rFonts w:hint="eastAsia" w:ascii="Times New Roman" w:hAnsi="Times New Roman"/>
          <w:caps w:val="0"/>
          <w:smallCaps w:val="0"/>
          <w:color w:val="auto"/>
          <w:sz w:val="24"/>
          <w:szCs w:val="24"/>
          <w:u w:val="none"/>
          <w:lang w:eastAsia="zh-CN"/>
        </w:rPr>
        <w:t>采取“雨污分流、污污分流、分质处理”措施。</w:t>
      </w:r>
      <w:r>
        <w:rPr>
          <w:rFonts w:hint="eastAsia" w:ascii="Times New Roman" w:hAnsi="Times New Roman"/>
          <w:caps w:val="0"/>
          <w:smallCaps w:val="0"/>
          <w:color w:val="auto"/>
          <w:sz w:val="24"/>
          <w:szCs w:val="24"/>
          <w:u w:val="none"/>
        </w:rPr>
        <w:t>根据工程分析和物料平衡，</w:t>
      </w:r>
      <w:r>
        <w:rPr>
          <w:rFonts w:hint="eastAsia"/>
          <w:caps w:val="0"/>
          <w:smallCaps w:val="0"/>
          <w:color w:val="auto"/>
          <w:sz w:val="24"/>
          <w:szCs w:val="24"/>
          <w:u w:val="none"/>
          <w:lang w:val="en-US" w:eastAsia="zh-CN"/>
        </w:rPr>
        <w:t>生产</w:t>
      </w:r>
      <w:r>
        <w:rPr>
          <w:rFonts w:hint="eastAsia" w:ascii="Times New Roman" w:hAnsi="Times New Roman"/>
          <w:caps w:val="0"/>
          <w:smallCaps w:val="0"/>
          <w:color w:val="auto"/>
          <w:sz w:val="24"/>
          <w:szCs w:val="24"/>
          <w:u w:val="none"/>
        </w:rPr>
        <w:t>废水产生量为</w:t>
      </w:r>
      <w:r>
        <w:rPr>
          <w:rFonts w:hint="eastAsia"/>
          <w:caps w:val="0"/>
          <w:smallCaps w:val="0"/>
          <w:color w:val="auto"/>
          <w:sz w:val="24"/>
          <w:szCs w:val="24"/>
          <w:u w:val="none"/>
          <w:lang w:val="en-US" w:eastAsia="zh-CN"/>
        </w:rPr>
        <w:t>9.79</w:t>
      </w:r>
      <w:r>
        <w:rPr>
          <w:rFonts w:ascii="Times New Roman" w:hAnsi="Times New Roman"/>
          <w:caps w:val="0"/>
          <w:smallCaps w:val="0"/>
          <w:color w:val="auto"/>
          <w:sz w:val="24"/>
          <w:szCs w:val="24"/>
          <w:u w:val="none"/>
        </w:rPr>
        <w:t>m</w:t>
      </w:r>
      <w:r>
        <w:rPr>
          <w:rFonts w:ascii="Times New Roman" w:hAnsi="Times New Roman"/>
          <w:caps w:val="0"/>
          <w:smallCaps w:val="0"/>
          <w:color w:val="auto"/>
          <w:sz w:val="24"/>
          <w:szCs w:val="24"/>
          <w:u w:val="none"/>
          <w:vertAlign w:val="superscript"/>
        </w:rPr>
        <w:t>3</w:t>
      </w:r>
      <w:r>
        <w:rPr>
          <w:rFonts w:ascii="Times New Roman" w:hAnsi="Times New Roman"/>
          <w:caps w:val="0"/>
          <w:smallCaps w:val="0"/>
          <w:color w:val="auto"/>
          <w:sz w:val="24"/>
          <w:szCs w:val="24"/>
          <w:u w:val="none"/>
        </w:rPr>
        <w:t>/d</w:t>
      </w:r>
      <w:r>
        <w:rPr>
          <w:rFonts w:hint="eastAsia" w:ascii="Times New Roman" w:hAnsi="Times New Roman"/>
          <w:caps w:val="0"/>
          <w:smallCaps w:val="0"/>
          <w:color w:val="auto"/>
          <w:sz w:val="24"/>
          <w:szCs w:val="24"/>
          <w:u w:val="none"/>
        </w:rPr>
        <w:t>，主要含有机类，</w:t>
      </w:r>
      <w:r>
        <w:rPr>
          <w:rFonts w:hint="eastAsia"/>
          <w:caps w:val="0"/>
          <w:smallCaps w:val="0"/>
          <w:color w:val="auto"/>
          <w:sz w:val="24"/>
          <w:szCs w:val="24"/>
          <w:u w:val="none"/>
          <w:lang w:val="en-US" w:eastAsia="zh-CN"/>
        </w:rPr>
        <w:t>COD含量约26309.3mg/L</w:t>
      </w:r>
      <w:r>
        <w:rPr>
          <w:rFonts w:hint="eastAsia" w:ascii="Times New Roman" w:hAnsi="Times New Roman"/>
          <w:caps w:val="0"/>
          <w:smallCaps w:val="0"/>
          <w:color w:val="auto"/>
          <w:sz w:val="24"/>
          <w:szCs w:val="24"/>
          <w:u w:val="none"/>
        </w:rPr>
        <w:t>。</w:t>
      </w:r>
    </w:p>
    <w:p>
      <w:pPr>
        <w:pStyle w:val="33"/>
        <w:bidi w:val="0"/>
        <w:rPr>
          <w:rFonts w:hint="eastAsia"/>
          <w:caps w:val="0"/>
          <w:smallCaps w:val="0"/>
          <w:color w:val="auto"/>
          <w:sz w:val="24"/>
          <w:szCs w:val="24"/>
          <w:u w:val="none"/>
          <w:lang w:val="en-US" w:eastAsia="zh-CN"/>
        </w:rPr>
      </w:pPr>
      <w:r>
        <w:rPr>
          <w:rFonts w:hint="eastAsia"/>
          <w:caps w:val="0"/>
          <w:smallCaps w:val="0"/>
          <w:color w:val="auto"/>
          <w:sz w:val="24"/>
          <w:szCs w:val="24"/>
          <w:u w:val="none"/>
          <w:lang w:val="en-US" w:eastAsia="zh-CN"/>
        </w:rPr>
        <w:t>拟依托厂区二期项目新建污水处理站进行处理后，满足《石油化学工业污染物排放标准》（GB31571-2015）、《合成树脂工业污染物排放标准》（GB31572-2015）及云溪区污水处理厂进水水质要求后，排入云溪区污水处理厂处理。</w:t>
      </w:r>
    </w:p>
    <w:p>
      <w:pPr>
        <w:pStyle w:val="33"/>
        <w:bidi w:val="0"/>
        <w:rPr>
          <w:rFonts w:hint="eastAsia"/>
          <w:caps w:val="0"/>
          <w:smallCaps w:val="0"/>
          <w:color w:val="auto"/>
          <w:sz w:val="24"/>
          <w:szCs w:val="24"/>
          <w:u w:val="none"/>
          <w:lang w:val="en-US" w:eastAsia="zh-CN"/>
        </w:rPr>
      </w:pPr>
      <w:r>
        <w:rPr>
          <w:rFonts w:hint="eastAsia"/>
          <w:caps w:val="0"/>
          <w:smallCaps w:val="0"/>
          <w:color w:val="auto"/>
          <w:sz w:val="24"/>
          <w:szCs w:val="24"/>
          <w:u w:val="none"/>
          <w:lang w:val="en-US" w:eastAsia="zh-CN"/>
        </w:rPr>
        <w:t>湖南湘汇机械科技有限公司为岳阳市凌峰化工有限公司设计的“自动化污水处理系统技术方案”，现有厂区污水处理站采用MVR蒸发浓缩和二甲胺回收处理工艺来进行分解，根据物料性质先采用蒸发器蒸发，把二甲胺、甲醇和有机物容易挥发，先把二甲胺甲醇和有机物蒸发分离，经过蒸发分离后冷却到储存罐存储，MVR蒸发不断继续蒸发，物料里含的树脂苯芬和混合物浓缩浓度达到70%即可出料。蒸发出来的蒸馏水水在经过加热输送到二甲胺回收塔继续加热回收，二甲胺、甲醇和有机物浓度浓缩到30-40%浓度，即可回收利用。回收塔排出的水COD保持在500mg/L以下，氨氮在30mg/L以下。</w:t>
      </w:r>
    </w:p>
    <w:p>
      <w:pPr>
        <w:pStyle w:val="33"/>
        <w:bidi w:val="0"/>
        <w:rPr>
          <w:rFonts w:hint="eastAsia"/>
          <w:color w:val="auto"/>
          <w:lang w:val="en-US" w:eastAsia="zh-CN"/>
        </w:rPr>
      </w:pPr>
      <w:r>
        <w:rPr>
          <w:rFonts w:hint="eastAsia"/>
          <w:color w:val="auto"/>
          <w:lang w:val="en-US" w:eastAsia="zh-CN"/>
        </w:rPr>
        <w:t>污水总排口排入园区污水管网进入云溪污水处理厂工业废水处理系统进一步处理。本项目建成后公司总生产、清洗废水排放量为</w:t>
      </w:r>
      <w:r>
        <w:rPr>
          <w:color w:val="auto"/>
        </w:rPr>
        <w:commentReference w:id="0"/>
      </w:r>
      <w:r>
        <w:rPr>
          <w:rFonts w:hint="eastAsia"/>
          <w:color w:val="auto"/>
          <w:lang w:val="en-US" w:eastAsia="zh-CN"/>
        </w:rPr>
        <w:t>8104.8m</w:t>
      </w:r>
      <w:r>
        <w:rPr>
          <w:rFonts w:hint="eastAsia"/>
          <w:color w:val="auto"/>
          <w:vertAlign w:val="superscript"/>
          <w:lang w:val="en-US" w:eastAsia="zh-CN"/>
        </w:rPr>
        <w:t>3</w:t>
      </w:r>
      <w:r>
        <w:rPr>
          <w:rFonts w:hint="eastAsia"/>
          <w:color w:val="auto"/>
          <w:lang w:val="en-US" w:eastAsia="zh-CN"/>
        </w:rPr>
        <w:t>/a(24.56m</w:t>
      </w:r>
      <w:r>
        <w:rPr>
          <w:rFonts w:hint="eastAsia"/>
          <w:color w:val="auto"/>
          <w:vertAlign w:val="superscript"/>
          <w:lang w:val="en-US" w:eastAsia="zh-CN"/>
        </w:rPr>
        <w:t>3</w:t>
      </w:r>
      <w:r>
        <w:rPr>
          <w:rFonts w:hint="eastAsia"/>
          <w:color w:val="auto"/>
          <w:lang w:val="en-US" w:eastAsia="zh-CN"/>
        </w:rPr>
        <w:t>/d)。</w:t>
      </w:r>
    </w:p>
    <w:p>
      <w:pPr>
        <w:pStyle w:val="33"/>
        <w:bidi w:val="0"/>
        <w:rPr>
          <w:rFonts w:hint="default"/>
          <w:color w:val="auto"/>
          <w:lang w:val="en-US" w:eastAsia="zh-CN"/>
        </w:rPr>
      </w:pPr>
      <w:r>
        <w:rPr>
          <w:rFonts w:hint="default"/>
          <w:color w:val="auto"/>
          <w:lang w:val="en-US" w:eastAsia="zh-CN"/>
        </w:rPr>
        <w:t>厂区废水处理站设计处理规模</w:t>
      </w:r>
      <w:r>
        <w:rPr>
          <w:rFonts w:hint="eastAsia"/>
          <w:color w:val="auto"/>
          <w:lang w:val="en-US" w:eastAsia="zh-CN"/>
        </w:rPr>
        <w:t>50</w:t>
      </w:r>
      <w:r>
        <w:rPr>
          <w:rFonts w:hint="default"/>
          <w:color w:val="auto"/>
          <w:lang w:val="en-US" w:eastAsia="zh-CN"/>
        </w:rPr>
        <w:t>m</w:t>
      </w:r>
      <w:r>
        <w:rPr>
          <w:rFonts w:hint="eastAsia"/>
          <w:color w:val="auto"/>
          <w:vertAlign w:val="superscript"/>
          <w:lang w:val="en-US" w:eastAsia="zh-CN"/>
        </w:rPr>
        <w:t>3</w:t>
      </w:r>
      <w:r>
        <w:rPr>
          <w:rFonts w:hint="default"/>
          <w:color w:val="auto"/>
          <w:lang w:val="en-US" w:eastAsia="zh-CN"/>
        </w:rPr>
        <w:t>/d</w:t>
      </w:r>
      <w:r>
        <w:rPr>
          <w:rFonts w:hint="eastAsia"/>
          <w:color w:val="auto"/>
          <w:lang w:val="en-US" w:eastAsia="zh-CN"/>
        </w:rPr>
        <w:t>，</w:t>
      </w:r>
      <w:r>
        <w:rPr>
          <w:rFonts w:hint="default"/>
          <w:color w:val="auto"/>
          <w:lang w:val="en-US" w:eastAsia="zh-CN"/>
        </w:rPr>
        <w:t>生产废水排水量约为</w:t>
      </w:r>
      <w:r>
        <w:rPr>
          <w:rFonts w:hint="eastAsia"/>
          <w:color w:val="auto"/>
          <w:lang w:val="en-US" w:eastAsia="zh-CN"/>
        </w:rPr>
        <w:t>24.56</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/d(本项目</w:t>
      </w:r>
      <w:r>
        <w:rPr>
          <w:rFonts w:hint="eastAsia"/>
          <w:caps w:val="0"/>
          <w:smallCaps w:val="0"/>
          <w:color w:val="auto"/>
          <w:sz w:val="24"/>
          <w:szCs w:val="24"/>
          <w:u w:val="none"/>
          <w:lang w:val="en-US" w:eastAsia="zh-CN"/>
        </w:rPr>
        <w:t>9.79</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/d、现有项目</w:t>
      </w:r>
      <w:r>
        <w:rPr>
          <w:rFonts w:hint="eastAsia"/>
          <w:color w:val="auto"/>
          <w:lang w:val="en-US" w:eastAsia="zh-CN"/>
        </w:rPr>
        <w:t>14.77</w:t>
      </w:r>
      <w:r>
        <w:rPr>
          <w:rFonts w:hint="default"/>
          <w:color w:val="auto"/>
          <w:lang w:val="en-US" w:eastAsia="zh-CN"/>
        </w:rPr>
        <w:t>m</w:t>
      </w:r>
      <w:r>
        <w:rPr>
          <w:rFonts w:hint="default"/>
          <w:color w:val="auto"/>
          <w:vertAlign w:val="superscript"/>
          <w:lang w:val="en-US" w:eastAsia="zh-CN"/>
        </w:rPr>
        <w:t>2</w:t>
      </w:r>
      <w:r>
        <w:rPr>
          <w:rFonts w:hint="default"/>
          <w:color w:val="auto"/>
          <w:lang w:val="en-US" w:eastAsia="zh-CN"/>
        </w:rPr>
        <w:t>/d)。本评价设定建设项目废水处理设施出现故障作为废水非正常工况，</w:t>
      </w:r>
      <w:r>
        <w:rPr>
          <w:rFonts w:hint="eastAsia"/>
          <w:color w:val="auto"/>
          <w:lang w:val="en-US" w:eastAsia="zh-CN"/>
        </w:rPr>
        <w:t>一</w:t>
      </w:r>
      <w:r>
        <w:rPr>
          <w:rFonts w:hint="default"/>
          <w:color w:val="auto"/>
          <w:lang w:val="en-US" w:eastAsia="zh-CN"/>
        </w:rPr>
        <w:t>旦废水处理设施出现故障，将会造成</w:t>
      </w:r>
      <w:r>
        <w:rPr>
          <w:rFonts w:hint="eastAsia"/>
          <w:color w:val="auto"/>
          <w:lang w:val="en-US" w:eastAsia="zh-CN"/>
        </w:rPr>
        <w:t>COD</w:t>
      </w:r>
      <w:r>
        <w:rPr>
          <w:rFonts w:hint="default"/>
          <w:color w:val="auto"/>
          <w:lang w:val="en-US" w:eastAsia="zh-CN"/>
        </w:rPr>
        <w:t>高</w:t>
      </w:r>
      <w:r>
        <w:rPr>
          <w:rFonts w:hint="eastAsia"/>
          <w:color w:val="auto"/>
          <w:lang w:val="en-US" w:eastAsia="zh-CN"/>
        </w:rPr>
        <w:t>浓度</w:t>
      </w:r>
      <w:r>
        <w:rPr>
          <w:rFonts w:hint="default"/>
          <w:color w:val="auto"/>
          <w:lang w:val="en-US" w:eastAsia="zh-CN"/>
        </w:rPr>
        <w:t>废水未经处理直接排向云溪区污水处理厂，废水中</w:t>
      </w:r>
      <w:r>
        <w:rPr>
          <w:rFonts w:hint="eastAsia"/>
          <w:color w:val="auto"/>
          <w:lang w:val="en-US" w:eastAsia="zh-CN"/>
        </w:rPr>
        <w:t>COD浓度较高</w:t>
      </w:r>
      <w:r>
        <w:rPr>
          <w:rFonts w:hint="default"/>
          <w:color w:val="auto"/>
          <w:lang w:val="en-US" w:eastAsia="zh-CN"/>
        </w:rPr>
        <w:t>，外排将对云溪区污水处理厂产生不良影响。为确保事故情况下，生产系统排放的废水不会对云溪区污水处理厂、地表水造成影响，根据建设方提供资料，一旦废水处理设施发生故障将立即停止生产，并确保在48小时内完成废水处理设施的修理。</w:t>
      </w:r>
      <w:r>
        <w:rPr>
          <w:rFonts w:hint="eastAsia"/>
          <w:color w:val="auto"/>
          <w:lang w:val="en-US" w:eastAsia="zh-CN"/>
        </w:rPr>
        <w:t>厂区已</w:t>
      </w:r>
      <w:r>
        <w:rPr>
          <w:rFonts w:hint="default"/>
          <w:color w:val="auto"/>
          <w:lang w:val="en-US" w:eastAsia="zh-CN"/>
        </w:rPr>
        <w:t>设置一个</w:t>
      </w:r>
      <w:r>
        <w:rPr>
          <w:rFonts w:hint="eastAsia"/>
          <w:color w:val="auto"/>
          <w:lang w:val="en-US" w:eastAsia="zh-CN"/>
        </w:rPr>
        <w:t>450</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的事故池，用于收集废水处理设施未处理的废水，杜绝对云溪区污水处理厂、地表水造成污染事故。</w:t>
      </w:r>
    </w:p>
    <w:p>
      <w:pPr>
        <w:pStyle w:val="33"/>
        <w:bidi w:val="0"/>
        <w:rPr>
          <w:rFonts w:hint="eastAsia"/>
          <w:color w:val="auto"/>
          <w:lang w:val="en-US" w:eastAsia="zh-CN"/>
        </w:rPr>
      </w:pPr>
      <w:r>
        <w:rPr>
          <w:rFonts w:hint="eastAsia"/>
          <w:color w:val="auto"/>
          <w:lang w:val="en-US" w:eastAsia="zh-CN"/>
        </w:rPr>
        <w:t>本项目实施雨污分流，在厂区雨水排放口设置截止阀，初期雨水经厂区内明沟收集系统汇入生产区内初期雨水池内，再排入厂内装置区污水站预处理，经处理达标后送至云溪污水处理厂工业废水处理系统进行处理，后期雨水用阀门切向园区雨水管道排放。</w:t>
      </w:r>
    </w:p>
    <w:p>
      <w:pPr>
        <w:pStyle w:val="33"/>
        <w:bidi w:val="0"/>
        <w:rPr>
          <w:rFonts w:hint="eastAsia"/>
          <w:color w:val="auto"/>
          <w:lang w:val="en-US" w:eastAsia="zh-CN"/>
        </w:rPr>
      </w:pPr>
      <w:r>
        <w:rPr>
          <w:rFonts w:hint="eastAsia"/>
          <w:color w:val="auto"/>
          <w:lang w:val="en-US" w:eastAsia="zh-CN"/>
        </w:rPr>
        <w:t>后期洁净雨水污染物成分简单，仅含少量COD、SS等，项目后期雨水排放不会对松杨湖水质造成大的影响。</w:t>
      </w:r>
    </w:p>
    <w:p>
      <w:pPr>
        <w:pStyle w:val="33"/>
        <w:bidi w:val="0"/>
        <w:rPr>
          <w:rFonts w:hint="eastAsia"/>
          <w:color w:val="auto"/>
          <w:lang w:val="en-US" w:eastAsia="zh-CN"/>
        </w:rPr>
      </w:pPr>
      <w:r>
        <w:rPr>
          <w:rFonts w:hint="eastAsia"/>
          <w:color w:val="auto"/>
          <w:lang w:val="en-US" w:eastAsia="zh-CN"/>
        </w:rPr>
        <w:t>综上，水污染控制和水环境减缓措施有效。</w:t>
      </w:r>
    </w:p>
    <w:p>
      <w:pPr>
        <w:pStyle w:val="32"/>
        <w:bidi w:val="0"/>
        <w:rPr>
          <w:rFonts w:hint="eastAsia"/>
          <w:color w:val="auto"/>
          <w:lang w:val="en-US" w:eastAsia="zh-CN"/>
        </w:rPr>
      </w:pPr>
      <w:bookmarkStart w:id="188" w:name="_Toc17220"/>
      <w:r>
        <w:rPr>
          <w:rFonts w:hint="eastAsia"/>
          <w:color w:val="auto"/>
          <w:lang w:val="en-US" w:eastAsia="zh-CN"/>
        </w:rPr>
        <w:t>7.2.2依托污水处理设施的环境可行性评价</w:t>
      </w:r>
      <w:bookmarkEnd w:id="188"/>
    </w:p>
    <w:p>
      <w:pPr>
        <w:pStyle w:val="33"/>
        <w:tabs>
          <w:tab w:val="left" w:pos="616"/>
        </w:tabs>
        <w:bidi w:val="0"/>
        <w:rPr>
          <w:rFonts w:hint="eastAsia" w:ascii="Times New Roman" w:hAnsi="Times New Roman"/>
          <w:caps w:val="0"/>
          <w:smallCaps w:val="0"/>
          <w:color w:val="auto"/>
          <w:sz w:val="24"/>
          <w:szCs w:val="24"/>
          <w:lang w:eastAsia="zh-CN"/>
        </w:rPr>
      </w:pPr>
      <w:r>
        <w:rPr>
          <w:rFonts w:hint="eastAsia"/>
          <w:color w:val="auto"/>
          <w:lang w:val="en-US" w:eastAsia="zh-CN"/>
        </w:rPr>
        <w:t>岳阳市云溪区污水处理厂位于岳阳市云溪区云溪乡新民村(中心坐标东经113°14′48.30″，北纬29°28′03.70″)，占地面积30亩，工程服务范围为云溪区全城区的市政污水及云溪绿色化工产业园的生活污水、工业污水。经过提标改造项目后。处理能力为市政污水20000m</w:t>
      </w:r>
      <w:r>
        <w:rPr>
          <w:rFonts w:hint="eastAsia"/>
          <w:color w:val="auto"/>
          <w:vertAlign w:val="superscript"/>
          <w:lang w:val="en-US" w:eastAsia="zh-CN"/>
        </w:rPr>
        <w:t>3</w:t>
      </w:r>
      <w:r>
        <w:rPr>
          <w:rFonts w:hint="eastAsia" w:ascii="Times New Roman" w:hAnsi="Times New Roman"/>
          <w:caps w:val="0"/>
          <w:smallCaps w:val="0"/>
          <w:color w:val="auto"/>
          <w:sz w:val="24"/>
          <w:szCs w:val="24"/>
        </w:rPr>
        <w:t>/d</w:t>
      </w:r>
      <w:r>
        <w:rPr>
          <w:rFonts w:hint="eastAsia" w:ascii="Times New Roman" w:hAnsi="Times New Roman"/>
          <w:caps w:val="0"/>
          <w:smallCaps w:val="0"/>
          <w:color w:val="auto"/>
          <w:sz w:val="24"/>
          <w:szCs w:val="24"/>
          <w:lang w:eastAsia="zh-CN"/>
        </w:rPr>
        <w:t>、</w:t>
      </w:r>
      <w:r>
        <w:rPr>
          <w:rFonts w:hint="eastAsia"/>
          <w:color w:val="auto"/>
          <w:lang w:val="en-US" w:eastAsia="zh-CN"/>
        </w:rPr>
        <w:t>工业废水500</w:t>
      </w:r>
      <w:r>
        <w:rPr>
          <w:rFonts w:hint="eastAsia"/>
          <w:caps w:val="0"/>
          <w:smallCaps w:val="0"/>
          <w:color w:val="auto"/>
          <w:sz w:val="24"/>
          <w:szCs w:val="24"/>
          <w:lang w:val="en-US" w:eastAsia="zh-CN"/>
        </w:rPr>
        <w:t>0</w:t>
      </w:r>
      <w:r>
        <w:rPr>
          <w:rFonts w:hint="eastAsia"/>
          <w:color w:val="auto"/>
          <w:lang w:val="en-US" w:eastAsia="zh-CN"/>
        </w:rPr>
        <w:t>m</w:t>
      </w:r>
      <w:r>
        <w:rPr>
          <w:rFonts w:hint="eastAsia"/>
          <w:color w:val="auto"/>
          <w:vertAlign w:val="superscript"/>
          <w:lang w:val="en-US" w:eastAsia="zh-CN"/>
        </w:rPr>
        <w:t>3</w:t>
      </w:r>
      <w:r>
        <w:rPr>
          <w:rFonts w:hint="eastAsia" w:ascii="Times New Roman" w:hAnsi="Times New Roman"/>
          <w:caps w:val="0"/>
          <w:smallCaps w:val="0"/>
          <w:color w:val="auto"/>
          <w:sz w:val="24"/>
          <w:szCs w:val="24"/>
        </w:rPr>
        <w:t>/d</w:t>
      </w:r>
      <w:r>
        <w:rPr>
          <w:rFonts w:hint="eastAsia" w:ascii="Times New Roman" w:hAnsi="Times New Roman"/>
          <w:caps w:val="0"/>
          <w:smallCaps w:val="0"/>
          <w:color w:val="auto"/>
          <w:sz w:val="24"/>
          <w:szCs w:val="24"/>
          <w:lang w:eastAsia="zh-CN"/>
        </w:rPr>
        <w:t>。</w:t>
      </w:r>
    </w:p>
    <w:p>
      <w:pPr>
        <w:pStyle w:val="33"/>
        <w:tabs>
          <w:tab w:val="left" w:pos="616"/>
        </w:tabs>
        <w:bidi w:val="0"/>
        <w:rPr>
          <w:rFonts w:hint="eastAsia"/>
          <w:color w:val="auto"/>
          <w:lang w:val="en-US" w:eastAsia="zh-CN"/>
        </w:rPr>
      </w:pPr>
      <w:r>
        <w:rPr>
          <w:rFonts w:hint="eastAsia"/>
          <w:color w:val="auto"/>
          <w:lang w:val="en-US" w:eastAsia="zh-CN"/>
        </w:rPr>
        <w:t>工业废水处理装置提标改造采用“格栅+一级强化处理+水解酸化+缺氧+好氧+沉淀+生物接触+气浮过滤+臭氧改性+BAF池+臭氧强氧化”的组合工艺。出水水质执行《城镇污水处理厂污染物排放标准》中一级A标准。</w:t>
      </w:r>
    </w:p>
    <w:p>
      <w:pPr>
        <w:pStyle w:val="33"/>
        <w:bidi w:val="0"/>
        <w:rPr>
          <w:rFonts w:hint="eastAsia"/>
          <w:color w:val="auto"/>
          <w:lang w:val="en-US" w:eastAsia="zh-CN"/>
        </w:rPr>
      </w:pPr>
      <w:r>
        <w:rPr>
          <w:rFonts w:hint="eastAsia"/>
          <w:color w:val="auto"/>
          <w:lang w:val="en-US" w:eastAsia="zh-CN"/>
        </w:rPr>
        <w:t>根据工程分析内容，项目新增废水经厂内污水处理设施预处理后，与公司现有综合废水一同经厂区污水处理站处理后，通过厂区总排口外排，改扩建工程建成后公司总排口排放的废水中主要污染物低于云溪区污水处理厂工业废水设计进水水质要求。本项目废水经处理后排入云溪区污水处理厂，为间接排放，可以</w:t>
      </w:r>
      <w:r>
        <w:rPr>
          <w:rFonts w:hint="eastAsia"/>
          <w:caps w:val="0"/>
          <w:smallCaps w:val="0"/>
          <w:color w:val="auto"/>
          <w:sz w:val="24"/>
          <w:szCs w:val="24"/>
          <w:u w:val="none"/>
          <w:lang w:val="en-US" w:eastAsia="zh-CN"/>
        </w:rPr>
        <w:t>满足《石油化学工业污染物排放标准》（GB31571-2015）、《合成树脂工业污染物排放标准》（GB31572-2015）及云溪区工业污水处理厂进水水质要求后</w:t>
      </w:r>
      <w:r>
        <w:rPr>
          <w:rFonts w:hint="eastAsia"/>
          <w:color w:val="auto"/>
          <w:lang w:val="en-US" w:eastAsia="zh-CN"/>
        </w:rPr>
        <w:t>及云溪区污水处理厂进水水质要求。本项目废水量为24.56t/d，云溪区污水处理厂有能力处理本项目新增废水。项目污水排放不会对污水处理厂造成污染冲击负荷。</w:t>
      </w:r>
    </w:p>
    <w:p>
      <w:pPr>
        <w:pStyle w:val="33"/>
        <w:bidi w:val="0"/>
        <w:rPr>
          <w:rFonts w:hint="eastAsia"/>
          <w:color w:val="auto"/>
          <w:lang w:val="en-US" w:eastAsia="zh-CN"/>
        </w:rPr>
      </w:pPr>
      <w:r>
        <w:rPr>
          <w:rFonts w:hint="eastAsia"/>
          <w:color w:val="auto"/>
          <w:lang w:val="en-US" w:eastAsia="zh-CN"/>
        </w:rPr>
        <w:t>云溪区污水处理厂工业废水处理系统预处理工序采用了一级强化处理，工业废水在均质池中调节水质后，进强化一级反应池，采用化学絮凝与活性污泥生物吸附两种方式相结合的方法，提高强化一级反应池的去除复杂污染物的效果，可防止后续生化处理工段生物污泥中毒情况。本项目位于云溪工业园内，属于云溪区污水处理厂的纳污范围内，且污水管网已铺设连通至本项目地块。因此本项目外排废水进云溪区污水处理厂处理具有时间、容量、管网衔接、技术可行性。</w:t>
      </w:r>
    </w:p>
    <w:p>
      <w:pPr>
        <w:pStyle w:val="33"/>
        <w:bidi w:val="0"/>
        <w:rPr>
          <w:rFonts w:hint="eastAsia"/>
          <w:color w:val="auto"/>
          <w:lang w:val="en-US" w:eastAsia="zh-CN"/>
        </w:rPr>
      </w:pPr>
      <w:r>
        <w:rPr>
          <w:rFonts w:hint="eastAsia"/>
          <w:color w:val="auto"/>
          <w:lang w:val="en-US" w:eastAsia="zh-CN"/>
        </w:rPr>
        <w:t>本项目建成后，云溪区污水处理厂提标改造工程也将建成投入运行，届时污水处理厂处理后尾水能达到《城镇污水处理厂污染物排放标准》(GB18918-2002)一级A标准。在厂区内预处理后的废水能通过园区污水管网进入云溪区污水处理厂深度处理，项目采取的水环境保护措施与水污染控制措施要求具有一定有效性。废水进入云溪区污水处理厂进行深度处理，根据《云溪区污水处理厂提标改造项目环境影响报告书》的地表水环境预测结果可知，污水处理厂排放的尾水污染物排放的影响对地表水体长江道仁矶段水体影响很小，可以满足水环境质量要求。</w:t>
      </w:r>
    </w:p>
    <w:p>
      <w:pPr>
        <w:pStyle w:val="31"/>
        <w:bidi w:val="0"/>
        <w:rPr>
          <w:rFonts w:hint="eastAsia"/>
          <w:color w:val="auto"/>
          <w:lang w:val="en-US" w:eastAsia="zh-CN"/>
        </w:rPr>
      </w:pPr>
      <w:bookmarkStart w:id="189" w:name="_Toc5836"/>
      <w:bookmarkStart w:id="190" w:name="_Toc21590"/>
      <w:r>
        <w:rPr>
          <w:rFonts w:hint="eastAsia"/>
          <w:color w:val="auto"/>
          <w:lang w:val="en-US" w:eastAsia="zh-CN"/>
        </w:rPr>
        <w:t>7.3地下水环境影响分析</w:t>
      </w:r>
      <w:bookmarkEnd w:id="189"/>
      <w:bookmarkEnd w:id="190"/>
    </w:p>
    <w:p>
      <w:pPr>
        <w:pStyle w:val="32"/>
        <w:bidi w:val="0"/>
        <w:rPr>
          <w:rFonts w:hint="eastAsia"/>
          <w:color w:val="auto"/>
          <w:lang w:val="en-US" w:eastAsia="zh-CN"/>
        </w:rPr>
      </w:pPr>
      <w:bookmarkStart w:id="191" w:name="_Toc29662"/>
      <w:r>
        <w:rPr>
          <w:rFonts w:hint="eastAsia"/>
          <w:color w:val="auto"/>
          <w:lang w:val="en-US" w:eastAsia="zh-CN"/>
        </w:rPr>
        <w:t>7.3.1评价区水文地质概况</w:t>
      </w:r>
      <w:bookmarkEnd w:id="191"/>
    </w:p>
    <w:p>
      <w:pPr>
        <w:pStyle w:val="33"/>
        <w:bidi w:val="0"/>
        <w:rPr>
          <w:rFonts w:hint="eastAsia"/>
          <w:b/>
          <w:bCs/>
          <w:color w:val="auto"/>
          <w:lang w:val="en-US" w:eastAsia="zh-CN"/>
        </w:rPr>
      </w:pPr>
      <w:r>
        <w:rPr>
          <w:rFonts w:hint="eastAsia"/>
          <w:b/>
          <w:bCs/>
          <w:color w:val="auto"/>
          <w:lang w:val="en-US" w:eastAsia="zh-CN"/>
        </w:rPr>
        <w:t>1、区域地质构造</w:t>
      </w:r>
    </w:p>
    <w:p>
      <w:pPr>
        <w:pStyle w:val="33"/>
        <w:bidi w:val="0"/>
        <w:rPr>
          <w:rFonts w:hint="eastAsia"/>
          <w:color w:val="auto"/>
          <w:lang w:val="en-US" w:eastAsia="zh-CN"/>
        </w:rPr>
      </w:pPr>
      <w:r>
        <w:rPr>
          <w:rFonts w:hint="eastAsia"/>
          <w:color w:val="auto"/>
          <w:lang w:val="en-US" w:eastAsia="zh-CN"/>
        </w:rPr>
        <w:t>云溪区属幕阜山脉向江汉平原过渡地带，地貌多样、交相穿插，整个地势由东南向西北倾斜。地表组成物质65%为变质岩，其余为沙质岩，土壤组成以第四纪红色粘土和第四纪全新河、湖沉积物为主。湖南绿色化工产业园云溪片区范围属低山丘陵地形，用地多为山地和河湖，园区内丘岗与盆地相穿插、平原与湖泊交错，海拔高程40~60m，最大高差为35m左右。整个园区地势呈西北高，东南低，由北向南倾斜。工业园东、北部主要为丘陵，有一定的植被，工业园西侧有一湖泊一松杨湖，水体功能为景观用水。</w:t>
      </w:r>
    </w:p>
    <w:p>
      <w:pPr>
        <w:pStyle w:val="33"/>
        <w:bidi w:val="0"/>
        <w:rPr>
          <w:rFonts w:hint="eastAsia"/>
          <w:color w:val="auto"/>
          <w:lang w:val="en-US" w:eastAsia="zh-CN"/>
        </w:rPr>
      </w:pPr>
      <w:r>
        <w:rPr>
          <w:rFonts w:hint="eastAsia"/>
          <w:color w:val="auto"/>
          <w:lang w:val="en-US" w:eastAsia="zh-CN"/>
        </w:rPr>
        <w:t>根据《中国地震烈度区划图》，该区地震设防烈度为6度。</w:t>
      </w:r>
    </w:p>
    <w:p>
      <w:pPr>
        <w:pStyle w:val="33"/>
        <w:bidi w:val="0"/>
        <w:rPr>
          <w:rFonts w:hint="eastAsia"/>
          <w:b/>
          <w:bCs/>
          <w:color w:val="auto"/>
          <w:lang w:val="en-US" w:eastAsia="zh-CN"/>
        </w:rPr>
      </w:pPr>
      <w:r>
        <w:rPr>
          <w:rFonts w:hint="eastAsia"/>
          <w:b/>
          <w:bCs/>
          <w:color w:val="auto"/>
          <w:lang w:val="en-US" w:eastAsia="zh-CN"/>
        </w:rPr>
        <w:t>2、厂区岩土分层及其特征</w:t>
      </w:r>
    </w:p>
    <w:p>
      <w:pPr>
        <w:pStyle w:val="33"/>
        <w:bidi w:val="0"/>
        <w:rPr>
          <w:rFonts w:hint="eastAsia"/>
          <w:color w:val="auto"/>
          <w:lang w:val="en-US" w:eastAsia="zh-CN"/>
        </w:rPr>
      </w:pPr>
      <w:r>
        <w:rPr>
          <w:rFonts w:hint="eastAsia"/>
          <w:color w:val="auto"/>
          <w:lang w:val="en-US" w:eastAsia="zh-CN"/>
        </w:rPr>
        <w:t>依据场地已有地质资料，项目区场地各地层从上至下依次为：</w:t>
      </w:r>
    </w:p>
    <w:p>
      <w:pPr>
        <w:pStyle w:val="33"/>
        <w:bidi w:val="0"/>
        <w:rPr>
          <w:rFonts w:hint="eastAsia"/>
          <w:color w:val="auto"/>
          <w:lang w:val="en-US" w:eastAsia="zh-CN"/>
        </w:rPr>
      </w:pPr>
      <w:r>
        <w:rPr>
          <w:rFonts w:hint="eastAsia"/>
          <w:color w:val="auto"/>
          <w:lang w:val="en-US" w:eastAsia="zh-CN"/>
        </w:rPr>
        <w:t>(1)人工填土</w:t>
      </w:r>
    </w:p>
    <w:p>
      <w:pPr>
        <w:pStyle w:val="33"/>
        <w:bidi w:val="0"/>
        <w:rPr>
          <w:rFonts w:hint="eastAsia"/>
          <w:color w:val="auto"/>
          <w:lang w:val="en-US" w:eastAsia="zh-CN"/>
        </w:rPr>
      </w:pPr>
      <w:r>
        <w:rPr>
          <w:rFonts w:hint="eastAsia"/>
          <w:color w:val="auto"/>
          <w:lang w:val="en-US" w:eastAsia="zh-CN"/>
        </w:rPr>
        <w:t>褐黄、褐红、灰黑等色。主要由粘性土、砂土、碎石或少量建筑垃圾组成，结构松散，其中碎石粒径2~15cm，次棱角状，含量约20%~40%。场地内均有分布，层厚1.5~3.8m，为II级普通土。</w:t>
      </w:r>
    </w:p>
    <w:p>
      <w:pPr>
        <w:pStyle w:val="33"/>
        <w:bidi w:val="0"/>
        <w:rPr>
          <w:rFonts w:hint="eastAsia"/>
          <w:color w:val="auto"/>
          <w:lang w:val="en-US" w:eastAsia="zh-CN"/>
        </w:rPr>
      </w:pPr>
      <w:r>
        <w:rPr>
          <w:rFonts w:hint="eastAsia"/>
          <w:color w:val="auto"/>
          <w:lang w:val="en-US" w:eastAsia="zh-CN"/>
        </w:rPr>
        <w:t>(2)第四系-上全新全新统湖沼沉积淤泥质粘土层</w:t>
      </w:r>
    </w:p>
    <w:p>
      <w:pPr>
        <w:pStyle w:val="33"/>
        <w:bidi w:val="0"/>
        <w:rPr>
          <w:rFonts w:hint="eastAsia"/>
          <w:color w:val="auto"/>
          <w:lang w:val="en-US" w:eastAsia="zh-CN"/>
        </w:rPr>
      </w:pPr>
      <w:r>
        <w:rPr>
          <w:rFonts w:hint="eastAsia"/>
          <w:color w:val="auto"/>
          <w:lang w:val="en-US" w:eastAsia="zh-CN"/>
        </w:rPr>
        <w:t>淤泥质粘土：浅灰、灰黑色，局部混砂及腐木，很湿~饱和，软塑状为主，局部可塑，光滑，摇振反应慢，干强度高，韧性高，压缩性高，局部表现为粘土(含淤泥质)场地内普遍分布，为II级普通土。</w:t>
      </w:r>
    </w:p>
    <w:p>
      <w:pPr>
        <w:pStyle w:val="33"/>
        <w:bidi w:val="0"/>
        <w:rPr>
          <w:rFonts w:hint="eastAsia"/>
          <w:color w:val="auto"/>
          <w:lang w:val="en-US" w:eastAsia="zh-CN"/>
        </w:rPr>
      </w:pPr>
      <w:r>
        <w:rPr>
          <w:rFonts w:hint="eastAsia"/>
          <w:color w:val="auto"/>
          <w:lang w:val="en-US" w:eastAsia="zh-CN"/>
        </w:rPr>
        <w:t>(3)第四系-全新统可塑粉质粘土</w:t>
      </w:r>
    </w:p>
    <w:p>
      <w:pPr>
        <w:pStyle w:val="33"/>
        <w:bidi w:val="0"/>
        <w:rPr>
          <w:rFonts w:hint="eastAsia"/>
          <w:color w:val="auto"/>
          <w:lang w:val="en-US" w:eastAsia="zh-CN"/>
        </w:rPr>
      </w:pPr>
      <w:r>
        <w:rPr>
          <w:rFonts w:hint="eastAsia"/>
          <w:color w:val="auto"/>
          <w:lang w:val="en-US" w:eastAsia="zh-CN"/>
        </w:rPr>
        <w:t>褐灰色、褐黄色，粉粒成分为主，粘粒成分次之，稍有光泽，无摇震反应，中等干强度，韧性中，中等压缩性，标贯击数5~8击，呈可塑状态，层厚0.7~3.4m。</w:t>
      </w:r>
    </w:p>
    <w:p>
      <w:pPr>
        <w:pStyle w:val="33"/>
        <w:bidi w:val="0"/>
        <w:rPr>
          <w:rFonts w:hint="eastAsia"/>
          <w:color w:val="auto"/>
          <w:lang w:val="en-US" w:eastAsia="zh-CN"/>
        </w:rPr>
      </w:pPr>
      <w:r>
        <w:rPr>
          <w:rFonts w:hint="eastAsia"/>
          <w:color w:val="auto"/>
          <w:lang w:val="en-US" w:eastAsia="zh-CN"/>
        </w:rPr>
        <w:t>(4)第四系-全新统硬塑粉质粘土</w:t>
      </w:r>
    </w:p>
    <w:p>
      <w:pPr>
        <w:pStyle w:val="33"/>
        <w:bidi w:val="0"/>
        <w:rPr>
          <w:rFonts w:hint="eastAsia"/>
          <w:color w:val="auto"/>
          <w:lang w:val="en-US" w:eastAsia="zh-CN"/>
        </w:rPr>
      </w:pPr>
      <w:r>
        <w:rPr>
          <w:rFonts w:hint="eastAsia"/>
          <w:color w:val="auto"/>
          <w:lang w:val="en-US" w:eastAsia="zh-CN"/>
        </w:rPr>
        <w:t>褐黄色，粉粒成分为主，粘粒成分次之，稍有光滑，无摇震反应，较高干强度，韧性较高，含铁锰氧化物，结构密实，较低压缩性，呈硬塑状态，层厚为0.7~5.2m。</w:t>
      </w:r>
    </w:p>
    <w:p>
      <w:pPr>
        <w:pStyle w:val="33"/>
        <w:bidi w:val="0"/>
        <w:rPr>
          <w:rFonts w:hint="eastAsia"/>
          <w:color w:val="auto"/>
          <w:lang w:val="en-US" w:eastAsia="zh-CN"/>
        </w:rPr>
      </w:pPr>
      <w:r>
        <w:rPr>
          <w:rFonts w:hint="eastAsia"/>
          <w:color w:val="auto"/>
          <w:lang w:val="en-US" w:eastAsia="zh-CN"/>
        </w:rPr>
        <w:t>(5)第四系-上更新统坚硬粉质粘土</w:t>
      </w:r>
    </w:p>
    <w:p>
      <w:pPr>
        <w:pStyle w:val="33"/>
        <w:bidi w:val="0"/>
        <w:rPr>
          <w:rFonts w:hint="eastAsia"/>
          <w:color w:val="auto"/>
          <w:lang w:val="en-US" w:eastAsia="zh-CN"/>
        </w:rPr>
      </w:pPr>
      <w:r>
        <w:rPr>
          <w:rFonts w:hint="eastAsia"/>
          <w:color w:val="auto"/>
          <w:lang w:val="en-US" w:eastAsia="zh-CN"/>
        </w:rPr>
        <w:t>黄褐色、褐红色，粉粒成分为主，粘粒成分次之，上部含少量铁锰氧化物，稍有光泽，无摇震反应，干强度高，韧性高，密实，较低压缩性，具网纹状构造，层厚2.3~6.7m。</w:t>
      </w:r>
    </w:p>
    <w:p>
      <w:pPr>
        <w:pStyle w:val="33"/>
        <w:bidi w:val="0"/>
        <w:rPr>
          <w:rFonts w:hint="eastAsia"/>
          <w:color w:val="auto"/>
          <w:lang w:val="en-US" w:eastAsia="zh-CN"/>
        </w:rPr>
      </w:pPr>
      <w:r>
        <w:rPr>
          <w:rFonts w:hint="eastAsia"/>
          <w:color w:val="auto"/>
          <w:lang w:val="en-US" w:eastAsia="zh-CN"/>
        </w:rPr>
        <w:t>(6)第四系-上更新统冲洪积层</w:t>
      </w:r>
    </w:p>
    <w:p>
      <w:pPr>
        <w:pStyle w:val="33"/>
        <w:bidi w:val="0"/>
        <w:rPr>
          <w:rFonts w:hint="eastAsia"/>
          <w:color w:val="auto"/>
          <w:lang w:val="en-US" w:eastAsia="zh-CN"/>
        </w:rPr>
      </w:pPr>
      <w:r>
        <w:rPr>
          <w:rFonts w:hint="eastAsia"/>
          <w:color w:val="auto"/>
          <w:lang w:val="en-US" w:eastAsia="zh-CN"/>
        </w:rPr>
        <w:t>粉质粘土，浅黄、灰白等色，湿，可塑~硬塑，光滑，摇振反应无，干强度中等，韧性中等，压缩性中等，底部偶见砾砂夹层。层顶标高-15.89~-12.04m，层顶深度18.20~24.00m，层厚1.70~5.50m，为II级普通土。</w:t>
      </w:r>
    </w:p>
    <w:p>
      <w:pPr>
        <w:pStyle w:val="33"/>
        <w:bidi w:val="0"/>
        <w:rPr>
          <w:rFonts w:hint="eastAsia"/>
          <w:color w:val="auto"/>
          <w:lang w:val="en-US" w:eastAsia="zh-CN"/>
        </w:rPr>
      </w:pPr>
      <w:r>
        <w:rPr>
          <w:rFonts w:hint="eastAsia"/>
          <w:color w:val="auto"/>
          <w:lang w:val="en-US" w:eastAsia="zh-CN"/>
        </w:rPr>
        <w:t>(7)前震旦系冷家溪群崔家坳组中风化板岩</w:t>
      </w:r>
    </w:p>
    <w:p>
      <w:pPr>
        <w:pStyle w:val="33"/>
        <w:bidi w:val="0"/>
        <w:rPr>
          <w:rFonts w:hint="eastAsia"/>
          <w:color w:val="auto"/>
          <w:lang w:val="en-US" w:eastAsia="zh-CN"/>
        </w:rPr>
      </w:pPr>
      <w:r>
        <w:rPr>
          <w:rFonts w:hint="eastAsia"/>
          <w:color w:val="auto"/>
          <w:lang w:val="en-US" w:eastAsia="zh-CN"/>
        </w:rPr>
        <w:t>黄绿色、底部灰绿色，泥质成分，变余结构，中厚层夹薄层状，产状陡，岩石中等风化，属软岩，强度高，下部坚硬，板状结构，裂隙不甚发育，层理清晰，结构面以裂隙面和层面为主，组合一般，岩体上部稍破碎，下部较完整，岩石基本质量等级为IV类，岩芯呈碎块状、块状、短柱状，局部钻孔内呈柱状体,采取率较高，勘探深度2.0~ 11.0m。</w:t>
      </w:r>
    </w:p>
    <w:p>
      <w:pPr>
        <w:pStyle w:val="33"/>
        <w:bidi w:val="0"/>
        <w:rPr>
          <w:rFonts w:hint="eastAsia"/>
          <w:color w:val="auto"/>
          <w:lang w:val="en-US" w:eastAsia="zh-CN"/>
        </w:rPr>
      </w:pPr>
      <w:r>
        <w:rPr>
          <w:rFonts w:hint="eastAsia"/>
          <w:color w:val="auto"/>
          <w:lang w:val="en-US" w:eastAsia="zh-CN"/>
        </w:rPr>
        <w:t>(8)前震旦系冷家溪群崔家坳组微风化板岩</w:t>
      </w:r>
    </w:p>
    <w:p>
      <w:pPr>
        <w:pStyle w:val="33"/>
        <w:bidi w:val="0"/>
        <w:rPr>
          <w:rFonts w:hint="eastAsia"/>
          <w:color w:val="auto"/>
          <w:lang w:val="en-US" w:eastAsia="zh-CN"/>
        </w:rPr>
      </w:pPr>
      <w:r>
        <w:rPr>
          <w:rFonts w:hint="eastAsia"/>
          <w:color w:val="auto"/>
          <w:lang w:val="en-US" w:eastAsia="zh-CN"/>
        </w:rPr>
        <w:t>青灰色，泥质成分，变余结构，中厚层夹薄层状，产状陡，岩石微弱风化，属较软岩，强度高，坚硬，板状结构，裂隙不甚发育，层理清晰，结构面以裂隙面和层面为主，组合一般，岩体较完整，岩石基本质量等级为IV类，岩芯呈碎块状、块状、短柱状，采取率较高。</w:t>
      </w:r>
    </w:p>
    <w:p>
      <w:pPr>
        <w:pStyle w:val="33"/>
        <w:bidi w:val="0"/>
        <w:rPr>
          <w:rFonts w:hint="eastAsia"/>
          <w:b/>
          <w:bCs/>
          <w:color w:val="auto"/>
          <w:lang w:val="en-US" w:eastAsia="zh-CN"/>
        </w:rPr>
      </w:pPr>
      <w:r>
        <w:rPr>
          <w:rFonts w:hint="eastAsia"/>
          <w:b/>
          <w:bCs/>
          <w:color w:val="auto"/>
          <w:lang w:val="en-US" w:eastAsia="zh-CN"/>
        </w:rPr>
        <w:t>3、场地地下水条件</w:t>
      </w:r>
    </w:p>
    <w:p>
      <w:pPr>
        <w:pStyle w:val="33"/>
        <w:bidi w:val="0"/>
        <w:rPr>
          <w:rFonts w:hint="eastAsia"/>
          <w:color w:val="auto"/>
          <w:lang w:val="en-US" w:eastAsia="zh-CN"/>
        </w:rPr>
      </w:pPr>
      <w:r>
        <w:rPr>
          <w:rFonts w:hint="eastAsia"/>
          <w:color w:val="auto"/>
          <w:lang w:val="en-US" w:eastAsia="zh-CN"/>
        </w:rPr>
        <w:t>根据地下水埋藏条件及含水赋存介质类型划分，区域地下水主要有冷家溪群板岩风化裂隙水。冷家溪群板岩风化裂隙含水层在评价区内分布范围最广，主要有崔家坳组的风化裂隙含水层，出露于云溪区及巴陵石化厂区以风化裂隙或构造裂隙为储水介质，属于风化裂隙含水层。</w:t>
      </w:r>
    </w:p>
    <w:p>
      <w:pPr>
        <w:pStyle w:val="33"/>
        <w:bidi w:val="0"/>
        <w:rPr>
          <w:rFonts w:hint="eastAsia"/>
          <w:color w:val="auto"/>
          <w:lang w:val="en-US" w:eastAsia="zh-CN"/>
        </w:rPr>
      </w:pPr>
      <w:r>
        <w:rPr>
          <w:rFonts w:hint="eastAsia"/>
          <w:color w:val="auto"/>
          <w:lang w:val="en-US" w:eastAsia="zh-CN"/>
        </w:rPr>
        <w:t>风化裂隙含水层分布较广，但含水性弱，水位高程变化受地形控制、水位动态与降雨关系比较密切，地下水的矿化度低，水化学类型为HCO</w:t>
      </w:r>
      <w:r>
        <w:rPr>
          <w:rFonts w:hint="eastAsia"/>
          <w:color w:val="auto"/>
          <w:vertAlign w:val="subscript"/>
          <w:lang w:val="en-US" w:eastAsia="zh-CN"/>
        </w:rPr>
        <w:t>3</w:t>
      </w:r>
      <w:r>
        <w:rPr>
          <w:rFonts w:hint="eastAsia"/>
          <w:color w:val="auto"/>
          <w:lang w:val="en-US" w:eastAsia="zh-CN"/>
        </w:rPr>
        <w:t>.SO</w:t>
      </w:r>
      <w:r>
        <w:rPr>
          <w:rFonts w:hint="eastAsia"/>
          <w:color w:val="auto"/>
          <w:vertAlign w:val="subscript"/>
          <w:lang w:val="en-US" w:eastAsia="zh-CN"/>
        </w:rPr>
        <w:t>4</w:t>
      </w:r>
      <w:r>
        <w:rPr>
          <w:rFonts w:hint="eastAsia"/>
          <w:color w:val="auto"/>
          <w:lang w:val="en-US" w:eastAsia="zh-CN"/>
        </w:rPr>
        <w:t>-Mg及HCO</w:t>
      </w:r>
      <w:r>
        <w:rPr>
          <w:rFonts w:hint="eastAsia"/>
          <w:color w:val="auto"/>
          <w:vertAlign w:val="subscript"/>
          <w:lang w:val="en-US" w:eastAsia="zh-CN"/>
        </w:rPr>
        <w:t>3</w:t>
      </w:r>
      <w:r>
        <w:rPr>
          <w:rFonts w:hint="eastAsia"/>
          <w:color w:val="auto"/>
          <w:lang w:val="en-US" w:eastAsia="zh-CN"/>
        </w:rPr>
        <w:t>.SO</w:t>
      </w:r>
      <w:r>
        <w:rPr>
          <w:rFonts w:hint="eastAsia"/>
          <w:color w:val="auto"/>
          <w:vertAlign w:val="subscript"/>
          <w:lang w:val="en-US" w:eastAsia="zh-CN"/>
        </w:rPr>
        <w:t>4</w:t>
      </w:r>
      <w:r>
        <w:rPr>
          <w:rFonts w:hint="eastAsia"/>
          <w:color w:val="auto"/>
          <w:lang w:val="en-US" w:eastAsia="zh-CN"/>
        </w:rPr>
        <w:t>-Ca型水。</w:t>
      </w:r>
    </w:p>
    <w:p>
      <w:pPr>
        <w:pStyle w:val="33"/>
        <w:bidi w:val="0"/>
        <w:rPr>
          <w:rFonts w:hint="eastAsia"/>
          <w:color w:val="auto"/>
          <w:lang w:val="en-US" w:eastAsia="zh-CN"/>
        </w:rPr>
      </w:pPr>
      <w:r>
        <w:rPr>
          <w:rFonts w:hint="eastAsia"/>
          <w:color w:val="auto"/>
          <w:lang w:val="en-US" w:eastAsia="zh-CN"/>
        </w:rPr>
        <w:t>大气降水是评价区内各类型地下水的主要补给来源、风化裂隙或溶蚀裂隙入渗补给，以蒸发、泉、民井抽水或向地表水排泄等方式排出地表。主要在地表分水岭范围内的裸露区接受降雨入渗补给。受地形控制，地下水也主要顺地势向下游径流，整体径流方向呈自东向西，偶遇深切沟谷以下降泉形式出露或向溪沟排泄;零散的民井取水也是冷家溪群风化裂隙水的一个重要排泄径。冷家溪群板岩风化裂隙水与第四系松散孔隙水之间联系比较密切，且各地的地下水水位都受地形起伏影响，水位埋深变化与地形起伏基本一致。</w:t>
      </w:r>
    </w:p>
    <w:p>
      <w:pPr>
        <w:pStyle w:val="33"/>
        <w:bidi w:val="0"/>
        <w:rPr>
          <w:rFonts w:hint="eastAsia"/>
          <w:b/>
          <w:bCs/>
          <w:color w:val="auto"/>
          <w:lang w:val="en-US" w:eastAsia="zh-CN"/>
        </w:rPr>
      </w:pPr>
      <w:r>
        <w:rPr>
          <w:rFonts w:hint="eastAsia"/>
          <w:b/>
          <w:bCs/>
          <w:color w:val="auto"/>
          <w:lang w:val="en-US" w:eastAsia="zh-CN"/>
        </w:rPr>
        <w:t>4、地下水开发利用现状</w:t>
      </w:r>
    </w:p>
    <w:p>
      <w:pPr>
        <w:pStyle w:val="33"/>
        <w:bidi w:val="0"/>
        <w:rPr>
          <w:rFonts w:hint="eastAsia"/>
          <w:color w:val="auto"/>
          <w:lang w:val="en-US" w:eastAsia="zh-CN"/>
        </w:rPr>
      </w:pPr>
      <w:r>
        <w:rPr>
          <w:rFonts w:hint="eastAsia"/>
          <w:color w:val="auto"/>
          <w:lang w:val="en-US" w:eastAsia="zh-CN"/>
        </w:rPr>
        <w:t>根据初步现场调查情况，项目所在区域用水由工业园区工业和生活用水管网统一提供，不采用地下水，项目地下水评价范围内无集中式饮用水源，不以地下水位供水水源，地下水开发程度较低。</w:t>
      </w:r>
    </w:p>
    <w:p>
      <w:pPr>
        <w:pStyle w:val="32"/>
        <w:bidi w:val="0"/>
        <w:rPr>
          <w:rFonts w:hint="eastAsia"/>
          <w:color w:val="auto"/>
          <w:lang w:val="en-US" w:eastAsia="zh-CN"/>
        </w:rPr>
      </w:pPr>
      <w:bookmarkStart w:id="192" w:name="_Toc22080"/>
      <w:r>
        <w:rPr>
          <w:rFonts w:hint="eastAsia"/>
          <w:color w:val="auto"/>
          <w:lang w:val="en-US" w:eastAsia="zh-CN"/>
        </w:rPr>
        <w:t>7.3.2地下水环境影响分析与评价</w:t>
      </w:r>
      <w:bookmarkEnd w:id="192"/>
    </w:p>
    <w:p>
      <w:pPr>
        <w:pStyle w:val="33"/>
        <w:bidi w:val="0"/>
        <w:rPr>
          <w:rFonts w:hint="eastAsia"/>
          <w:color w:val="auto"/>
          <w:lang w:val="en-US" w:eastAsia="zh-CN"/>
        </w:rPr>
      </w:pPr>
      <w:r>
        <w:rPr>
          <w:rFonts w:hint="eastAsia"/>
          <w:color w:val="auto"/>
          <w:lang w:val="en-US" w:eastAsia="zh-CN"/>
        </w:rPr>
        <w:t>本项目排水遵循雨污分流原则，废水经预处理后排入园区污水管，进入云溪区污水处理厂处理。后期雨水经厂区内明沟收集系统经切换阀接入园区雨水收集管道，进入松杨湖；项目厂区地面均采用水泥硬化措施；储罐区建有围堰，以防事故排放；废水收集池及废水处理站内池体构筑物采用水泥浇底，再涂防渗材料；生产车间地面均防渗漏处理；排水管均采用钢筋混凝土排水管，水泥砂浆抹口，基本不会出现渗漏现象。项目所在区域饮用水由园区生活水管网统一提供，水源为地表水，不使用园区地下水。</w:t>
      </w:r>
    </w:p>
    <w:p>
      <w:pPr>
        <w:pStyle w:val="33"/>
        <w:bidi w:val="0"/>
        <w:rPr>
          <w:rFonts w:hint="eastAsia"/>
          <w:b/>
          <w:bCs/>
          <w:color w:val="auto"/>
          <w:lang w:val="en-US" w:eastAsia="zh-CN"/>
        </w:rPr>
      </w:pPr>
      <w:r>
        <w:rPr>
          <w:rFonts w:hint="eastAsia"/>
          <w:b/>
          <w:bCs/>
          <w:color w:val="auto"/>
          <w:lang w:val="en-US" w:eastAsia="zh-CN"/>
        </w:rPr>
        <w:t>1、正常状况下地下水影响分析</w:t>
      </w:r>
    </w:p>
    <w:p>
      <w:pPr>
        <w:pStyle w:val="33"/>
        <w:bidi w:val="0"/>
        <w:rPr>
          <w:rFonts w:hint="eastAsia"/>
          <w:color w:val="auto"/>
          <w:lang w:val="en-US" w:eastAsia="zh-CN"/>
        </w:rPr>
      </w:pPr>
      <w:r>
        <w:rPr>
          <w:rFonts w:hint="eastAsia"/>
          <w:color w:val="auto"/>
          <w:lang w:val="en-US" w:eastAsia="zh-CN"/>
        </w:rPr>
        <w:t>正常状况下，本项目预处理后废水通过园区管网排入云溪区污水处理厂处理，不会对地下水环境造成污染。本项目已对生产装置区、储罐区、仓库区、排水管沟、废水预处理设施构筑物及地面等进行防渗，工程防渗满足《石油化工工程防渗技术规范》(GB/T50934-2013)等要求，因此在正常状况下项目一般不会造成地下水环境的污染。根据《环境影响评价技术导则地下水环境》(HJ610-2016)9.4.2 条，已依据GB16889、GB18597、GB18598、GB18599、GB/T50934设计地下水污染防渗措施的建设项目，可不进行正常状况情景下的预测。因此，本次评价地下水环境影响主要考虑非正常状况下的影响。</w:t>
      </w:r>
    </w:p>
    <w:p>
      <w:pPr>
        <w:pStyle w:val="33"/>
        <w:bidi w:val="0"/>
        <w:rPr>
          <w:rFonts w:hint="eastAsia"/>
          <w:b/>
          <w:bCs/>
          <w:color w:val="auto"/>
          <w:lang w:val="en-US" w:eastAsia="zh-CN"/>
        </w:rPr>
      </w:pPr>
      <w:r>
        <w:rPr>
          <w:rFonts w:hint="eastAsia"/>
          <w:b/>
          <w:bCs/>
          <w:color w:val="auto"/>
          <w:lang w:val="en-US" w:eastAsia="zh-CN"/>
        </w:rPr>
        <w:t>2、非正常状况下地下水环境影响分析</w:t>
      </w:r>
    </w:p>
    <w:p>
      <w:pPr>
        <w:pStyle w:val="33"/>
        <w:bidi w:val="0"/>
        <w:rPr>
          <w:rFonts w:hint="eastAsia"/>
          <w:color w:val="auto"/>
          <w:lang w:val="en-US" w:eastAsia="zh-CN"/>
        </w:rPr>
      </w:pPr>
      <w:r>
        <w:rPr>
          <w:rFonts w:hint="eastAsia"/>
          <w:color w:val="auto"/>
          <w:lang w:val="en-US" w:eastAsia="zh-CN"/>
        </w:rPr>
        <w:t>①预测范围</w:t>
      </w:r>
    </w:p>
    <w:p>
      <w:pPr>
        <w:pStyle w:val="33"/>
        <w:bidi w:val="0"/>
        <w:rPr>
          <w:rFonts w:hint="eastAsia"/>
          <w:color w:val="auto"/>
          <w:lang w:val="en-US" w:eastAsia="zh-CN"/>
        </w:rPr>
      </w:pPr>
      <w:r>
        <w:rPr>
          <w:rFonts w:hint="eastAsia"/>
          <w:color w:val="auto"/>
          <w:lang w:val="en-US" w:eastAsia="zh-CN"/>
        </w:rPr>
        <w:t>本项目地下水环境影响预测范围与调查评价范围一致，面积约6km</w:t>
      </w:r>
      <w:r>
        <w:rPr>
          <w:rFonts w:hint="eastAsia"/>
          <w:color w:val="auto"/>
          <w:vertAlign w:val="superscript"/>
          <w:lang w:val="en-US" w:eastAsia="zh-CN"/>
        </w:rPr>
        <w:t>2</w:t>
      </w:r>
      <w:r>
        <w:rPr>
          <w:rFonts w:hint="eastAsia"/>
          <w:color w:val="auto"/>
          <w:lang w:val="en-US" w:eastAsia="zh-CN"/>
        </w:rPr>
        <w:t>区域。</w:t>
      </w:r>
    </w:p>
    <w:p>
      <w:pPr>
        <w:pStyle w:val="33"/>
        <w:bidi w:val="0"/>
        <w:rPr>
          <w:rFonts w:hint="eastAsia"/>
          <w:color w:val="auto"/>
          <w:lang w:val="en-US" w:eastAsia="zh-CN"/>
        </w:rPr>
      </w:pPr>
      <w:r>
        <w:rPr>
          <w:rFonts w:hint="eastAsia"/>
          <w:color w:val="auto"/>
          <w:lang w:val="en-US" w:eastAsia="zh-CN"/>
        </w:rPr>
        <w:t>②评价预测时段</w:t>
      </w:r>
    </w:p>
    <w:p>
      <w:pPr>
        <w:pStyle w:val="33"/>
        <w:bidi w:val="0"/>
        <w:rPr>
          <w:rFonts w:hint="eastAsia"/>
          <w:color w:val="auto"/>
          <w:lang w:val="en-US" w:eastAsia="zh-CN"/>
        </w:rPr>
      </w:pPr>
      <w:r>
        <w:rPr>
          <w:rFonts w:hint="eastAsia"/>
          <w:color w:val="auto"/>
          <w:lang w:val="en-US" w:eastAsia="zh-CN"/>
        </w:rPr>
        <w:t>根据《环境影响评价技术导则地下水环境》(HJ 610-2016)的规定，项目的评价预测时段选定为公司运营期。</w:t>
      </w:r>
    </w:p>
    <w:p>
      <w:pPr>
        <w:pStyle w:val="33"/>
        <w:bidi w:val="0"/>
        <w:rPr>
          <w:rFonts w:hint="eastAsia"/>
          <w:color w:val="auto"/>
          <w:lang w:val="en-US" w:eastAsia="zh-CN"/>
        </w:rPr>
      </w:pPr>
      <w:r>
        <w:rPr>
          <w:rFonts w:hint="eastAsia"/>
          <w:color w:val="auto"/>
          <w:lang w:val="en-US" w:eastAsia="zh-CN"/>
        </w:rPr>
        <w:t>③预测因子</w:t>
      </w:r>
    </w:p>
    <w:p>
      <w:pPr>
        <w:pStyle w:val="33"/>
        <w:bidi w:val="0"/>
        <w:rPr>
          <w:rFonts w:hint="eastAsia"/>
          <w:color w:val="auto"/>
          <w:lang w:val="en-US" w:eastAsia="zh-CN"/>
        </w:rPr>
      </w:pPr>
      <w:r>
        <w:rPr>
          <w:rFonts w:hint="eastAsia"/>
          <w:color w:val="auto"/>
          <w:lang w:val="en-US" w:eastAsia="zh-CN"/>
        </w:rPr>
        <w:t>根据项目废水中主要污染物特点，选取有评价质量标准、非持久性因子的高锰酸盐指数(COD</w:t>
      </w:r>
      <w:r>
        <w:rPr>
          <w:rFonts w:hint="eastAsia"/>
          <w:color w:val="auto"/>
          <w:vertAlign w:val="subscript"/>
          <w:lang w:val="en-US" w:eastAsia="zh-CN"/>
        </w:rPr>
        <w:t>Mn</w:t>
      </w:r>
      <w:r>
        <w:rPr>
          <w:rFonts w:hint="eastAsia"/>
          <w:color w:val="auto"/>
          <w:lang w:val="en-US" w:eastAsia="zh-CN"/>
        </w:rPr>
        <w:t>)作为主要预测因子。</w:t>
      </w:r>
    </w:p>
    <w:p>
      <w:pPr>
        <w:pStyle w:val="33"/>
        <w:bidi w:val="0"/>
        <w:rPr>
          <w:rFonts w:hint="eastAsia"/>
          <w:color w:val="auto"/>
          <w:lang w:val="en-US" w:eastAsia="zh-CN"/>
        </w:rPr>
      </w:pPr>
      <w:r>
        <w:rPr>
          <w:rFonts w:hint="eastAsia"/>
          <w:color w:val="auto"/>
          <w:lang w:val="en-US" w:eastAsia="zh-CN"/>
        </w:rPr>
        <w:t>④预测源强</w:t>
      </w:r>
    </w:p>
    <w:p>
      <w:pPr>
        <w:pStyle w:val="33"/>
        <w:bidi w:val="0"/>
        <w:rPr>
          <w:rFonts w:hint="eastAsia"/>
          <w:color w:val="auto"/>
          <w:lang w:val="en-US" w:eastAsia="zh-CN"/>
        </w:rPr>
      </w:pPr>
      <w:r>
        <w:rPr>
          <w:rFonts w:hint="eastAsia"/>
          <w:color w:val="auto"/>
          <w:lang w:val="en-US" w:eastAsia="zh-CN"/>
        </w:rPr>
        <w:t>根据《给水排水构筑物工程施工及验收规范》(GB50141-2008)9.2.6条，正常情况下钢筋混凝土结构水池渗水量不得超过2.0L/(m</w:t>
      </w:r>
      <w:r>
        <w:rPr>
          <w:rFonts w:hint="eastAsia"/>
          <w:color w:val="auto"/>
          <w:vertAlign w:val="superscript"/>
          <w:lang w:val="en-US" w:eastAsia="zh-CN"/>
        </w:rPr>
        <w:t>2</w:t>
      </w:r>
      <w:r>
        <w:rPr>
          <w:rFonts w:hint="eastAsia"/>
          <w:color w:val="auto"/>
          <w:lang w:val="en-US" w:eastAsia="zh-CN"/>
        </w:rPr>
        <w:t>·d)，本次评价中非正常状况下的渗透系数按GB50141中限值的10倍考虑，即废水渗透强度为20L/(m</w:t>
      </w:r>
      <w:r>
        <w:rPr>
          <w:rFonts w:hint="eastAsia"/>
          <w:color w:val="auto"/>
          <w:vertAlign w:val="superscript"/>
          <w:lang w:val="en-US" w:eastAsia="zh-CN"/>
        </w:rPr>
        <w:t>2</w:t>
      </w:r>
      <w:r>
        <w:rPr>
          <w:rFonts w:hint="eastAsia"/>
          <w:color w:val="auto"/>
          <w:lang w:val="en-US" w:eastAsia="zh-CN"/>
        </w:rPr>
        <w:t>·d)。本次评价地下水预测源强选污水处理站池体内废水入渗造成地下水污染为源强。</w:t>
      </w:r>
    </w:p>
    <w:p>
      <w:pPr>
        <w:pStyle w:val="33"/>
        <w:bidi w:val="0"/>
        <w:rPr>
          <w:rFonts w:hint="eastAsia"/>
          <w:color w:val="auto"/>
          <w:lang w:val="en-US" w:eastAsia="zh-CN"/>
        </w:rPr>
      </w:pPr>
      <w:r>
        <w:rPr>
          <w:rFonts w:hint="eastAsia"/>
          <w:color w:val="auto"/>
          <w:lang w:val="en-US" w:eastAsia="zh-CN"/>
        </w:rPr>
        <w:t>本项目厂区污水设施的占地尺寸为100m</w:t>
      </w:r>
      <w:r>
        <w:rPr>
          <w:rFonts w:hint="eastAsia"/>
          <w:color w:val="auto"/>
          <w:vertAlign w:val="superscript"/>
          <w:lang w:val="en-US" w:eastAsia="zh-CN"/>
        </w:rPr>
        <w:t>2</w:t>
      </w:r>
      <w:r>
        <w:rPr>
          <w:rFonts w:hint="eastAsia"/>
          <w:color w:val="auto"/>
          <w:lang w:val="en-US" w:eastAsia="zh-CN"/>
        </w:rPr>
        <w:t>，则非正常状况下污水渗漏量为2.0m</w:t>
      </w:r>
      <w:r>
        <w:rPr>
          <w:rFonts w:hint="eastAsia"/>
          <w:color w:val="auto"/>
          <w:vertAlign w:val="superscript"/>
          <w:lang w:val="en-US" w:eastAsia="zh-CN"/>
        </w:rPr>
        <w:t>3</w:t>
      </w:r>
      <w:r>
        <w:rPr>
          <w:rFonts w:hint="eastAsia"/>
          <w:color w:val="auto"/>
          <w:lang w:val="en-US" w:eastAsia="zh-CN"/>
        </w:rPr>
        <w:t>/d。污水处理站进水中COD浓度按最不利的产生浓度60547mg/L计为初始浓度，则非正常状况下COD渗入量为121.1kg/d。</w:t>
      </w:r>
    </w:p>
    <w:p>
      <w:pPr>
        <w:pStyle w:val="33"/>
        <w:bidi w:val="0"/>
        <w:rPr>
          <w:rFonts w:hint="eastAsia"/>
          <w:color w:val="auto"/>
          <w:lang w:val="en-US" w:eastAsia="zh-CN"/>
        </w:rPr>
      </w:pPr>
      <w:r>
        <w:rPr>
          <w:rFonts w:hint="eastAsia"/>
          <w:color w:val="auto"/>
          <w:lang w:val="en-US" w:eastAsia="zh-CN"/>
        </w:rPr>
        <w:t>⑤预测模式选取</w:t>
      </w:r>
    </w:p>
    <w:p>
      <w:pPr>
        <w:pStyle w:val="33"/>
        <w:bidi w:val="0"/>
        <w:rPr>
          <w:rFonts w:hint="eastAsia"/>
          <w:color w:val="auto"/>
          <w:lang w:val="en-US" w:eastAsia="zh-CN"/>
        </w:rPr>
      </w:pPr>
      <w:r>
        <w:rPr>
          <w:rFonts w:hint="eastAsia"/>
          <w:color w:val="auto"/>
          <w:lang w:val="en-US" w:eastAsia="zh-CN"/>
        </w:rPr>
        <w:t>评价区地下水位动态稳定，防渗层发生破损的情况下，考虑地下水泄露的隐蔽性，废水的泄漏可概化为示踪剂注入的一维稳定流动二维水动力弥散问题。本次评价地下水环境影响预测采用一维稳定流动二维水动力弥散问题模型，因此按照导则采用连续注入示踪剂-平面连续点源(D.4和D.5)数学模型:</w:t>
      </w:r>
    </w:p>
    <w:p>
      <w:pPr>
        <w:pStyle w:val="33"/>
        <w:bidi w:val="0"/>
        <w:rPr>
          <w:rFonts w:hint="eastAsia"/>
          <w:color w:val="auto"/>
          <w:lang w:val="en-US" w:eastAsia="zh-CN"/>
        </w:rPr>
      </w:pPr>
      <w:r>
        <w:rPr>
          <w:rFonts w:hint="eastAsia"/>
          <w:color w:val="auto"/>
          <w:position w:val="-74"/>
          <w:lang w:val="en-US" w:eastAsia="zh-CN"/>
        </w:rPr>
        <w:object>
          <v:shape id="_x0000_i1037" o:spt="75" type="#_x0000_t75" style="height:80pt;width:382pt;" o:ole="t" filled="f" o:preferrelative="t" stroked="f" coordsize="21600,21600">
            <v:path/>
            <v:fill on="f" focussize="0,0"/>
            <v:stroke on="f"/>
            <v:imagedata r:id="rId62" o:title=""/>
            <o:lock v:ext="edit" aspectratio="t"/>
            <w10:wrap type="none"/>
            <w10:anchorlock/>
          </v:shape>
          <o:OLEObject Type="Embed" ProgID="Equation.KSEE3" ShapeID="_x0000_i1037" DrawAspect="Content" ObjectID="_1468075737" r:id="rId61">
            <o:LockedField>false</o:LockedField>
          </o:OLEObject>
        </w:object>
      </w:r>
    </w:p>
    <w:p>
      <w:pPr>
        <w:pStyle w:val="33"/>
        <w:bidi w:val="0"/>
        <w:rPr>
          <w:rFonts w:hint="eastAsia"/>
          <w:color w:val="auto"/>
          <w:lang w:val="en-US" w:eastAsia="zh-CN"/>
        </w:rPr>
      </w:pPr>
      <w:r>
        <w:rPr>
          <w:rFonts w:hint="eastAsia"/>
          <w:color w:val="auto"/>
          <w:lang w:val="en-US" w:eastAsia="zh-CN"/>
        </w:rPr>
        <w:t>式中:</w:t>
      </w:r>
    </w:p>
    <w:p>
      <w:pPr>
        <w:pStyle w:val="33"/>
        <w:bidi w:val="0"/>
        <w:rPr>
          <w:rFonts w:hint="eastAsia"/>
          <w:color w:val="auto"/>
          <w:lang w:val="en-US" w:eastAsia="zh-CN"/>
        </w:rPr>
      </w:pPr>
      <w:r>
        <w:rPr>
          <w:rFonts w:hint="eastAsia"/>
          <w:color w:val="auto"/>
          <w:lang w:val="en-US" w:eastAsia="zh-CN"/>
        </w:rPr>
        <w:t>x，y--计算点处的位置坐标；</w:t>
      </w:r>
    </w:p>
    <w:p>
      <w:pPr>
        <w:pStyle w:val="33"/>
        <w:bidi w:val="0"/>
        <w:rPr>
          <w:rFonts w:hint="eastAsia"/>
          <w:color w:val="auto"/>
          <w:lang w:val="en-US" w:eastAsia="zh-CN"/>
        </w:rPr>
      </w:pPr>
      <w:r>
        <w:rPr>
          <w:rFonts w:hint="eastAsia"/>
          <w:color w:val="auto"/>
          <w:lang w:val="en-US" w:eastAsia="zh-CN"/>
        </w:rPr>
        <w:t>t--时间，d；</w:t>
      </w:r>
    </w:p>
    <w:p>
      <w:pPr>
        <w:pStyle w:val="33"/>
        <w:bidi w:val="0"/>
        <w:rPr>
          <w:rFonts w:hint="eastAsia"/>
          <w:color w:val="auto"/>
          <w:lang w:val="en-US" w:eastAsia="zh-CN"/>
        </w:rPr>
      </w:pPr>
      <w:r>
        <w:rPr>
          <w:rFonts w:hint="eastAsia"/>
          <w:color w:val="auto"/>
          <w:lang w:val="en-US" w:eastAsia="zh-CN"/>
        </w:rPr>
        <w:t>C(x，y，t)--t时刻点x，y处的示踪剂浓度，g/L；</w:t>
      </w:r>
    </w:p>
    <w:p>
      <w:pPr>
        <w:pStyle w:val="33"/>
        <w:bidi w:val="0"/>
        <w:rPr>
          <w:rFonts w:hint="eastAsia"/>
          <w:color w:val="auto"/>
          <w:lang w:val="en-US" w:eastAsia="zh-CN"/>
        </w:rPr>
      </w:pPr>
      <w:r>
        <w:rPr>
          <w:rFonts w:hint="eastAsia"/>
          <w:color w:val="auto"/>
          <w:lang w:val="en-US" w:eastAsia="zh-CN"/>
        </w:rPr>
        <w:t>M--承压含水层的厚度，m；</w:t>
      </w:r>
    </w:p>
    <w:p>
      <w:pPr>
        <w:pStyle w:val="33"/>
        <w:bidi w:val="0"/>
        <w:rPr>
          <w:rFonts w:hint="eastAsia"/>
          <w:color w:val="auto"/>
          <w:lang w:val="en-US" w:eastAsia="zh-CN"/>
        </w:rPr>
      </w:pPr>
      <w:r>
        <w:rPr>
          <w:rFonts w:hint="eastAsia"/>
          <w:color w:val="auto"/>
          <w:lang w:val="en-US" w:eastAsia="zh-CN"/>
        </w:rPr>
        <w:t>mt--单位时间注入的示踪剂质量，kg/d；</w:t>
      </w:r>
    </w:p>
    <w:p>
      <w:pPr>
        <w:pStyle w:val="33"/>
        <w:bidi w:val="0"/>
        <w:rPr>
          <w:rFonts w:hint="eastAsia"/>
          <w:color w:val="auto"/>
          <w:lang w:val="en-US" w:eastAsia="zh-CN"/>
        </w:rPr>
      </w:pPr>
      <w:r>
        <w:rPr>
          <w:rFonts w:hint="eastAsia"/>
          <w:color w:val="auto"/>
          <w:lang w:val="en-US" w:eastAsia="zh-CN"/>
        </w:rPr>
        <w:t>u--水流速度，m/d;</w:t>
      </w:r>
    </w:p>
    <w:p>
      <w:pPr>
        <w:pStyle w:val="33"/>
        <w:bidi w:val="0"/>
        <w:rPr>
          <w:rFonts w:hint="eastAsia"/>
          <w:color w:val="auto"/>
          <w:lang w:val="en-US" w:eastAsia="zh-CN"/>
        </w:rPr>
      </w:pPr>
      <w:r>
        <w:rPr>
          <w:rFonts w:hint="eastAsia"/>
          <w:color w:val="auto"/>
          <w:lang w:val="en-US" w:eastAsia="zh-CN"/>
        </w:rPr>
        <w:t>ne--有效孔隙度，无量纲;</w:t>
      </w:r>
    </w:p>
    <w:p>
      <w:pPr>
        <w:pStyle w:val="33"/>
        <w:bidi w:val="0"/>
        <w:rPr>
          <w:rFonts w:hint="eastAsia"/>
          <w:color w:val="auto"/>
          <w:lang w:val="en-US" w:eastAsia="zh-CN"/>
        </w:rPr>
      </w:pPr>
      <w:r>
        <w:rPr>
          <w:rFonts w:hint="eastAsia"/>
          <w:color w:val="auto"/>
          <w:lang w:val="en-US" w:eastAsia="zh-CN"/>
        </w:rPr>
        <w:t>D</w:t>
      </w:r>
      <w:r>
        <w:rPr>
          <w:rFonts w:hint="eastAsia"/>
          <w:color w:val="auto"/>
          <w:vertAlign w:val="subscript"/>
          <w:lang w:val="en-US" w:eastAsia="zh-CN"/>
        </w:rPr>
        <w:t>L</w:t>
      </w:r>
      <w:r>
        <w:rPr>
          <w:rFonts w:hint="eastAsia"/>
          <w:color w:val="auto"/>
          <w:lang w:val="en-US" w:eastAsia="zh-CN"/>
        </w:rPr>
        <w:t>-纵向弥散系数，m</w:t>
      </w:r>
      <w:r>
        <w:rPr>
          <w:rFonts w:hint="eastAsia"/>
          <w:color w:val="auto"/>
          <w:vertAlign w:val="superscript"/>
          <w:lang w:val="en-US" w:eastAsia="zh-CN"/>
        </w:rPr>
        <w:t>2</w:t>
      </w:r>
      <w:r>
        <w:rPr>
          <w:rFonts w:hint="eastAsia"/>
          <w:color w:val="auto"/>
          <w:lang w:val="en-US" w:eastAsia="zh-CN"/>
        </w:rPr>
        <w:t>/d;</w:t>
      </w:r>
    </w:p>
    <w:p>
      <w:pPr>
        <w:pStyle w:val="33"/>
        <w:bidi w:val="0"/>
        <w:rPr>
          <w:rFonts w:hint="eastAsia"/>
          <w:color w:val="auto"/>
          <w:lang w:val="en-US" w:eastAsia="zh-CN"/>
        </w:rPr>
      </w:pPr>
      <w:r>
        <w:rPr>
          <w:rFonts w:hint="eastAsia"/>
          <w:color w:val="auto"/>
          <w:lang w:val="en-US" w:eastAsia="zh-CN"/>
        </w:rPr>
        <w:t>D</w:t>
      </w:r>
      <w:r>
        <w:rPr>
          <w:rFonts w:hint="eastAsia"/>
          <w:color w:val="auto"/>
          <w:vertAlign w:val="subscript"/>
          <w:lang w:val="en-US" w:eastAsia="zh-CN"/>
        </w:rPr>
        <w:t>T</w:t>
      </w:r>
      <w:r>
        <w:rPr>
          <w:rFonts w:hint="eastAsia"/>
          <w:color w:val="auto"/>
          <w:lang w:val="en-US" w:eastAsia="zh-CN"/>
        </w:rPr>
        <w:t>-横向y方向的弥散系数，m</w:t>
      </w:r>
      <w:r>
        <w:rPr>
          <w:rFonts w:hint="eastAsia"/>
          <w:color w:val="auto"/>
          <w:vertAlign w:val="superscript"/>
          <w:lang w:val="en-US" w:eastAsia="zh-CN"/>
        </w:rPr>
        <w:t>2</w:t>
      </w:r>
      <w:r>
        <w:rPr>
          <w:rFonts w:hint="eastAsia"/>
          <w:color w:val="auto"/>
          <w:lang w:val="en-US" w:eastAsia="zh-CN"/>
        </w:rPr>
        <w:t>/d;</w:t>
      </w:r>
    </w:p>
    <w:p>
      <w:pPr>
        <w:pStyle w:val="33"/>
        <w:bidi w:val="0"/>
        <w:rPr>
          <w:rFonts w:hint="eastAsia"/>
          <w:color w:val="auto"/>
          <w:lang w:val="en-US" w:eastAsia="zh-CN"/>
        </w:rPr>
      </w:pPr>
      <w:r>
        <w:rPr>
          <w:rFonts w:hint="eastAsia"/>
          <w:color w:val="auto"/>
          <w:lang w:val="en-US" w:eastAsia="zh-CN"/>
        </w:rPr>
        <w:t>π-圆周率；</w:t>
      </w:r>
    </w:p>
    <w:p>
      <w:pPr>
        <w:pStyle w:val="33"/>
        <w:bidi w:val="0"/>
        <w:rPr>
          <w:rFonts w:hint="eastAsia"/>
          <w:color w:val="auto"/>
          <w:lang w:val="en-US" w:eastAsia="zh-CN"/>
        </w:rPr>
      </w:pPr>
      <w:r>
        <w:rPr>
          <w:rFonts w:hint="eastAsia"/>
          <w:color w:val="auto"/>
          <w:lang w:val="en-US" w:eastAsia="zh-CN"/>
        </w:rPr>
        <w:t>K</w:t>
      </w:r>
      <w:r>
        <w:rPr>
          <w:rFonts w:hint="eastAsia"/>
          <w:color w:val="auto"/>
          <w:vertAlign w:val="subscript"/>
          <w:lang w:val="en-US" w:eastAsia="zh-CN"/>
        </w:rPr>
        <w:t>0</w:t>
      </w:r>
      <w:r>
        <w:rPr>
          <w:rFonts w:hint="eastAsia"/>
          <w:color w:val="auto"/>
          <w:lang w:val="en-US" w:eastAsia="zh-CN"/>
        </w:rPr>
        <w:t>(β)一第二类零阶修正贝赛尔函数；</w:t>
      </w:r>
    </w:p>
    <w:p>
      <w:pPr>
        <w:pStyle w:val="33"/>
        <w:bidi w:val="0"/>
        <w:rPr>
          <w:rFonts w:hint="eastAsia"/>
          <w:color w:val="auto"/>
          <w:lang w:val="en-US" w:eastAsia="zh-CN"/>
        </w:rPr>
      </w:pPr>
      <w:r>
        <w:rPr>
          <w:color w:val="auto"/>
        </w:rPr>
        <w:drawing>
          <wp:inline distT="0" distB="0" distL="114300" distR="114300">
            <wp:extent cx="628650" cy="346710"/>
            <wp:effectExtent l="0" t="0" r="0" b="15240"/>
            <wp:docPr id="3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2"/>
                    <pic:cNvPicPr>
                      <a:picLocks noChangeAspect="1"/>
                    </pic:cNvPicPr>
                  </pic:nvPicPr>
                  <pic:blipFill>
                    <a:blip r:embed="rId63"/>
                    <a:stretch>
                      <a:fillRect/>
                    </a:stretch>
                  </pic:blipFill>
                  <pic:spPr>
                    <a:xfrm>
                      <a:off x="0" y="0"/>
                      <a:ext cx="628650" cy="346710"/>
                    </a:xfrm>
                    <a:prstGeom prst="rect">
                      <a:avLst/>
                    </a:prstGeom>
                    <a:noFill/>
                    <a:ln>
                      <a:noFill/>
                    </a:ln>
                  </pic:spPr>
                </pic:pic>
              </a:graphicData>
            </a:graphic>
          </wp:inline>
        </w:drawing>
      </w:r>
      <w:r>
        <w:rPr>
          <w:rFonts w:hint="eastAsia"/>
          <w:color w:val="auto"/>
          <w:lang w:val="en-US" w:eastAsia="zh-CN"/>
        </w:rPr>
        <w:t>--一类越流系统井函数。</w:t>
      </w:r>
    </w:p>
    <w:p>
      <w:pPr>
        <w:pStyle w:val="33"/>
        <w:bidi w:val="0"/>
        <w:rPr>
          <w:rFonts w:hint="eastAsia"/>
          <w:color w:val="auto"/>
          <w:lang w:val="en-US" w:eastAsia="zh-CN"/>
        </w:rPr>
      </w:pPr>
      <w:r>
        <w:rPr>
          <w:rFonts w:hint="eastAsia"/>
          <w:color w:val="auto"/>
          <w:lang w:val="en-US" w:eastAsia="zh-CN"/>
        </w:rPr>
        <w:t>⑥预测参数选取</w:t>
      </w:r>
    </w:p>
    <w:p>
      <w:pPr>
        <w:pStyle w:val="33"/>
        <w:bidi w:val="0"/>
        <w:rPr>
          <w:rFonts w:hint="eastAsia"/>
          <w:color w:val="auto"/>
          <w:lang w:val="en-US" w:eastAsia="zh-CN"/>
        </w:rPr>
      </w:pPr>
      <w:r>
        <w:rPr>
          <w:rFonts w:hint="eastAsia"/>
          <w:color w:val="auto"/>
          <w:lang w:val="en-US" w:eastAsia="zh-CN"/>
        </w:rPr>
        <w:t>注入的示踪剂质量：COD的渗入量为121.1kg/d。</w:t>
      </w:r>
    </w:p>
    <w:p>
      <w:pPr>
        <w:pStyle w:val="33"/>
        <w:bidi w:val="0"/>
        <w:rPr>
          <w:rFonts w:hint="eastAsia"/>
          <w:color w:val="auto"/>
          <w:lang w:val="en-US" w:eastAsia="zh-CN"/>
        </w:rPr>
      </w:pPr>
      <w:r>
        <w:rPr>
          <w:rFonts w:hint="eastAsia"/>
          <w:color w:val="auto"/>
          <w:lang w:val="en-US" w:eastAsia="zh-CN"/>
        </w:rPr>
        <w:t>含水层厚度：根据查阅《湖南岳阳绿色化工产业园(云溪片)环境影响跟踪评价项目地下水环境影响专题》可知，评价区地下水含水层厚度5m。</w:t>
      </w:r>
    </w:p>
    <w:p>
      <w:pPr>
        <w:pStyle w:val="33"/>
        <w:bidi w:val="0"/>
        <w:rPr>
          <w:rFonts w:hint="eastAsia"/>
          <w:color w:val="auto"/>
          <w:lang w:val="en-US" w:eastAsia="zh-CN"/>
        </w:rPr>
      </w:pPr>
      <w:r>
        <w:rPr>
          <w:rFonts w:hint="eastAsia"/>
          <w:color w:val="auto"/>
          <w:lang w:val="en-US" w:eastAsia="zh-CN"/>
        </w:rPr>
        <w:t>有效孔隙度：根据区域岩土工程勘察报告可知，孔隙度平均值e=0.96，根据公式e=n/(1-n)，计算得出，场区含水层有效孔隙度n=0.49。</w:t>
      </w:r>
    </w:p>
    <w:p>
      <w:pPr>
        <w:pStyle w:val="33"/>
        <w:bidi w:val="0"/>
        <w:rPr>
          <w:rFonts w:hint="eastAsia"/>
          <w:color w:val="auto"/>
          <w:lang w:val="en-US" w:eastAsia="zh-CN"/>
        </w:rPr>
      </w:pPr>
      <w:r>
        <w:rPr>
          <w:rFonts w:hint="eastAsia"/>
          <w:color w:val="auto"/>
          <w:lang w:val="en-US" w:eastAsia="zh-CN"/>
        </w:rPr>
        <w:t>地下水流速：根据相关的地质资料及《湖南岳阳绿色化工产业园环境影响跟踪评价项目地下水环境影响专题》可知，项目区岩层的渗透系数约为0.42~0.5m/d，本次评价取0.45m/d。地下水水力坡度按照等水位线图取0.002，则地下水的渗透流速: V=KI=0.5m/d×0.00012=9×10</w:t>
      </w:r>
      <w:r>
        <w:rPr>
          <w:rFonts w:hint="eastAsia"/>
          <w:color w:val="auto"/>
          <w:vertAlign w:val="superscript"/>
          <w:lang w:val="en-US" w:eastAsia="zh-CN"/>
        </w:rPr>
        <w:t>-4</w:t>
      </w:r>
      <w:r>
        <w:rPr>
          <w:rFonts w:hint="eastAsia"/>
          <w:color w:val="auto"/>
          <w:lang w:val="en-US" w:eastAsia="zh-CN"/>
        </w:rPr>
        <w:t>m/d，平均实际流速：u=V/n=1.84×10</w:t>
      </w:r>
      <w:r>
        <w:rPr>
          <w:rFonts w:hint="eastAsia"/>
          <w:color w:val="auto"/>
          <w:vertAlign w:val="superscript"/>
          <w:lang w:val="en-US" w:eastAsia="zh-CN"/>
        </w:rPr>
        <w:t>-3</w:t>
      </w:r>
      <w:r>
        <w:rPr>
          <w:rFonts w:hint="eastAsia"/>
          <w:color w:val="auto"/>
          <w:lang w:val="en-US" w:eastAsia="zh-CN"/>
        </w:rPr>
        <w:t>m/d。</w:t>
      </w:r>
    </w:p>
    <w:p>
      <w:pPr>
        <w:pStyle w:val="33"/>
        <w:bidi w:val="0"/>
        <w:rPr>
          <w:rFonts w:hint="eastAsia"/>
          <w:color w:val="auto"/>
          <w:lang w:val="en-US" w:eastAsia="zh-CN"/>
        </w:rPr>
      </w:pPr>
      <w:r>
        <w:rPr>
          <w:rFonts w:hint="eastAsia"/>
          <w:color w:val="auto"/>
          <w:lang w:val="en-US" w:eastAsia="zh-CN"/>
        </w:rPr>
        <w:t>弥散系数：弥散度是地下水动力弥散理论中用来描述空隙介质弥散特征的一个重要参数，具有尺度效应性质，它反映了含水层介质空间结构的非均质性，本次充分收集了大量国内外在不同试验尺度下和实验条件下分别运用解析方法和数值方法所得的纵向弥散度资料，结合工作区的实际条件，考虑到局部规模与区域规模的差别，确定纵向弥散度(aL)为20.0m，横向弥散度(aT)为3.0m。由此计算得出:</w:t>
      </w:r>
    </w:p>
    <w:p>
      <w:pPr>
        <w:pStyle w:val="33"/>
        <w:bidi w:val="0"/>
        <w:rPr>
          <w:rFonts w:hint="eastAsia"/>
          <w:color w:val="auto"/>
          <w:lang w:val="en-US" w:eastAsia="zh-CN"/>
        </w:rPr>
      </w:pPr>
      <w:r>
        <w:rPr>
          <w:rFonts w:hint="eastAsia"/>
          <w:color w:val="auto"/>
          <w:lang w:val="en-US" w:eastAsia="zh-CN"/>
        </w:rPr>
        <w:t>DL=aL×u=20.0×1.84×10</w:t>
      </w:r>
      <w:r>
        <w:rPr>
          <w:rFonts w:hint="eastAsia"/>
          <w:color w:val="auto"/>
          <w:vertAlign w:val="superscript"/>
          <w:lang w:val="en-US" w:eastAsia="zh-CN"/>
        </w:rPr>
        <w:t>-3</w:t>
      </w:r>
      <w:r>
        <w:rPr>
          <w:rFonts w:hint="eastAsia"/>
          <w:color w:val="auto"/>
          <w:lang w:val="en-US" w:eastAsia="zh-CN"/>
        </w:rPr>
        <w:t>m/d=3.68×10</w:t>
      </w:r>
      <w:r>
        <w:rPr>
          <w:rFonts w:hint="eastAsia"/>
          <w:color w:val="auto"/>
          <w:vertAlign w:val="superscript"/>
          <w:lang w:val="en-US" w:eastAsia="zh-CN"/>
        </w:rPr>
        <w:t>-2</w:t>
      </w:r>
      <w:r>
        <w:rPr>
          <w:rFonts w:hint="eastAsia"/>
          <w:color w:val="auto"/>
          <w:lang w:val="en-US" w:eastAsia="zh-CN"/>
        </w:rPr>
        <w:t>m</w:t>
      </w:r>
      <w:r>
        <w:rPr>
          <w:rFonts w:hint="eastAsia"/>
          <w:color w:val="auto"/>
          <w:vertAlign w:val="superscript"/>
          <w:lang w:val="en-US" w:eastAsia="zh-CN"/>
        </w:rPr>
        <w:t>2</w:t>
      </w:r>
      <w:r>
        <w:rPr>
          <w:rFonts w:hint="eastAsia"/>
          <w:color w:val="auto"/>
          <w:lang w:val="en-US" w:eastAsia="zh-CN"/>
        </w:rPr>
        <w:t>/d，</w:t>
      </w:r>
    </w:p>
    <w:p>
      <w:pPr>
        <w:pStyle w:val="33"/>
        <w:bidi w:val="0"/>
        <w:rPr>
          <w:rFonts w:hint="eastAsia"/>
          <w:color w:val="auto"/>
          <w:lang w:val="en-US" w:eastAsia="zh-CN"/>
        </w:rPr>
      </w:pPr>
      <w:r>
        <w:rPr>
          <w:rFonts w:hint="eastAsia"/>
          <w:color w:val="auto"/>
          <w:lang w:val="en-US" w:eastAsia="zh-CN"/>
        </w:rPr>
        <w:t>DT=aT×u=3.0×1.84×10</w:t>
      </w:r>
      <w:r>
        <w:rPr>
          <w:rFonts w:hint="eastAsia"/>
          <w:color w:val="auto"/>
          <w:vertAlign w:val="superscript"/>
          <w:lang w:val="en-US" w:eastAsia="zh-CN"/>
        </w:rPr>
        <w:t>-3</w:t>
      </w:r>
      <w:r>
        <w:rPr>
          <w:rFonts w:hint="eastAsia"/>
          <w:color w:val="auto"/>
          <w:lang w:val="en-US" w:eastAsia="zh-CN"/>
        </w:rPr>
        <w:t>m/d=5.52×10</w:t>
      </w:r>
      <w:r>
        <w:rPr>
          <w:rFonts w:hint="eastAsia"/>
          <w:color w:val="auto"/>
          <w:vertAlign w:val="superscript"/>
          <w:lang w:val="en-US" w:eastAsia="zh-CN"/>
        </w:rPr>
        <w:t>-3</w:t>
      </w:r>
      <w:r>
        <w:rPr>
          <w:rFonts w:hint="eastAsia"/>
          <w:color w:val="auto"/>
          <w:lang w:val="en-US" w:eastAsia="zh-CN"/>
        </w:rPr>
        <w:t>m</w:t>
      </w:r>
      <w:r>
        <w:rPr>
          <w:rFonts w:hint="eastAsia"/>
          <w:color w:val="auto"/>
          <w:vertAlign w:val="superscript"/>
          <w:lang w:val="en-US" w:eastAsia="zh-CN"/>
        </w:rPr>
        <w:t>2</w:t>
      </w:r>
      <w:r>
        <w:rPr>
          <w:rFonts w:hint="eastAsia"/>
          <w:color w:val="auto"/>
          <w:lang w:val="en-US" w:eastAsia="zh-CN"/>
        </w:rPr>
        <w:t>/d。</w:t>
      </w:r>
    </w:p>
    <w:p>
      <w:pPr>
        <w:pStyle w:val="33"/>
        <w:bidi w:val="0"/>
        <w:rPr>
          <w:rFonts w:hint="eastAsia"/>
          <w:color w:val="auto"/>
          <w:lang w:val="en-US" w:eastAsia="zh-CN"/>
        </w:rPr>
      </w:pPr>
      <w:r>
        <w:rPr>
          <w:rFonts w:hint="eastAsia"/>
          <w:color w:val="auto"/>
          <w:lang w:val="en-US" w:eastAsia="zh-CN"/>
        </w:rPr>
        <w:t>⑦预测结果及分析</w:t>
      </w:r>
    </w:p>
    <w:p>
      <w:pPr>
        <w:pStyle w:val="33"/>
        <w:bidi w:val="0"/>
        <w:rPr>
          <w:rFonts w:hint="eastAsia"/>
          <w:color w:val="auto"/>
          <w:lang w:val="en-US" w:eastAsia="zh-CN"/>
        </w:rPr>
      </w:pPr>
      <w:r>
        <w:rPr>
          <w:rFonts w:hint="eastAsia"/>
          <w:color w:val="auto"/>
          <w:lang w:val="en-US" w:eastAsia="zh-CN"/>
        </w:rPr>
        <w:t>非正常状况下COD的预测结果如下:</w:t>
      </w:r>
    </w:p>
    <w:p>
      <w:pPr>
        <w:pStyle w:val="36"/>
        <w:bidi w:val="0"/>
        <w:rPr>
          <w:rFonts w:hint="eastAsia"/>
          <w:color w:val="auto"/>
          <w:lang w:val="en-US" w:eastAsia="zh-CN"/>
        </w:rPr>
      </w:pPr>
      <w:r>
        <w:rPr>
          <w:rFonts w:hint="eastAsia"/>
          <w:color w:val="auto"/>
          <w:lang w:val="en-US" w:eastAsia="zh-CN"/>
        </w:rPr>
        <w:t>表7.3-1非正常状况下COD污染物对地下水影响范围预测表单位mgL</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19"/>
        <w:gridCol w:w="5991"/>
      </w:tblGrid>
      <w:tr>
        <w:trPr>
          <w:jc w:val="center"/>
        </w:trPr>
        <w:tc>
          <w:tcPr>
            <w:tcW w:w="1850" w:type="pct"/>
            <w:tcBorders>
              <w:tl2br w:val="nil"/>
              <w:tr2bl w:val="nil"/>
            </w:tcBorders>
            <w:noWrap w:val="0"/>
            <w:vAlign w:val="top"/>
          </w:tcPr>
          <w:p>
            <w:pPr>
              <w:pStyle w:val="35"/>
              <w:bidi w:val="0"/>
              <w:rPr>
                <w:rFonts w:hint="default"/>
                <w:color w:val="auto"/>
                <w:lang w:val="en-US" w:eastAsia="zh-CN"/>
              </w:rPr>
            </w:pPr>
            <w:r>
              <w:rPr>
                <w:rFonts w:hint="eastAsia"/>
                <w:color w:val="auto"/>
                <w:lang w:val="en-US" w:eastAsia="zh-CN"/>
              </w:rPr>
              <w:t>污染时间</w:t>
            </w:r>
          </w:p>
        </w:tc>
        <w:tc>
          <w:tcPr>
            <w:tcW w:w="3149" w:type="pct"/>
            <w:tcBorders>
              <w:tl2br w:val="nil"/>
              <w:tr2bl w:val="nil"/>
            </w:tcBorders>
            <w:noWrap w:val="0"/>
            <w:vAlign w:val="top"/>
          </w:tcPr>
          <w:p>
            <w:pPr>
              <w:pStyle w:val="35"/>
              <w:bidi w:val="0"/>
              <w:rPr>
                <w:rFonts w:hint="default"/>
                <w:color w:val="auto"/>
                <w:lang w:val="en-US" w:eastAsia="zh-CN"/>
              </w:rPr>
            </w:pPr>
            <w:r>
              <w:rPr>
                <w:rFonts w:hint="eastAsia"/>
                <w:color w:val="auto"/>
                <w:lang w:val="en-US" w:eastAsia="zh-CN"/>
              </w:rPr>
              <w:t>最远超标距离（m）</w:t>
            </w:r>
          </w:p>
        </w:tc>
      </w:tr>
      <w:tr>
        <w:trPr>
          <w:jc w:val="center"/>
        </w:trPr>
        <w:tc>
          <w:tcPr>
            <w:tcW w:w="1850" w:type="pct"/>
            <w:tcBorders>
              <w:tl2br w:val="nil"/>
              <w:tr2bl w:val="nil"/>
            </w:tcBorders>
            <w:noWrap w:val="0"/>
            <w:vAlign w:val="top"/>
          </w:tcPr>
          <w:p>
            <w:pPr>
              <w:pStyle w:val="35"/>
              <w:bidi w:val="0"/>
              <w:rPr>
                <w:rFonts w:hint="default"/>
                <w:color w:val="auto"/>
                <w:lang w:val="en-US" w:eastAsia="zh-CN"/>
              </w:rPr>
            </w:pPr>
            <w:r>
              <w:rPr>
                <w:rFonts w:hint="eastAsia"/>
                <w:color w:val="auto"/>
                <w:lang w:val="en-US" w:eastAsia="zh-CN"/>
              </w:rPr>
              <w:t>10d</w:t>
            </w:r>
          </w:p>
        </w:tc>
        <w:tc>
          <w:tcPr>
            <w:tcW w:w="3149" w:type="pct"/>
            <w:tcBorders>
              <w:tl2br w:val="nil"/>
              <w:tr2bl w:val="nil"/>
            </w:tcBorders>
            <w:noWrap w:val="0"/>
            <w:vAlign w:val="top"/>
          </w:tcPr>
          <w:p>
            <w:pPr>
              <w:pStyle w:val="35"/>
              <w:bidi w:val="0"/>
              <w:rPr>
                <w:rFonts w:hint="default"/>
                <w:color w:val="auto"/>
                <w:lang w:val="en-US" w:eastAsia="zh-CN"/>
              </w:rPr>
            </w:pPr>
            <w:r>
              <w:rPr>
                <w:rFonts w:hint="eastAsia"/>
                <w:color w:val="auto"/>
                <w:lang w:val="en-US" w:eastAsia="zh-CN"/>
              </w:rPr>
              <w:t>4</w:t>
            </w:r>
          </w:p>
        </w:tc>
      </w:tr>
      <w:tr>
        <w:trPr>
          <w:jc w:val="center"/>
        </w:trPr>
        <w:tc>
          <w:tcPr>
            <w:tcW w:w="1850" w:type="pct"/>
            <w:tcBorders>
              <w:tl2br w:val="nil"/>
              <w:tr2bl w:val="nil"/>
            </w:tcBorders>
            <w:noWrap w:val="0"/>
            <w:vAlign w:val="top"/>
          </w:tcPr>
          <w:p>
            <w:pPr>
              <w:pStyle w:val="35"/>
              <w:bidi w:val="0"/>
              <w:rPr>
                <w:rFonts w:hint="default"/>
                <w:color w:val="auto"/>
                <w:lang w:val="en-US" w:eastAsia="zh-CN"/>
              </w:rPr>
            </w:pPr>
            <w:r>
              <w:rPr>
                <w:rFonts w:hint="eastAsia"/>
                <w:color w:val="auto"/>
                <w:lang w:val="en-US" w:eastAsia="zh-CN"/>
              </w:rPr>
              <w:t>100d</w:t>
            </w:r>
          </w:p>
        </w:tc>
        <w:tc>
          <w:tcPr>
            <w:tcW w:w="3149" w:type="pct"/>
            <w:tcBorders>
              <w:tl2br w:val="nil"/>
              <w:tr2bl w:val="nil"/>
            </w:tcBorders>
            <w:noWrap w:val="0"/>
            <w:vAlign w:val="top"/>
          </w:tcPr>
          <w:p>
            <w:pPr>
              <w:pStyle w:val="35"/>
              <w:bidi w:val="0"/>
              <w:rPr>
                <w:rFonts w:hint="default"/>
                <w:color w:val="auto"/>
                <w:lang w:val="en-US" w:eastAsia="zh-CN"/>
              </w:rPr>
            </w:pPr>
            <w:r>
              <w:rPr>
                <w:rFonts w:hint="eastAsia"/>
                <w:color w:val="auto"/>
                <w:lang w:val="en-US" w:eastAsia="zh-CN"/>
              </w:rPr>
              <w:t>12</w:t>
            </w:r>
          </w:p>
        </w:tc>
      </w:tr>
      <w:tr>
        <w:trPr>
          <w:jc w:val="center"/>
        </w:trPr>
        <w:tc>
          <w:tcPr>
            <w:tcW w:w="1850" w:type="pct"/>
            <w:tcBorders>
              <w:tl2br w:val="nil"/>
              <w:tr2bl w:val="nil"/>
            </w:tcBorders>
            <w:noWrap w:val="0"/>
            <w:vAlign w:val="top"/>
          </w:tcPr>
          <w:p>
            <w:pPr>
              <w:pStyle w:val="35"/>
              <w:bidi w:val="0"/>
              <w:rPr>
                <w:rFonts w:hint="default"/>
                <w:color w:val="auto"/>
                <w:lang w:val="en-US" w:eastAsia="zh-CN"/>
              </w:rPr>
            </w:pPr>
            <w:r>
              <w:rPr>
                <w:rFonts w:hint="eastAsia"/>
                <w:color w:val="auto"/>
                <w:lang w:val="en-US" w:eastAsia="zh-CN"/>
              </w:rPr>
              <w:t>200d</w:t>
            </w:r>
          </w:p>
        </w:tc>
        <w:tc>
          <w:tcPr>
            <w:tcW w:w="3149" w:type="pct"/>
            <w:tcBorders>
              <w:tl2br w:val="nil"/>
              <w:tr2bl w:val="nil"/>
            </w:tcBorders>
            <w:noWrap w:val="0"/>
            <w:vAlign w:val="top"/>
          </w:tcPr>
          <w:p>
            <w:pPr>
              <w:pStyle w:val="35"/>
              <w:bidi w:val="0"/>
              <w:rPr>
                <w:rFonts w:hint="default"/>
                <w:color w:val="auto"/>
                <w:lang w:val="en-US" w:eastAsia="zh-CN"/>
              </w:rPr>
            </w:pPr>
            <w:r>
              <w:rPr>
                <w:rFonts w:hint="eastAsia"/>
                <w:color w:val="auto"/>
                <w:lang w:val="en-US" w:eastAsia="zh-CN"/>
              </w:rPr>
              <w:t>17</w:t>
            </w:r>
          </w:p>
        </w:tc>
      </w:tr>
      <w:tr>
        <w:trPr>
          <w:jc w:val="center"/>
        </w:trPr>
        <w:tc>
          <w:tcPr>
            <w:tcW w:w="1850" w:type="pct"/>
            <w:tcBorders>
              <w:tl2br w:val="nil"/>
              <w:tr2bl w:val="nil"/>
            </w:tcBorders>
            <w:noWrap w:val="0"/>
            <w:vAlign w:val="top"/>
          </w:tcPr>
          <w:p>
            <w:pPr>
              <w:pStyle w:val="35"/>
              <w:bidi w:val="0"/>
              <w:rPr>
                <w:rFonts w:hint="default"/>
                <w:color w:val="auto"/>
                <w:lang w:val="en-US" w:eastAsia="zh-CN"/>
              </w:rPr>
            </w:pPr>
            <w:r>
              <w:rPr>
                <w:rFonts w:hint="eastAsia"/>
                <w:color w:val="auto"/>
                <w:lang w:val="en-US" w:eastAsia="zh-CN"/>
              </w:rPr>
              <w:t>365d</w:t>
            </w:r>
          </w:p>
        </w:tc>
        <w:tc>
          <w:tcPr>
            <w:tcW w:w="3149" w:type="pct"/>
            <w:tcBorders>
              <w:tl2br w:val="nil"/>
              <w:tr2bl w:val="nil"/>
            </w:tcBorders>
            <w:noWrap w:val="0"/>
            <w:vAlign w:val="top"/>
          </w:tcPr>
          <w:p>
            <w:pPr>
              <w:pStyle w:val="35"/>
              <w:bidi w:val="0"/>
              <w:rPr>
                <w:rFonts w:hint="default"/>
                <w:color w:val="auto"/>
                <w:lang w:val="en-US" w:eastAsia="zh-CN"/>
              </w:rPr>
            </w:pPr>
            <w:r>
              <w:rPr>
                <w:rFonts w:hint="eastAsia"/>
                <w:color w:val="auto"/>
                <w:lang w:val="en-US" w:eastAsia="zh-CN"/>
              </w:rPr>
              <w:t>23</w:t>
            </w:r>
          </w:p>
        </w:tc>
      </w:tr>
    </w:tbl>
    <w:p>
      <w:pPr>
        <w:pStyle w:val="33"/>
        <w:bidi w:val="0"/>
        <w:rPr>
          <w:rFonts w:hint="default"/>
          <w:color w:val="auto"/>
          <w:lang w:val="en-US" w:eastAsia="zh-CN"/>
        </w:rPr>
      </w:pPr>
      <w:r>
        <w:rPr>
          <w:rFonts w:hint="eastAsia"/>
          <w:color w:val="auto"/>
          <w:lang w:val="en-US" w:eastAsia="zh-CN"/>
        </w:rPr>
        <w:t>污水池非正常状况时废水渗漏对地下水产生的影响，会导致其周围地下水中污染物浓度明显增加。周边地下水COD污染物会出现超标现象，365天后超标距离为下游23m，污水池的污染物的渗漏/泄漏对地下水影响范围较小，仅影响到污水池周边较小范围地下水水质而不会影响到区域地下水水质，评价范围内无地下水环境敏感保护目标。由于地下水流速慢，扩散稀释过程时间长，地下水水质要恢复至背景水平仍需要很长时间，因此应尽量避免非正常状况发生。企业应加强设施维护和日常监管防止出现废水渗漏，发生渗漏时，企业应及时检测发现及修复渗漏。由于项目周边均为工业区，企业在认真落实本报告提出的各项地下水污染防治措施的基础上，项目建设对当地地下水环境产生影响可接受。</w:t>
      </w:r>
    </w:p>
    <w:p>
      <w:pPr>
        <w:pStyle w:val="31"/>
        <w:bidi w:val="0"/>
        <w:rPr>
          <w:rFonts w:hint="eastAsia"/>
          <w:color w:val="auto"/>
          <w:lang w:val="en-US" w:eastAsia="zh-CN"/>
        </w:rPr>
      </w:pPr>
      <w:bookmarkStart w:id="193" w:name="_Toc18609"/>
      <w:bookmarkStart w:id="194" w:name="_Toc153"/>
      <w:r>
        <w:rPr>
          <w:rFonts w:hint="eastAsia"/>
          <w:color w:val="auto"/>
          <w:lang w:val="en-US" w:eastAsia="zh-CN"/>
        </w:rPr>
        <w:t>7.4运营期声环境影响分析</w:t>
      </w:r>
      <w:bookmarkEnd w:id="193"/>
      <w:bookmarkEnd w:id="194"/>
    </w:p>
    <w:p>
      <w:pPr>
        <w:pStyle w:val="32"/>
        <w:bidi w:val="0"/>
        <w:rPr>
          <w:color w:val="auto"/>
        </w:rPr>
      </w:pPr>
      <w:bookmarkStart w:id="195" w:name="_Toc4028"/>
      <w:bookmarkStart w:id="196" w:name="_Toc132875685"/>
      <w:bookmarkStart w:id="197" w:name="_Toc134850558"/>
      <w:bookmarkStart w:id="198" w:name="_Toc134929019"/>
      <w:r>
        <w:rPr>
          <w:rFonts w:hint="eastAsia"/>
          <w:color w:val="auto"/>
          <w:lang w:val="en-US" w:eastAsia="zh-CN"/>
        </w:rPr>
        <w:t>7.4.1</w:t>
      </w:r>
      <w:r>
        <w:rPr>
          <w:color w:val="auto"/>
        </w:rPr>
        <w:t>预测源强及范围</w:t>
      </w:r>
      <w:bookmarkEnd w:id="195"/>
      <w:bookmarkEnd w:id="196"/>
      <w:bookmarkEnd w:id="197"/>
      <w:bookmarkEnd w:id="198"/>
    </w:p>
    <w:p>
      <w:pPr>
        <w:pStyle w:val="33"/>
        <w:ind w:firstLine="480"/>
        <w:rPr>
          <w:b/>
          <w:bCs w:val="0"/>
          <w:color w:val="auto"/>
        </w:rPr>
      </w:pPr>
      <w:r>
        <w:rPr>
          <w:rFonts w:hint="eastAsia"/>
          <w:b/>
          <w:bCs w:val="0"/>
          <w:color w:val="auto"/>
          <w:lang w:val="en-US" w:eastAsia="zh-CN"/>
        </w:rPr>
        <w:t>7.2.4.1</w:t>
      </w:r>
      <w:r>
        <w:rPr>
          <w:rFonts w:hint="eastAsia"/>
          <w:b/>
          <w:bCs w:val="0"/>
          <w:color w:val="auto"/>
        </w:rPr>
        <w:t>声环境影响预测方法及模式</w:t>
      </w:r>
    </w:p>
    <w:p>
      <w:pPr>
        <w:pStyle w:val="33"/>
        <w:ind w:firstLine="480"/>
        <w:rPr>
          <w:color w:val="auto"/>
        </w:rPr>
      </w:pPr>
      <w:r>
        <w:rPr>
          <w:rFonts w:hint="eastAsia"/>
          <w:color w:val="auto"/>
        </w:rPr>
        <w:t>（1）</w:t>
      </w:r>
      <w:r>
        <w:rPr>
          <w:color w:val="auto"/>
        </w:rPr>
        <w:t>预测方法</w:t>
      </w:r>
    </w:p>
    <w:p>
      <w:pPr>
        <w:pStyle w:val="33"/>
        <w:ind w:firstLine="480"/>
        <w:rPr>
          <w:color w:val="auto"/>
        </w:rPr>
      </w:pPr>
      <w:r>
        <w:rPr>
          <w:color w:val="auto"/>
        </w:rPr>
        <w:t>根据《环境影响评价技术导则声环境》(HJ2.4-2009)，新建项目边界噪声评价量以工程噪声贡献值作为评价量，当评价范围内存在敏感目标时，应通过计算给出各敏感目标的噪声预测值。因此，本评价将对比项目运行期固定声源噪声值对厂界的贡献值与《工业企业厂界环境噪声排放标准》(GB12348-2008)中的3类标准限值以评价厂界环境噪声排放限值是否达标，环境敏感目标的预测值将通过运行期固定声源对敏感目标的贡献值叠加敏感目标背景值得出。</w:t>
      </w:r>
    </w:p>
    <w:p>
      <w:pPr>
        <w:pStyle w:val="33"/>
        <w:ind w:firstLine="480"/>
        <w:rPr>
          <w:color w:val="auto"/>
        </w:rPr>
      </w:pPr>
      <w:r>
        <w:rPr>
          <w:rFonts w:hint="eastAsia"/>
          <w:color w:val="auto"/>
        </w:rPr>
        <w:t>（2）</w:t>
      </w:r>
      <w:r>
        <w:rPr>
          <w:color w:val="auto"/>
        </w:rPr>
        <w:t>预测模式</w:t>
      </w:r>
    </w:p>
    <w:p>
      <w:pPr>
        <w:pStyle w:val="33"/>
        <w:ind w:firstLine="480"/>
        <w:rPr>
          <w:color w:val="auto"/>
        </w:rPr>
      </w:pPr>
      <w:r>
        <w:rPr>
          <w:color w:val="auto"/>
        </w:rPr>
        <w:t>①多个产噪设备同时运行总声级计算</w:t>
      </w:r>
    </w:p>
    <w:p>
      <w:pPr>
        <w:pStyle w:val="33"/>
        <w:ind w:firstLine="480"/>
        <w:rPr>
          <w:color w:val="auto"/>
        </w:rPr>
      </w:pPr>
      <w:r>
        <w:rPr>
          <w:color w:val="auto"/>
        </w:rPr>
        <w:t>多个产噪设备同时运行的总等效连续A声级计算公式采用如下公式</w:t>
      </w:r>
      <w:r>
        <w:rPr>
          <w:rFonts w:hint="eastAsia"/>
          <w:color w:val="auto"/>
        </w:rPr>
        <w:t>：</w:t>
      </w:r>
    </w:p>
    <w:p>
      <w:pPr>
        <w:jc w:val="center"/>
        <w:rPr>
          <w:color w:val="auto"/>
        </w:rPr>
      </w:pPr>
      <w:r>
        <w:rPr>
          <w:color w:val="auto"/>
        </w:rPr>
        <w:drawing>
          <wp:inline distT="0" distB="0" distL="114300" distR="114300">
            <wp:extent cx="1819275" cy="514350"/>
            <wp:effectExtent l="0" t="0" r="9525" b="0"/>
            <wp:docPr id="3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pic:cNvPicPr>
                      <a:picLocks noChangeAspect="1"/>
                    </pic:cNvPicPr>
                  </pic:nvPicPr>
                  <pic:blipFill>
                    <a:blip r:embed="rId64"/>
                    <a:stretch>
                      <a:fillRect/>
                    </a:stretch>
                  </pic:blipFill>
                  <pic:spPr>
                    <a:xfrm>
                      <a:off x="0" y="0"/>
                      <a:ext cx="1819275" cy="514350"/>
                    </a:xfrm>
                    <a:prstGeom prst="rect">
                      <a:avLst/>
                    </a:prstGeom>
                    <a:noFill/>
                    <a:ln>
                      <a:noFill/>
                    </a:ln>
                  </pic:spPr>
                </pic:pic>
              </a:graphicData>
            </a:graphic>
          </wp:inline>
        </w:drawing>
      </w:r>
    </w:p>
    <w:p>
      <w:pPr>
        <w:pStyle w:val="33"/>
        <w:ind w:firstLine="480"/>
        <w:rPr>
          <w:color w:val="auto"/>
        </w:rPr>
      </w:pPr>
      <w:r>
        <w:rPr>
          <w:rFonts w:hint="eastAsia"/>
          <w:color w:val="auto"/>
        </w:rPr>
        <w:t>式中，L</w:t>
      </w:r>
      <w:r>
        <w:rPr>
          <w:rFonts w:hint="eastAsia"/>
          <w:color w:val="auto"/>
          <w:vertAlign w:val="subscript"/>
        </w:rPr>
        <w:t>eqi</w:t>
      </w:r>
      <w:r>
        <w:rPr>
          <w:rFonts w:hint="eastAsia"/>
          <w:color w:val="auto"/>
        </w:rPr>
        <w:t xml:space="preserve">－第i个声源对某预测点的等效声级。 </w:t>
      </w:r>
    </w:p>
    <w:p>
      <w:pPr>
        <w:pStyle w:val="33"/>
        <w:ind w:firstLine="480"/>
        <w:rPr>
          <w:color w:val="auto"/>
        </w:rPr>
      </w:pPr>
      <w:r>
        <w:rPr>
          <w:rFonts w:hint="eastAsia"/>
          <w:color w:val="auto"/>
        </w:rPr>
        <w:t xml:space="preserve">②噪声衰减模式 </w:t>
      </w:r>
    </w:p>
    <w:p>
      <w:pPr>
        <w:pStyle w:val="33"/>
        <w:ind w:firstLine="480"/>
        <w:rPr>
          <w:color w:val="auto"/>
        </w:rPr>
      </w:pPr>
      <w:r>
        <w:rPr>
          <w:rFonts w:hint="eastAsia"/>
          <w:color w:val="auto"/>
        </w:rPr>
        <w:t>采用点声源衰减公式，按声能量在空气传播中衰减模式计算出点声源在环境中任意一点的贡献值。</w:t>
      </w:r>
    </w:p>
    <w:p>
      <w:pPr>
        <w:jc w:val="center"/>
        <w:rPr>
          <w:color w:val="auto"/>
        </w:rPr>
      </w:pPr>
      <w:r>
        <w:rPr>
          <w:color w:val="auto"/>
        </w:rPr>
        <w:drawing>
          <wp:inline distT="0" distB="0" distL="114300" distR="114300">
            <wp:extent cx="2722245" cy="529590"/>
            <wp:effectExtent l="0" t="0" r="1905" b="3810"/>
            <wp:docPr id="3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pic:cNvPicPr>
                      <a:picLocks noChangeAspect="1"/>
                    </pic:cNvPicPr>
                  </pic:nvPicPr>
                  <pic:blipFill>
                    <a:blip r:embed="rId65"/>
                    <a:stretch>
                      <a:fillRect/>
                    </a:stretch>
                  </pic:blipFill>
                  <pic:spPr>
                    <a:xfrm>
                      <a:off x="0" y="0"/>
                      <a:ext cx="2722245" cy="529590"/>
                    </a:xfrm>
                    <a:prstGeom prst="rect">
                      <a:avLst/>
                    </a:prstGeom>
                    <a:noFill/>
                    <a:ln>
                      <a:noFill/>
                    </a:ln>
                  </pic:spPr>
                </pic:pic>
              </a:graphicData>
            </a:graphic>
          </wp:inline>
        </w:drawing>
      </w:r>
    </w:p>
    <w:p>
      <w:pPr>
        <w:pStyle w:val="33"/>
        <w:ind w:firstLine="480"/>
        <w:rPr>
          <w:color w:val="auto"/>
        </w:rPr>
      </w:pPr>
      <w:r>
        <w:rPr>
          <w:rFonts w:hint="eastAsia"/>
          <w:color w:val="auto"/>
        </w:rPr>
        <w:t>式中：LA(r0)</w:t>
      </w:r>
      <w:r>
        <w:rPr>
          <w:color w:val="auto"/>
        </w:rPr>
        <w:t>—</w:t>
      </w:r>
      <w:r>
        <w:rPr>
          <w:rFonts w:hint="eastAsia"/>
          <w:color w:val="auto"/>
        </w:rPr>
        <w:t xml:space="preserve">距离点声源距离为r0 处测得的声源A 声压级，dB(A)； </w:t>
      </w:r>
    </w:p>
    <w:p>
      <w:pPr>
        <w:pStyle w:val="33"/>
        <w:ind w:firstLine="480"/>
        <w:rPr>
          <w:color w:val="auto"/>
        </w:rPr>
      </w:pPr>
      <w:r>
        <w:rPr>
          <w:rFonts w:hint="eastAsia"/>
          <w:color w:val="auto"/>
        </w:rPr>
        <w:t>LA（r）</w:t>
      </w:r>
      <w:r>
        <w:rPr>
          <w:color w:val="auto"/>
        </w:rPr>
        <w:t>—</w:t>
      </w:r>
      <w:r>
        <w:rPr>
          <w:rFonts w:hint="eastAsia"/>
          <w:color w:val="auto"/>
        </w:rPr>
        <w:t xml:space="preserve">距离点声源距离为r 处的A声压级，dB(A)； </w:t>
      </w:r>
    </w:p>
    <w:p>
      <w:pPr>
        <w:pStyle w:val="33"/>
        <w:ind w:firstLine="480"/>
        <w:rPr>
          <w:color w:val="auto"/>
        </w:rPr>
      </w:pPr>
      <w:r>
        <w:rPr>
          <w:rFonts w:hint="eastAsia"/>
          <w:color w:val="auto"/>
        </w:rPr>
        <w:t>r0</w:t>
      </w:r>
      <w:r>
        <w:rPr>
          <w:color w:val="auto"/>
        </w:rPr>
        <w:t>—</w:t>
      </w:r>
      <w:r>
        <w:rPr>
          <w:rFonts w:hint="eastAsia"/>
          <w:color w:val="auto"/>
        </w:rPr>
        <w:t>参考点或测量点至点声源的距离，m；</w:t>
      </w:r>
    </w:p>
    <w:p>
      <w:pPr>
        <w:pStyle w:val="33"/>
        <w:ind w:firstLine="480"/>
        <w:rPr>
          <w:color w:val="auto"/>
        </w:rPr>
      </w:pPr>
      <w:r>
        <w:rPr>
          <w:rFonts w:hint="eastAsia"/>
          <w:color w:val="auto"/>
        </w:rPr>
        <w:t>r</w:t>
      </w:r>
      <w:r>
        <w:rPr>
          <w:color w:val="auto"/>
        </w:rPr>
        <w:t>—</w:t>
      </w:r>
      <w:r>
        <w:rPr>
          <w:rFonts w:hint="eastAsia"/>
          <w:color w:val="auto"/>
        </w:rPr>
        <w:t>预测点至点声源的距离，m；</w:t>
      </w:r>
    </w:p>
    <w:p>
      <w:pPr>
        <w:pStyle w:val="33"/>
        <w:ind w:firstLine="480"/>
        <w:rPr>
          <w:color w:val="auto"/>
        </w:rPr>
      </w:pPr>
      <w:r>
        <w:rPr>
          <w:rFonts w:hint="eastAsia"/>
          <w:color w:val="auto"/>
        </w:rPr>
        <w:t>△L</w:t>
      </w:r>
      <w:r>
        <w:rPr>
          <w:color w:val="auto"/>
        </w:rPr>
        <w:t>—</w:t>
      </w:r>
      <w:r>
        <w:rPr>
          <w:rFonts w:hint="eastAsia"/>
          <w:color w:val="auto"/>
        </w:rPr>
        <w:t>附加衰减值，包括建筑物，绿化带，空气吸收衰减值等，一般为8～ 25dB(A)，考虑设备噪声对环境最不利情况，△L=8dB(A)。</w:t>
      </w:r>
    </w:p>
    <w:p>
      <w:pPr>
        <w:pStyle w:val="7"/>
        <w:bidi w:val="0"/>
        <w:rPr>
          <w:color w:val="auto"/>
        </w:rPr>
      </w:pPr>
      <w:r>
        <w:rPr>
          <w:rFonts w:hint="eastAsia"/>
          <w:color w:val="auto"/>
          <w:lang w:val="en-US" w:eastAsia="zh-CN"/>
        </w:rPr>
        <w:t>5.2.4.2</w:t>
      </w:r>
      <w:r>
        <w:rPr>
          <w:color w:val="auto"/>
        </w:rPr>
        <w:t>声环境影响分析</w:t>
      </w:r>
    </w:p>
    <w:p>
      <w:pPr>
        <w:pStyle w:val="33"/>
        <w:ind w:firstLine="482"/>
        <w:rPr>
          <w:b/>
          <w:bCs/>
          <w:color w:val="auto"/>
        </w:rPr>
      </w:pPr>
      <w:r>
        <w:rPr>
          <w:b/>
          <w:bCs/>
          <w:color w:val="auto"/>
        </w:rPr>
        <w:t>①噪声源强</w:t>
      </w:r>
    </w:p>
    <w:p>
      <w:pPr>
        <w:pStyle w:val="33"/>
        <w:ind w:firstLine="480"/>
        <w:rPr>
          <w:color w:val="auto"/>
          <w:u w:val="single"/>
        </w:rPr>
      </w:pPr>
      <w:r>
        <w:rPr>
          <w:color w:val="auto"/>
          <w:u w:val="single"/>
        </w:rPr>
        <w:t>拟建项目运行期主要产噪设备及噪声设备源强值见下表:</w:t>
      </w:r>
    </w:p>
    <w:p>
      <w:pPr>
        <w:pStyle w:val="36"/>
        <w:rPr>
          <w:color w:val="auto"/>
          <w:u w:val="single"/>
        </w:rPr>
      </w:pPr>
      <w:r>
        <w:rPr>
          <w:color w:val="auto"/>
          <w:u w:val="single"/>
        </w:rPr>
        <w:t>表</w:t>
      </w:r>
      <w:r>
        <w:rPr>
          <w:rFonts w:hint="eastAsia"/>
          <w:color w:val="auto"/>
          <w:u w:val="single"/>
          <w:lang w:val="en-US" w:eastAsia="zh-CN"/>
        </w:rPr>
        <w:t>7</w:t>
      </w:r>
      <w:r>
        <w:rPr>
          <w:color w:val="auto"/>
          <w:u w:val="single"/>
        </w:rPr>
        <w:t>.</w:t>
      </w:r>
      <w:r>
        <w:rPr>
          <w:rFonts w:hint="eastAsia"/>
          <w:color w:val="auto"/>
          <w:u w:val="single"/>
          <w:lang w:val="en-US" w:eastAsia="zh-CN"/>
        </w:rPr>
        <w:t>4</w:t>
      </w:r>
      <w:r>
        <w:rPr>
          <w:color w:val="auto"/>
          <w:u w:val="single"/>
        </w:rPr>
        <w:t>-</w:t>
      </w:r>
      <w:r>
        <w:rPr>
          <w:rFonts w:hint="eastAsia"/>
          <w:color w:val="auto"/>
          <w:u w:val="single"/>
          <w:lang w:val="en-US" w:eastAsia="zh-CN"/>
        </w:rPr>
        <w:t>1</w:t>
      </w:r>
      <w:r>
        <w:rPr>
          <w:color w:val="auto"/>
          <w:u w:val="single"/>
        </w:rPr>
        <w:t>运行期噪声设备源强</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2"/>
        <w:gridCol w:w="1332"/>
        <w:gridCol w:w="1241"/>
        <w:gridCol w:w="1891"/>
        <w:gridCol w:w="30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1026" w:type="pct"/>
            <w:noWrap w:val="0"/>
            <w:vAlign w:val="center"/>
          </w:tcPr>
          <w:p>
            <w:pPr>
              <w:pStyle w:val="35"/>
              <w:bidi w:val="0"/>
              <w:rPr>
                <w:rFonts w:ascii="Times New Roman" w:hAnsi="Times New Roman" w:cs="Times New Roman"/>
                <w:b/>
                <w:bCs/>
                <w:color w:val="auto"/>
                <w:u w:val="single"/>
              </w:rPr>
            </w:pPr>
            <w:r>
              <w:rPr>
                <w:rFonts w:ascii="Times New Roman" w:hAnsi="Times New Roman" w:cs="Times New Roman"/>
                <w:b/>
                <w:bCs/>
                <w:color w:val="auto"/>
                <w:u w:val="single"/>
              </w:rPr>
              <w:t>噪声设备</w:t>
            </w:r>
          </w:p>
        </w:tc>
        <w:tc>
          <w:tcPr>
            <w:tcW w:w="700" w:type="pct"/>
            <w:noWrap w:val="0"/>
            <w:vAlign w:val="center"/>
          </w:tcPr>
          <w:p>
            <w:pPr>
              <w:pStyle w:val="35"/>
              <w:bidi w:val="0"/>
              <w:rPr>
                <w:rFonts w:ascii="Times New Roman" w:hAnsi="Times New Roman" w:cs="Times New Roman"/>
                <w:b/>
                <w:bCs/>
                <w:color w:val="auto"/>
                <w:u w:val="single"/>
              </w:rPr>
            </w:pPr>
            <w:r>
              <w:rPr>
                <w:rFonts w:ascii="Times New Roman" w:hAnsi="Times New Roman" w:cs="Times New Roman"/>
                <w:b/>
                <w:bCs/>
                <w:color w:val="auto"/>
                <w:u w:val="single"/>
              </w:rPr>
              <w:t>数量</w:t>
            </w:r>
          </w:p>
          <w:p>
            <w:pPr>
              <w:pStyle w:val="35"/>
              <w:bidi w:val="0"/>
              <w:rPr>
                <w:rFonts w:ascii="Times New Roman" w:hAnsi="Times New Roman" w:cs="Times New Roman"/>
                <w:b/>
                <w:bCs/>
                <w:color w:val="auto"/>
                <w:u w:val="single"/>
              </w:rPr>
            </w:pPr>
            <w:r>
              <w:rPr>
                <w:rFonts w:ascii="Times New Roman" w:hAnsi="Times New Roman" w:cs="Times New Roman"/>
                <w:b/>
                <w:bCs/>
                <w:color w:val="auto"/>
                <w:u w:val="single"/>
              </w:rPr>
              <w:t>（台）</w:t>
            </w:r>
          </w:p>
        </w:tc>
        <w:tc>
          <w:tcPr>
            <w:tcW w:w="652" w:type="pct"/>
            <w:noWrap w:val="0"/>
            <w:vAlign w:val="center"/>
          </w:tcPr>
          <w:p>
            <w:pPr>
              <w:pStyle w:val="35"/>
              <w:bidi w:val="0"/>
              <w:rPr>
                <w:rFonts w:ascii="Times New Roman" w:hAnsi="Times New Roman" w:cs="Times New Roman"/>
                <w:b/>
                <w:bCs/>
                <w:color w:val="auto"/>
                <w:u w:val="single"/>
              </w:rPr>
            </w:pPr>
            <w:r>
              <w:rPr>
                <w:rFonts w:ascii="Times New Roman" w:hAnsi="Times New Roman" w:cs="Times New Roman"/>
                <w:b/>
                <w:bCs/>
                <w:color w:val="auto"/>
                <w:u w:val="single"/>
              </w:rPr>
              <w:t>单台设备</w:t>
            </w:r>
          </w:p>
          <w:p>
            <w:pPr>
              <w:pStyle w:val="35"/>
              <w:bidi w:val="0"/>
              <w:rPr>
                <w:rFonts w:ascii="Times New Roman" w:hAnsi="Times New Roman" w:cs="Times New Roman"/>
                <w:b/>
                <w:bCs/>
                <w:color w:val="auto"/>
                <w:u w:val="single"/>
              </w:rPr>
            </w:pPr>
            <w:r>
              <w:rPr>
                <w:rFonts w:ascii="Times New Roman" w:hAnsi="Times New Roman" w:cs="Times New Roman"/>
                <w:b/>
                <w:bCs/>
                <w:color w:val="auto"/>
                <w:u w:val="single"/>
              </w:rPr>
              <w:t>噪声值</w:t>
            </w:r>
          </w:p>
        </w:tc>
        <w:tc>
          <w:tcPr>
            <w:tcW w:w="994" w:type="pct"/>
            <w:noWrap w:val="0"/>
            <w:vAlign w:val="center"/>
          </w:tcPr>
          <w:p>
            <w:pPr>
              <w:pStyle w:val="35"/>
              <w:bidi w:val="0"/>
              <w:rPr>
                <w:rFonts w:ascii="Times New Roman" w:hAnsi="Times New Roman" w:cs="Times New Roman"/>
                <w:b/>
                <w:bCs/>
                <w:color w:val="auto"/>
                <w:u w:val="single"/>
              </w:rPr>
            </w:pPr>
            <w:r>
              <w:rPr>
                <w:rFonts w:ascii="Times New Roman" w:hAnsi="Times New Roman" w:cs="Times New Roman"/>
                <w:b/>
                <w:bCs/>
                <w:color w:val="auto"/>
                <w:u w:val="single"/>
              </w:rPr>
              <w:t>控制措施</w:t>
            </w:r>
          </w:p>
        </w:tc>
        <w:tc>
          <w:tcPr>
            <w:tcW w:w="1626" w:type="pct"/>
            <w:noWrap w:val="0"/>
            <w:vAlign w:val="center"/>
          </w:tcPr>
          <w:p>
            <w:pPr>
              <w:pStyle w:val="35"/>
              <w:bidi w:val="0"/>
              <w:rPr>
                <w:rFonts w:ascii="Times New Roman" w:hAnsi="Times New Roman" w:cs="Times New Roman"/>
                <w:b/>
                <w:bCs/>
                <w:color w:val="auto"/>
                <w:u w:val="single"/>
              </w:rPr>
            </w:pPr>
            <w:r>
              <w:rPr>
                <w:rFonts w:ascii="Times New Roman" w:hAnsi="Times New Roman" w:cs="Times New Roman"/>
                <w:b/>
                <w:bCs/>
                <w:color w:val="auto"/>
                <w:u w:val="single"/>
              </w:rPr>
              <w:t>单台设备防护体外噪声值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1026" w:type="pct"/>
            <w:noWrap w:val="0"/>
            <w:vAlign w:val="center"/>
          </w:tcPr>
          <w:p>
            <w:pPr>
              <w:pStyle w:val="35"/>
              <w:bidi w:val="0"/>
              <w:rPr>
                <w:rFonts w:ascii="Times New Roman" w:hAnsi="Times New Roman" w:cs="Times New Roman"/>
                <w:color w:val="auto"/>
                <w:u w:val="single"/>
              </w:rPr>
            </w:pPr>
            <w:r>
              <w:rPr>
                <w:rFonts w:ascii="Times New Roman" w:hAnsi="Times New Roman" w:cs="Times New Roman"/>
                <w:color w:val="auto"/>
                <w:u w:val="single"/>
              </w:rPr>
              <w:t>反应釜（</w:t>
            </w:r>
            <w:r>
              <w:rPr>
                <w:rFonts w:hint="eastAsia" w:ascii="Times New Roman" w:hAnsi="Times New Roman" w:cs="Times New Roman"/>
                <w:color w:val="auto"/>
                <w:u w:val="single"/>
                <w:lang w:val="en-US" w:eastAsia="zh-CN"/>
              </w:rPr>
              <w:t>酯化反应</w:t>
            </w:r>
            <w:r>
              <w:rPr>
                <w:rFonts w:ascii="Times New Roman" w:hAnsi="Times New Roman" w:cs="Times New Roman"/>
                <w:color w:val="auto"/>
                <w:u w:val="single"/>
              </w:rPr>
              <w:t>）</w:t>
            </w:r>
          </w:p>
        </w:tc>
        <w:tc>
          <w:tcPr>
            <w:tcW w:w="700" w:type="pct"/>
            <w:noWrap w:val="0"/>
            <w:vAlign w:val="center"/>
          </w:tcPr>
          <w:p>
            <w:pPr>
              <w:pStyle w:val="35"/>
              <w:bidi w:val="0"/>
              <w:rPr>
                <w:rFonts w:hint="eastAsia" w:ascii="Times New Roman" w:hAnsi="Times New Roman" w:cs="Times New Roman"/>
                <w:color w:val="auto"/>
                <w:u w:val="single"/>
                <w:lang w:eastAsia="zh-CN"/>
              </w:rPr>
            </w:pPr>
            <w:r>
              <w:rPr>
                <w:rFonts w:hint="eastAsia" w:ascii="Times New Roman" w:hAnsi="Times New Roman" w:cs="Times New Roman"/>
                <w:color w:val="auto"/>
                <w:u w:val="single"/>
                <w:lang w:val="en-US" w:eastAsia="zh-CN"/>
              </w:rPr>
              <w:t>1</w:t>
            </w:r>
          </w:p>
        </w:tc>
        <w:tc>
          <w:tcPr>
            <w:tcW w:w="652" w:type="pct"/>
            <w:noWrap w:val="0"/>
            <w:vAlign w:val="center"/>
          </w:tcPr>
          <w:p>
            <w:pPr>
              <w:pStyle w:val="35"/>
              <w:bidi w:val="0"/>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70</w:t>
            </w:r>
          </w:p>
        </w:tc>
        <w:tc>
          <w:tcPr>
            <w:tcW w:w="994" w:type="pct"/>
            <w:vMerge w:val="restart"/>
            <w:noWrap w:val="0"/>
            <w:vAlign w:val="center"/>
          </w:tcPr>
          <w:p>
            <w:pPr>
              <w:pStyle w:val="35"/>
              <w:bidi w:val="0"/>
              <w:rPr>
                <w:rFonts w:ascii="Times New Roman" w:hAnsi="Times New Roman" w:cs="Times New Roman"/>
                <w:color w:val="auto"/>
                <w:u w:val="single"/>
              </w:rPr>
            </w:pPr>
            <w:r>
              <w:rPr>
                <w:rFonts w:ascii="Times New Roman" w:hAnsi="Times New Roman" w:cs="Times New Roman"/>
                <w:color w:val="auto"/>
                <w:u w:val="single"/>
              </w:rPr>
              <w:t>采取建筑隔声、基础减震、安装消声器等措施</w:t>
            </w:r>
          </w:p>
        </w:tc>
        <w:tc>
          <w:tcPr>
            <w:tcW w:w="1626" w:type="pct"/>
            <w:noWrap w:val="0"/>
            <w:vAlign w:val="center"/>
          </w:tcPr>
          <w:p>
            <w:pPr>
              <w:pStyle w:val="35"/>
              <w:bidi w:val="0"/>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1026" w:type="pct"/>
            <w:noWrap w:val="0"/>
            <w:vAlign w:val="center"/>
          </w:tcPr>
          <w:p>
            <w:pPr>
              <w:pStyle w:val="35"/>
              <w:bidi w:val="0"/>
              <w:rPr>
                <w:rFonts w:ascii="Times New Roman" w:hAnsi="Times New Roman" w:cs="Times New Roman"/>
                <w:color w:val="auto"/>
                <w:u w:val="single"/>
              </w:rPr>
            </w:pPr>
            <w:r>
              <w:rPr>
                <w:rFonts w:ascii="Times New Roman" w:hAnsi="Times New Roman" w:cs="Times New Roman"/>
                <w:color w:val="auto"/>
                <w:u w:val="single"/>
              </w:rPr>
              <w:t>各类泵</w:t>
            </w:r>
          </w:p>
        </w:tc>
        <w:tc>
          <w:tcPr>
            <w:tcW w:w="700" w:type="pct"/>
            <w:noWrap w:val="0"/>
            <w:vAlign w:val="center"/>
          </w:tcPr>
          <w:p>
            <w:pPr>
              <w:pStyle w:val="35"/>
              <w:bidi w:val="0"/>
              <w:rPr>
                <w:rFonts w:ascii="Times New Roman" w:hAnsi="Times New Roman" w:cs="Times New Roman"/>
                <w:color w:val="auto"/>
                <w:u w:val="single"/>
              </w:rPr>
            </w:pPr>
            <w:r>
              <w:rPr>
                <w:rFonts w:ascii="Times New Roman" w:hAnsi="Times New Roman" w:cs="Times New Roman"/>
                <w:color w:val="auto"/>
                <w:u w:val="single"/>
              </w:rPr>
              <w:t>5</w:t>
            </w:r>
          </w:p>
        </w:tc>
        <w:tc>
          <w:tcPr>
            <w:tcW w:w="652" w:type="pct"/>
            <w:noWrap w:val="0"/>
            <w:vAlign w:val="center"/>
          </w:tcPr>
          <w:p>
            <w:pPr>
              <w:pStyle w:val="35"/>
              <w:bidi w:val="0"/>
              <w:rPr>
                <w:rFonts w:ascii="Times New Roman" w:hAnsi="Times New Roman" w:cs="Times New Roman"/>
                <w:color w:val="auto"/>
                <w:u w:val="single"/>
              </w:rPr>
            </w:pPr>
            <w:r>
              <w:rPr>
                <w:rFonts w:ascii="Times New Roman" w:hAnsi="Times New Roman" w:cs="Times New Roman"/>
                <w:color w:val="auto"/>
                <w:u w:val="single"/>
              </w:rPr>
              <w:t>85</w:t>
            </w:r>
          </w:p>
        </w:tc>
        <w:tc>
          <w:tcPr>
            <w:tcW w:w="994" w:type="pct"/>
            <w:vMerge w:val="continue"/>
            <w:noWrap w:val="0"/>
            <w:vAlign w:val="center"/>
          </w:tcPr>
          <w:p>
            <w:pPr>
              <w:pStyle w:val="35"/>
              <w:bidi w:val="0"/>
              <w:rPr>
                <w:rFonts w:ascii="Times New Roman" w:hAnsi="Times New Roman" w:cs="Times New Roman"/>
                <w:color w:val="auto"/>
                <w:u w:val="single"/>
              </w:rPr>
            </w:pPr>
          </w:p>
        </w:tc>
        <w:tc>
          <w:tcPr>
            <w:tcW w:w="1626" w:type="pct"/>
            <w:noWrap w:val="0"/>
            <w:vAlign w:val="center"/>
          </w:tcPr>
          <w:p>
            <w:pPr>
              <w:pStyle w:val="35"/>
              <w:bidi w:val="0"/>
              <w:rPr>
                <w:rFonts w:ascii="Times New Roman" w:hAnsi="Times New Roman" w:cs="Times New Roman"/>
                <w:color w:val="auto"/>
                <w:u w:val="single"/>
              </w:rPr>
            </w:pPr>
            <w:r>
              <w:rPr>
                <w:rFonts w:ascii="Times New Roman" w:hAnsi="Times New Roman" w:cs="Times New Roman"/>
                <w:color w:val="auto"/>
                <w:u w:val="singl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1026" w:type="pct"/>
            <w:noWrap w:val="0"/>
            <w:vAlign w:val="center"/>
          </w:tcPr>
          <w:p>
            <w:pPr>
              <w:pStyle w:val="35"/>
              <w:bidi w:val="0"/>
              <w:rPr>
                <w:rFonts w:ascii="Times New Roman" w:hAnsi="Times New Roman" w:cs="Times New Roman"/>
                <w:color w:val="auto"/>
                <w:u w:val="single"/>
              </w:rPr>
            </w:pPr>
            <w:r>
              <w:rPr>
                <w:rFonts w:ascii="Times New Roman" w:hAnsi="Times New Roman" w:cs="Times New Roman"/>
                <w:color w:val="auto"/>
                <w:u w:val="single"/>
              </w:rPr>
              <w:t>风机</w:t>
            </w:r>
          </w:p>
        </w:tc>
        <w:tc>
          <w:tcPr>
            <w:tcW w:w="700" w:type="pct"/>
            <w:noWrap w:val="0"/>
            <w:vAlign w:val="center"/>
          </w:tcPr>
          <w:p>
            <w:pPr>
              <w:pStyle w:val="35"/>
              <w:bidi w:val="0"/>
              <w:rPr>
                <w:rFonts w:hint="eastAsia"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2</w:t>
            </w:r>
          </w:p>
        </w:tc>
        <w:tc>
          <w:tcPr>
            <w:tcW w:w="652" w:type="pct"/>
            <w:noWrap w:val="0"/>
            <w:vAlign w:val="center"/>
          </w:tcPr>
          <w:p>
            <w:pPr>
              <w:pStyle w:val="35"/>
              <w:bidi w:val="0"/>
              <w:rPr>
                <w:rFonts w:ascii="Times New Roman" w:hAnsi="Times New Roman" w:cs="Times New Roman"/>
                <w:color w:val="auto"/>
                <w:u w:val="single"/>
              </w:rPr>
            </w:pPr>
            <w:r>
              <w:rPr>
                <w:rFonts w:ascii="Times New Roman" w:hAnsi="Times New Roman" w:cs="Times New Roman"/>
                <w:color w:val="auto"/>
                <w:u w:val="single"/>
              </w:rPr>
              <w:t>95</w:t>
            </w:r>
          </w:p>
        </w:tc>
        <w:tc>
          <w:tcPr>
            <w:tcW w:w="994" w:type="pct"/>
            <w:vMerge w:val="continue"/>
            <w:noWrap w:val="0"/>
            <w:vAlign w:val="center"/>
          </w:tcPr>
          <w:p>
            <w:pPr>
              <w:pStyle w:val="35"/>
              <w:bidi w:val="0"/>
              <w:rPr>
                <w:rFonts w:ascii="Times New Roman" w:hAnsi="Times New Roman" w:cs="Times New Roman"/>
                <w:color w:val="auto"/>
                <w:u w:val="single"/>
              </w:rPr>
            </w:pPr>
          </w:p>
        </w:tc>
        <w:tc>
          <w:tcPr>
            <w:tcW w:w="1626" w:type="pct"/>
            <w:noWrap w:val="0"/>
            <w:vAlign w:val="center"/>
          </w:tcPr>
          <w:p>
            <w:pPr>
              <w:pStyle w:val="35"/>
              <w:bidi w:val="0"/>
              <w:rPr>
                <w:rFonts w:ascii="Times New Roman" w:hAnsi="Times New Roman" w:cs="Times New Roman"/>
                <w:color w:val="auto"/>
                <w:u w:val="single"/>
              </w:rPr>
            </w:pPr>
            <w:r>
              <w:rPr>
                <w:rFonts w:ascii="Times New Roman" w:hAnsi="Times New Roman" w:cs="Times New Roman"/>
                <w:color w:val="auto"/>
                <w:u w:val="single"/>
              </w:rPr>
              <w:t>75</w:t>
            </w:r>
          </w:p>
        </w:tc>
      </w:tr>
    </w:tbl>
    <w:p>
      <w:pPr>
        <w:pStyle w:val="33"/>
        <w:ind w:firstLine="482"/>
        <w:rPr>
          <w:b/>
          <w:bCs/>
          <w:color w:val="auto"/>
          <w:u w:val="single"/>
        </w:rPr>
      </w:pPr>
      <w:r>
        <w:rPr>
          <w:b/>
          <w:bCs/>
          <w:color w:val="auto"/>
          <w:u w:val="single"/>
        </w:rPr>
        <w:t>②预测计算结果</w:t>
      </w:r>
    </w:p>
    <w:p>
      <w:pPr>
        <w:pStyle w:val="33"/>
        <w:ind w:firstLine="480"/>
        <w:rPr>
          <w:color w:val="auto"/>
          <w:u w:val="single"/>
        </w:rPr>
      </w:pPr>
      <w:r>
        <w:rPr>
          <w:color w:val="auto"/>
          <w:u w:val="single"/>
        </w:rPr>
        <w:t>上述产噪设备分别位于生</w:t>
      </w:r>
      <w:r>
        <w:rPr>
          <w:rFonts w:hint="eastAsia"/>
          <w:color w:val="auto"/>
          <w:u w:val="single"/>
        </w:rPr>
        <w:t>产</w:t>
      </w:r>
      <w:r>
        <w:rPr>
          <w:color w:val="auto"/>
          <w:u w:val="single"/>
        </w:rPr>
        <w:t>车间、泵房</w:t>
      </w:r>
      <w:r>
        <w:rPr>
          <w:rFonts w:hint="eastAsia"/>
          <w:color w:val="auto"/>
          <w:u w:val="single"/>
        </w:rPr>
        <w:t>、</w:t>
      </w:r>
      <w:r>
        <w:rPr>
          <w:color w:val="auto"/>
          <w:u w:val="single"/>
        </w:rPr>
        <w:t>公用工程</w:t>
      </w:r>
      <w:r>
        <w:rPr>
          <w:rFonts w:hint="eastAsia"/>
          <w:color w:val="auto"/>
          <w:u w:val="single"/>
        </w:rPr>
        <w:t>房</w:t>
      </w:r>
      <w:r>
        <w:rPr>
          <w:color w:val="auto"/>
          <w:u w:val="single"/>
        </w:rPr>
        <w:t>，可</w:t>
      </w:r>
      <w:r>
        <w:rPr>
          <w:rFonts w:hint="eastAsia"/>
          <w:color w:val="auto"/>
          <w:u w:val="single"/>
        </w:rPr>
        <w:t>分别</w:t>
      </w:r>
      <w:r>
        <w:rPr>
          <w:color w:val="auto"/>
          <w:u w:val="single"/>
        </w:rPr>
        <w:t>将上生</w:t>
      </w:r>
      <w:r>
        <w:rPr>
          <w:rFonts w:hint="eastAsia"/>
          <w:color w:val="auto"/>
          <w:u w:val="single"/>
        </w:rPr>
        <w:t>产</w:t>
      </w:r>
      <w:r>
        <w:rPr>
          <w:color w:val="auto"/>
          <w:u w:val="single"/>
        </w:rPr>
        <w:t>车间、泵房</w:t>
      </w:r>
      <w:r>
        <w:rPr>
          <w:rFonts w:hint="eastAsia"/>
          <w:color w:val="auto"/>
          <w:u w:val="single"/>
        </w:rPr>
        <w:t>、</w:t>
      </w:r>
      <w:r>
        <w:rPr>
          <w:color w:val="auto"/>
          <w:u w:val="single"/>
        </w:rPr>
        <w:t>公用工程</w:t>
      </w:r>
      <w:r>
        <w:rPr>
          <w:rFonts w:hint="eastAsia"/>
          <w:color w:val="auto"/>
          <w:u w:val="single"/>
        </w:rPr>
        <w:t>房</w:t>
      </w:r>
      <w:r>
        <w:rPr>
          <w:color w:val="auto"/>
          <w:u w:val="single"/>
        </w:rPr>
        <w:t>简化为一个点声源。评价区内厂界噪预测值如表</w:t>
      </w:r>
      <w:r>
        <w:rPr>
          <w:rFonts w:hint="eastAsia"/>
          <w:color w:val="auto"/>
          <w:u w:val="single"/>
          <w:lang w:val="en-US" w:eastAsia="zh-CN"/>
        </w:rPr>
        <w:t>7</w:t>
      </w:r>
      <w:r>
        <w:rPr>
          <w:color w:val="auto"/>
          <w:u w:val="single"/>
        </w:rPr>
        <w:t>.</w:t>
      </w:r>
      <w:r>
        <w:rPr>
          <w:rFonts w:hint="eastAsia"/>
          <w:color w:val="auto"/>
          <w:u w:val="single"/>
          <w:lang w:val="en-US" w:eastAsia="zh-CN"/>
        </w:rPr>
        <w:t>4-2</w:t>
      </w:r>
      <w:r>
        <w:rPr>
          <w:color w:val="auto"/>
          <w:u w:val="single"/>
        </w:rPr>
        <w:t>所示。</w:t>
      </w:r>
    </w:p>
    <w:p>
      <w:pPr>
        <w:pStyle w:val="36"/>
        <w:rPr>
          <w:color w:val="auto"/>
          <w:u w:val="single"/>
        </w:rPr>
      </w:pPr>
      <w:r>
        <w:rPr>
          <w:color w:val="auto"/>
          <w:u w:val="single"/>
        </w:rPr>
        <w:t>表</w:t>
      </w:r>
      <w:r>
        <w:rPr>
          <w:rFonts w:hint="eastAsia"/>
          <w:color w:val="auto"/>
          <w:u w:val="single"/>
          <w:lang w:val="en-US" w:eastAsia="zh-CN"/>
        </w:rPr>
        <w:t>7</w:t>
      </w:r>
      <w:r>
        <w:rPr>
          <w:rFonts w:hint="eastAsia"/>
          <w:color w:val="auto"/>
          <w:u w:val="single"/>
        </w:rPr>
        <w:t>.</w:t>
      </w:r>
      <w:r>
        <w:rPr>
          <w:rFonts w:hint="eastAsia"/>
          <w:color w:val="auto"/>
          <w:u w:val="single"/>
          <w:lang w:val="en-US" w:eastAsia="zh-CN"/>
        </w:rPr>
        <w:t>4</w:t>
      </w:r>
      <w:r>
        <w:rPr>
          <w:color w:val="auto"/>
          <w:u w:val="single"/>
        </w:rPr>
        <w:t>-</w:t>
      </w:r>
      <w:r>
        <w:rPr>
          <w:rFonts w:hint="eastAsia"/>
          <w:color w:val="auto"/>
          <w:u w:val="single"/>
          <w:lang w:val="en-US" w:eastAsia="zh-CN"/>
        </w:rPr>
        <w:t>2</w:t>
      </w:r>
      <w:r>
        <w:rPr>
          <w:color w:val="auto"/>
          <w:u w:val="single"/>
        </w:rPr>
        <w:t xml:space="preserve"> 项目厂界环境噪声值预测值 dB（A）</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1799"/>
        <w:gridCol w:w="1106"/>
        <w:gridCol w:w="1644"/>
        <w:gridCol w:w="910"/>
        <w:gridCol w:w="910"/>
        <w:gridCol w:w="910"/>
        <w:gridCol w:w="8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7" w:hRule="atLeast"/>
          <w:jc w:val="center"/>
        </w:trPr>
        <w:tc>
          <w:tcPr>
            <w:tcW w:w="713" w:type="pct"/>
            <w:vMerge w:val="restart"/>
            <w:tcBorders>
              <w:tl2br w:val="nil"/>
              <w:tr2bl w:val="nil"/>
            </w:tcBorders>
            <w:noWrap w:val="0"/>
            <w:vAlign w:val="center"/>
          </w:tcPr>
          <w:p>
            <w:pPr>
              <w:pStyle w:val="35"/>
              <w:rPr>
                <w:color w:val="auto"/>
                <w:u w:val="single"/>
              </w:rPr>
            </w:pPr>
            <w:r>
              <w:rPr>
                <w:rFonts w:hint="eastAsia"/>
                <w:color w:val="auto"/>
                <w:u w:val="single"/>
              </w:rPr>
              <w:t>噪声源</w:t>
            </w:r>
          </w:p>
        </w:tc>
        <w:tc>
          <w:tcPr>
            <w:tcW w:w="946" w:type="pct"/>
            <w:vMerge w:val="restart"/>
            <w:tcBorders>
              <w:tl2br w:val="nil"/>
              <w:tr2bl w:val="nil"/>
            </w:tcBorders>
            <w:noWrap w:val="0"/>
            <w:vAlign w:val="center"/>
          </w:tcPr>
          <w:p>
            <w:pPr>
              <w:pStyle w:val="35"/>
              <w:rPr>
                <w:color w:val="auto"/>
                <w:u w:val="single"/>
              </w:rPr>
            </w:pPr>
            <w:r>
              <w:rPr>
                <w:rFonts w:hint="eastAsia"/>
                <w:color w:val="auto"/>
                <w:u w:val="single"/>
              </w:rPr>
              <w:t>噪声源强</w:t>
            </w:r>
          </w:p>
          <w:p>
            <w:pPr>
              <w:pStyle w:val="35"/>
              <w:rPr>
                <w:color w:val="auto"/>
                <w:u w:val="single"/>
              </w:rPr>
            </w:pPr>
            <w:r>
              <w:rPr>
                <w:color w:val="auto"/>
                <w:u w:val="single"/>
              </w:rPr>
              <w:t>dB（A）</w:t>
            </w:r>
          </w:p>
        </w:tc>
        <w:tc>
          <w:tcPr>
            <w:tcW w:w="1445" w:type="pct"/>
            <w:gridSpan w:val="2"/>
            <w:vMerge w:val="restart"/>
            <w:tcBorders>
              <w:tl2br w:val="nil"/>
              <w:tr2bl w:val="nil"/>
            </w:tcBorders>
            <w:noWrap w:val="0"/>
            <w:vAlign w:val="center"/>
          </w:tcPr>
          <w:p>
            <w:pPr>
              <w:pStyle w:val="35"/>
              <w:rPr>
                <w:color w:val="auto"/>
                <w:u w:val="single"/>
              </w:rPr>
            </w:pPr>
            <w:r>
              <w:rPr>
                <w:rFonts w:hint="eastAsia"/>
                <w:color w:val="auto"/>
                <w:u w:val="single"/>
              </w:rPr>
              <w:t>隔声后噪声值</w:t>
            </w:r>
          </w:p>
          <w:p>
            <w:pPr>
              <w:pStyle w:val="35"/>
              <w:rPr>
                <w:color w:val="auto"/>
                <w:u w:val="single"/>
              </w:rPr>
            </w:pPr>
            <w:r>
              <w:rPr>
                <w:color w:val="auto"/>
                <w:u w:val="single"/>
              </w:rPr>
              <w:t>dB（A）</w:t>
            </w:r>
          </w:p>
        </w:tc>
        <w:tc>
          <w:tcPr>
            <w:tcW w:w="1894" w:type="pct"/>
            <w:gridSpan w:val="4"/>
            <w:tcBorders>
              <w:tl2br w:val="nil"/>
              <w:tr2bl w:val="nil"/>
            </w:tcBorders>
            <w:noWrap w:val="0"/>
            <w:vAlign w:val="center"/>
          </w:tcPr>
          <w:p>
            <w:pPr>
              <w:pStyle w:val="35"/>
              <w:rPr>
                <w:color w:val="auto"/>
                <w:u w:val="single"/>
              </w:rPr>
            </w:pPr>
            <w:r>
              <w:rPr>
                <w:rFonts w:hint="eastAsia"/>
                <w:color w:val="auto"/>
                <w:u w:val="single"/>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7" w:hRule="atLeast"/>
          <w:jc w:val="center"/>
        </w:trPr>
        <w:tc>
          <w:tcPr>
            <w:tcW w:w="713" w:type="pct"/>
            <w:vMerge w:val="continue"/>
            <w:tcBorders>
              <w:tl2br w:val="nil"/>
              <w:tr2bl w:val="nil"/>
            </w:tcBorders>
            <w:noWrap w:val="0"/>
            <w:vAlign w:val="center"/>
          </w:tcPr>
          <w:p>
            <w:pPr>
              <w:pStyle w:val="35"/>
              <w:rPr>
                <w:color w:val="auto"/>
                <w:u w:val="single"/>
              </w:rPr>
            </w:pPr>
          </w:p>
        </w:tc>
        <w:tc>
          <w:tcPr>
            <w:tcW w:w="946" w:type="pct"/>
            <w:vMerge w:val="continue"/>
            <w:tcBorders>
              <w:tl2br w:val="nil"/>
              <w:tr2bl w:val="nil"/>
            </w:tcBorders>
            <w:noWrap w:val="0"/>
            <w:vAlign w:val="center"/>
          </w:tcPr>
          <w:p>
            <w:pPr>
              <w:pStyle w:val="35"/>
              <w:rPr>
                <w:color w:val="auto"/>
                <w:u w:val="single"/>
              </w:rPr>
            </w:pPr>
          </w:p>
        </w:tc>
        <w:tc>
          <w:tcPr>
            <w:tcW w:w="1445" w:type="pct"/>
            <w:gridSpan w:val="2"/>
            <w:vMerge w:val="continue"/>
            <w:tcBorders>
              <w:tl2br w:val="nil"/>
              <w:tr2bl w:val="nil"/>
            </w:tcBorders>
            <w:noWrap w:val="0"/>
            <w:vAlign w:val="center"/>
          </w:tcPr>
          <w:p>
            <w:pPr>
              <w:pStyle w:val="35"/>
              <w:rPr>
                <w:color w:val="auto"/>
                <w:u w:val="single"/>
              </w:rPr>
            </w:pPr>
          </w:p>
        </w:tc>
        <w:tc>
          <w:tcPr>
            <w:tcW w:w="478" w:type="pct"/>
            <w:tcBorders>
              <w:tl2br w:val="nil"/>
              <w:tr2bl w:val="nil"/>
            </w:tcBorders>
            <w:noWrap w:val="0"/>
            <w:vAlign w:val="center"/>
          </w:tcPr>
          <w:p>
            <w:pPr>
              <w:pStyle w:val="35"/>
              <w:rPr>
                <w:color w:val="auto"/>
                <w:u w:val="single"/>
              </w:rPr>
            </w:pPr>
            <w:r>
              <w:rPr>
                <w:rFonts w:hint="eastAsia"/>
                <w:color w:val="auto"/>
                <w:u w:val="single"/>
              </w:rPr>
              <w:t>东</w:t>
            </w:r>
          </w:p>
        </w:tc>
        <w:tc>
          <w:tcPr>
            <w:tcW w:w="478" w:type="pct"/>
            <w:tcBorders>
              <w:tl2br w:val="nil"/>
              <w:tr2bl w:val="nil"/>
            </w:tcBorders>
            <w:noWrap w:val="0"/>
            <w:vAlign w:val="center"/>
          </w:tcPr>
          <w:p>
            <w:pPr>
              <w:pStyle w:val="35"/>
              <w:rPr>
                <w:color w:val="auto"/>
                <w:u w:val="single"/>
              </w:rPr>
            </w:pPr>
            <w:r>
              <w:rPr>
                <w:rFonts w:hint="eastAsia"/>
                <w:color w:val="auto"/>
                <w:u w:val="single"/>
              </w:rPr>
              <w:t>南</w:t>
            </w:r>
          </w:p>
        </w:tc>
        <w:tc>
          <w:tcPr>
            <w:tcW w:w="478" w:type="pct"/>
            <w:tcBorders>
              <w:tl2br w:val="nil"/>
              <w:tr2bl w:val="nil"/>
            </w:tcBorders>
            <w:noWrap w:val="0"/>
            <w:vAlign w:val="center"/>
          </w:tcPr>
          <w:p>
            <w:pPr>
              <w:pStyle w:val="35"/>
              <w:rPr>
                <w:color w:val="auto"/>
                <w:u w:val="single"/>
              </w:rPr>
            </w:pPr>
            <w:r>
              <w:rPr>
                <w:rFonts w:hint="eastAsia"/>
                <w:color w:val="auto"/>
                <w:u w:val="single"/>
              </w:rPr>
              <w:t>西</w:t>
            </w:r>
          </w:p>
        </w:tc>
        <w:tc>
          <w:tcPr>
            <w:tcW w:w="459" w:type="pct"/>
            <w:tcBorders>
              <w:tl2br w:val="nil"/>
              <w:tr2bl w:val="nil"/>
            </w:tcBorders>
            <w:noWrap w:val="0"/>
            <w:vAlign w:val="center"/>
          </w:tcPr>
          <w:p>
            <w:pPr>
              <w:pStyle w:val="35"/>
              <w:rPr>
                <w:color w:val="auto"/>
                <w:u w:val="single"/>
              </w:rPr>
            </w:pPr>
            <w:r>
              <w:rPr>
                <w:rFonts w:hint="eastAsia"/>
                <w:color w:val="auto"/>
                <w:u w:val="single"/>
              </w:rPr>
              <w:t>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713" w:type="pct"/>
            <w:vMerge w:val="restart"/>
            <w:tcBorders>
              <w:tl2br w:val="nil"/>
              <w:tr2bl w:val="nil"/>
            </w:tcBorders>
            <w:noWrap w:val="0"/>
            <w:vAlign w:val="center"/>
          </w:tcPr>
          <w:p>
            <w:pPr>
              <w:pStyle w:val="35"/>
              <w:rPr>
                <w:color w:val="auto"/>
                <w:u w:val="single"/>
              </w:rPr>
            </w:pPr>
            <w:r>
              <w:rPr>
                <w:rFonts w:hint="eastAsia"/>
                <w:color w:val="auto"/>
                <w:u w:val="single"/>
              </w:rPr>
              <w:t>生产车间</w:t>
            </w:r>
          </w:p>
        </w:tc>
        <w:tc>
          <w:tcPr>
            <w:tcW w:w="1614" w:type="dxa"/>
            <w:vMerge w:val="restart"/>
            <w:tcBorders>
              <w:tl2br w:val="nil"/>
              <w:tr2bl w:val="nil"/>
            </w:tcBorders>
            <w:noWrap w:val="0"/>
            <w:vAlign w:val="center"/>
          </w:tcPr>
          <w:p>
            <w:pPr>
              <w:pStyle w:val="35"/>
              <w:bidi w:val="0"/>
              <w:ind w:firstLine="0" w:firstLineChars="0"/>
              <w:rPr>
                <w:rFonts w:hint="default" w:eastAsia="宋体"/>
                <w:color w:val="auto"/>
                <w:u w:val="single"/>
                <w:lang w:val="en-US" w:eastAsia="zh-CN"/>
              </w:rPr>
            </w:pPr>
            <w:r>
              <w:rPr>
                <w:rFonts w:hint="eastAsia" w:ascii="Times New Roman" w:hAnsi="Times New Roman" w:cs="Times New Roman"/>
                <w:color w:val="auto"/>
                <w:u w:val="single"/>
                <w:lang w:val="en-US" w:eastAsia="zh-CN"/>
              </w:rPr>
              <w:t>70</w:t>
            </w:r>
          </w:p>
        </w:tc>
        <w:tc>
          <w:tcPr>
            <w:tcW w:w="581" w:type="pct"/>
            <w:vMerge w:val="restar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60</w:t>
            </w:r>
          </w:p>
        </w:tc>
        <w:tc>
          <w:tcPr>
            <w:tcW w:w="864" w:type="pct"/>
            <w:tcBorders>
              <w:tl2br w:val="nil"/>
              <w:tr2bl w:val="nil"/>
            </w:tcBorders>
            <w:noWrap w:val="0"/>
            <w:vAlign w:val="center"/>
          </w:tcPr>
          <w:p>
            <w:pPr>
              <w:pStyle w:val="35"/>
              <w:rPr>
                <w:color w:val="auto"/>
                <w:u w:val="single"/>
              </w:rPr>
            </w:pPr>
            <w:r>
              <w:rPr>
                <w:rFonts w:hint="eastAsia"/>
                <w:color w:val="auto"/>
                <w:u w:val="single"/>
              </w:rPr>
              <w:t>距离</w:t>
            </w:r>
          </w:p>
        </w:tc>
        <w:tc>
          <w:tcPr>
            <w:tcW w:w="478"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40</w:t>
            </w:r>
          </w:p>
        </w:tc>
        <w:tc>
          <w:tcPr>
            <w:tcW w:w="478"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70</w:t>
            </w:r>
          </w:p>
        </w:tc>
        <w:tc>
          <w:tcPr>
            <w:tcW w:w="478" w:type="pct"/>
            <w:tcBorders>
              <w:tl2br w:val="nil"/>
              <w:tr2bl w:val="nil"/>
            </w:tcBorders>
            <w:noWrap w:val="0"/>
            <w:vAlign w:val="center"/>
          </w:tcPr>
          <w:p>
            <w:pPr>
              <w:pStyle w:val="35"/>
              <w:rPr>
                <w:color w:val="auto"/>
                <w:u w:val="single"/>
              </w:rPr>
            </w:pPr>
            <w:r>
              <w:rPr>
                <w:rFonts w:hint="eastAsia"/>
                <w:color w:val="auto"/>
                <w:u w:val="single"/>
              </w:rPr>
              <w:t>24</w:t>
            </w:r>
          </w:p>
        </w:tc>
        <w:tc>
          <w:tcPr>
            <w:tcW w:w="459"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80</w:t>
            </w:r>
          </w:p>
        </w:tc>
      </w:tr>
      <w:tr>
        <w:trPr>
          <w:trHeight w:val="267" w:hRule="atLeast"/>
          <w:jc w:val="center"/>
        </w:trPr>
        <w:tc>
          <w:tcPr>
            <w:tcW w:w="713" w:type="pct"/>
            <w:vMerge w:val="continue"/>
            <w:tcBorders>
              <w:tl2br w:val="nil"/>
              <w:tr2bl w:val="nil"/>
            </w:tcBorders>
            <w:noWrap w:val="0"/>
            <w:vAlign w:val="center"/>
          </w:tcPr>
          <w:p>
            <w:pPr>
              <w:pStyle w:val="35"/>
              <w:rPr>
                <w:color w:val="auto"/>
                <w:u w:val="single"/>
              </w:rPr>
            </w:pPr>
          </w:p>
        </w:tc>
        <w:tc>
          <w:tcPr>
            <w:tcW w:w="946" w:type="pct"/>
            <w:vMerge w:val="continue"/>
            <w:tcBorders>
              <w:tl2br w:val="nil"/>
              <w:tr2bl w:val="nil"/>
            </w:tcBorders>
            <w:noWrap w:val="0"/>
            <w:vAlign w:val="center"/>
          </w:tcPr>
          <w:p>
            <w:pPr>
              <w:pStyle w:val="35"/>
              <w:rPr>
                <w:color w:val="auto"/>
                <w:u w:val="single"/>
              </w:rPr>
            </w:pPr>
          </w:p>
        </w:tc>
        <w:tc>
          <w:tcPr>
            <w:tcW w:w="581" w:type="pct"/>
            <w:vMerge w:val="continue"/>
            <w:tcBorders>
              <w:tl2br w:val="nil"/>
              <w:tr2bl w:val="nil"/>
            </w:tcBorders>
            <w:noWrap w:val="0"/>
            <w:vAlign w:val="center"/>
          </w:tcPr>
          <w:p>
            <w:pPr>
              <w:pStyle w:val="35"/>
              <w:rPr>
                <w:color w:val="auto"/>
                <w:u w:val="single"/>
              </w:rPr>
            </w:pPr>
          </w:p>
        </w:tc>
        <w:tc>
          <w:tcPr>
            <w:tcW w:w="864" w:type="pct"/>
            <w:tcBorders>
              <w:tl2br w:val="nil"/>
              <w:tr2bl w:val="nil"/>
            </w:tcBorders>
            <w:noWrap w:val="0"/>
            <w:vAlign w:val="center"/>
          </w:tcPr>
          <w:p>
            <w:pPr>
              <w:pStyle w:val="35"/>
              <w:rPr>
                <w:color w:val="auto"/>
                <w:u w:val="single"/>
              </w:rPr>
            </w:pPr>
            <w:r>
              <w:rPr>
                <w:rFonts w:hint="eastAsia"/>
                <w:color w:val="auto"/>
                <w:u w:val="single"/>
              </w:rPr>
              <w:t>贡献值</w:t>
            </w:r>
          </w:p>
        </w:tc>
        <w:tc>
          <w:tcPr>
            <w:tcW w:w="478"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27.9</w:t>
            </w:r>
          </w:p>
        </w:tc>
        <w:tc>
          <w:tcPr>
            <w:tcW w:w="478"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23.1</w:t>
            </w:r>
          </w:p>
        </w:tc>
        <w:tc>
          <w:tcPr>
            <w:tcW w:w="478" w:type="pct"/>
            <w:tcBorders>
              <w:tl2br w:val="nil"/>
              <w:tr2bl w:val="nil"/>
            </w:tcBorders>
            <w:noWrap w:val="0"/>
            <w:vAlign w:val="center"/>
          </w:tcPr>
          <w:p>
            <w:pPr>
              <w:pStyle w:val="35"/>
              <w:rPr>
                <w:color w:val="auto"/>
                <w:u w:val="single"/>
              </w:rPr>
            </w:pPr>
            <w:r>
              <w:rPr>
                <w:rFonts w:hint="eastAsia"/>
                <w:color w:val="auto"/>
                <w:u w:val="single"/>
              </w:rPr>
              <w:t>33.5</w:t>
            </w:r>
          </w:p>
        </w:tc>
        <w:tc>
          <w:tcPr>
            <w:tcW w:w="459" w:type="pct"/>
            <w:tcBorders>
              <w:tl2br w:val="nil"/>
              <w:tr2bl w:val="nil"/>
            </w:tcBorders>
            <w:noWrap w:val="0"/>
            <w:vAlign w:val="center"/>
          </w:tcPr>
          <w:p>
            <w:pPr>
              <w:pStyle w:val="35"/>
              <w:rPr>
                <w:color w:val="auto"/>
                <w:u w:val="single"/>
              </w:rPr>
            </w:pPr>
            <w:r>
              <w:rPr>
                <w:rFonts w:hint="eastAsia"/>
                <w:color w:val="auto"/>
                <w:u w:val="single"/>
              </w:rPr>
              <w:t>21.9</w:t>
            </w:r>
          </w:p>
        </w:tc>
      </w:tr>
      <w:tr>
        <w:trPr>
          <w:trHeight w:val="403" w:hRule="atLeast"/>
          <w:jc w:val="center"/>
        </w:trPr>
        <w:tc>
          <w:tcPr>
            <w:tcW w:w="713" w:type="pct"/>
            <w:vMerge w:val="restart"/>
            <w:tcBorders>
              <w:tl2br w:val="nil"/>
              <w:tr2bl w:val="nil"/>
            </w:tcBorders>
            <w:noWrap w:val="0"/>
            <w:vAlign w:val="center"/>
          </w:tcPr>
          <w:p>
            <w:pPr>
              <w:pStyle w:val="35"/>
              <w:rPr>
                <w:color w:val="auto"/>
                <w:u w:val="single"/>
              </w:rPr>
            </w:pPr>
            <w:r>
              <w:rPr>
                <w:rFonts w:hint="eastAsia"/>
                <w:color w:val="auto"/>
                <w:u w:val="single"/>
              </w:rPr>
              <w:t>泵房</w:t>
            </w:r>
          </w:p>
        </w:tc>
        <w:tc>
          <w:tcPr>
            <w:tcW w:w="1614" w:type="dxa"/>
            <w:vMerge w:val="restart"/>
            <w:tcBorders>
              <w:tl2br w:val="nil"/>
              <w:tr2bl w:val="nil"/>
            </w:tcBorders>
            <w:noWrap w:val="0"/>
            <w:vAlign w:val="center"/>
          </w:tcPr>
          <w:p>
            <w:pPr>
              <w:pStyle w:val="35"/>
              <w:bidi w:val="0"/>
              <w:ind w:firstLine="0" w:firstLineChars="0"/>
              <w:rPr>
                <w:rFonts w:hint="eastAsia" w:eastAsia="宋体"/>
                <w:color w:val="auto"/>
                <w:u w:val="single"/>
                <w:lang w:eastAsia="zh-CN"/>
              </w:rPr>
            </w:pPr>
            <w:r>
              <w:rPr>
                <w:rFonts w:hint="eastAsia" w:ascii="Times New Roman" w:hAnsi="Times New Roman" w:cs="Times New Roman"/>
                <w:color w:val="auto"/>
                <w:u w:val="single"/>
              </w:rPr>
              <w:t>9</w:t>
            </w:r>
            <w:r>
              <w:rPr>
                <w:rFonts w:hint="eastAsia" w:ascii="Times New Roman" w:hAnsi="Times New Roman" w:cs="Times New Roman"/>
                <w:color w:val="auto"/>
                <w:u w:val="single"/>
                <w:lang w:val="en-US" w:eastAsia="zh-CN"/>
              </w:rPr>
              <w:t>2</w:t>
            </w:r>
          </w:p>
        </w:tc>
        <w:tc>
          <w:tcPr>
            <w:tcW w:w="581" w:type="pct"/>
            <w:vMerge w:val="restar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77</w:t>
            </w:r>
          </w:p>
        </w:tc>
        <w:tc>
          <w:tcPr>
            <w:tcW w:w="864" w:type="pct"/>
            <w:tcBorders>
              <w:tl2br w:val="nil"/>
              <w:tr2bl w:val="nil"/>
            </w:tcBorders>
            <w:noWrap w:val="0"/>
            <w:vAlign w:val="center"/>
          </w:tcPr>
          <w:p>
            <w:pPr>
              <w:pStyle w:val="35"/>
              <w:rPr>
                <w:color w:val="auto"/>
                <w:u w:val="single"/>
              </w:rPr>
            </w:pPr>
            <w:r>
              <w:rPr>
                <w:rFonts w:hint="eastAsia"/>
                <w:color w:val="auto"/>
                <w:u w:val="single"/>
              </w:rPr>
              <w:t>距离</w:t>
            </w:r>
          </w:p>
        </w:tc>
        <w:tc>
          <w:tcPr>
            <w:tcW w:w="478"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20</w:t>
            </w:r>
          </w:p>
        </w:tc>
        <w:tc>
          <w:tcPr>
            <w:tcW w:w="478"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70</w:t>
            </w:r>
          </w:p>
        </w:tc>
        <w:tc>
          <w:tcPr>
            <w:tcW w:w="478"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44</w:t>
            </w:r>
          </w:p>
        </w:tc>
        <w:tc>
          <w:tcPr>
            <w:tcW w:w="459"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80</w:t>
            </w:r>
          </w:p>
        </w:tc>
      </w:tr>
      <w:tr>
        <w:trPr>
          <w:trHeight w:val="403" w:hRule="atLeast"/>
          <w:jc w:val="center"/>
        </w:trPr>
        <w:tc>
          <w:tcPr>
            <w:tcW w:w="713" w:type="pct"/>
            <w:vMerge w:val="continue"/>
            <w:tcBorders>
              <w:tl2br w:val="nil"/>
              <w:tr2bl w:val="nil"/>
            </w:tcBorders>
            <w:noWrap w:val="0"/>
            <w:vAlign w:val="center"/>
          </w:tcPr>
          <w:p>
            <w:pPr>
              <w:pStyle w:val="35"/>
              <w:rPr>
                <w:color w:val="auto"/>
                <w:u w:val="single"/>
              </w:rPr>
            </w:pPr>
          </w:p>
        </w:tc>
        <w:tc>
          <w:tcPr>
            <w:tcW w:w="946" w:type="pct"/>
            <w:vMerge w:val="continue"/>
            <w:tcBorders>
              <w:tl2br w:val="nil"/>
              <w:tr2bl w:val="nil"/>
            </w:tcBorders>
            <w:noWrap w:val="0"/>
            <w:vAlign w:val="center"/>
          </w:tcPr>
          <w:p>
            <w:pPr>
              <w:pStyle w:val="35"/>
              <w:rPr>
                <w:color w:val="auto"/>
                <w:u w:val="single"/>
              </w:rPr>
            </w:pPr>
          </w:p>
        </w:tc>
        <w:tc>
          <w:tcPr>
            <w:tcW w:w="581" w:type="pct"/>
            <w:vMerge w:val="continue"/>
            <w:tcBorders>
              <w:tl2br w:val="nil"/>
              <w:tr2bl w:val="nil"/>
            </w:tcBorders>
            <w:noWrap w:val="0"/>
            <w:vAlign w:val="center"/>
          </w:tcPr>
          <w:p>
            <w:pPr>
              <w:pStyle w:val="35"/>
              <w:rPr>
                <w:color w:val="auto"/>
                <w:u w:val="single"/>
              </w:rPr>
            </w:pPr>
          </w:p>
        </w:tc>
        <w:tc>
          <w:tcPr>
            <w:tcW w:w="864" w:type="pct"/>
            <w:tcBorders>
              <w:tl2br w:val="nil"/>
              <w:tr2bl w:val="nil"/>
            </w:tcBorders>
            <w:noWrap w:val="0"/>
            <w:vAlign w:val="center"/>
          </w:tcPr>
          <w:p>
            <w:pPr>
              <w:pStyle w:val="35"/>
              <w:rPr>
                <w:color w:val="auto"/>
                <w:u w:val="single"/>
              </w:rPr>
            </w:pPr>
            <w:r>
              <w:rPr>
                <w:rFonts w:hint="eastAsia"/>
                <w:color w:val="auto"/>
                <w:u w:val="single"/>
              </w:rPr>
              <w:t>贡献值</w:t>
            </w:r>
          </w:p>
        </w:tc>
        <w:tc>
          <w:tcPr>
            <w:tcW w:w="478" w:type="pct"/>
            <w:tcBorders>
              <w:tl2br w:val="nil"/>
              <w:tr2bl w:val="nil"/>
            </w:tcBorders>
            <w:noWrap w:val="0"/>
            <w:vAlign w:val="center"/>
          </w:tcPr>
          <w:p>
            <w:pPr>
              <w:pStyle w:val="35"/>
              <w:rPr>
                <w:color w:val="auto"/>
                <w:u w:val="single"/>
              </w:rPr>
            </w:pPr>
            <w:r>
              <w:rPr>
                <w:rFonts w:hint="eastAsia"/>
                <w:color w:val="auto"/>
                <w:u w:val="single"/>
              </w:rPr>
              <w:t>51.9</w:t>
            </w:r>
          </w:p>
        </w:tc>
        <w:tc>
          <w:tcPr>
            <w:tcW w:w="478"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41.1</w:t>
            </w:r>
          </w:p>
        </w:tc>
        <w:tc>
          <w:tcPr>
            <w:tcW w:w="478"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45.1</w:t>
            </w:r>
          </w:p>
        </w:tc>
        <w:tc>
          <w:tcPr>
            <w:tcW w:w="459"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39.9</w:t>
            </w:r>
          </w:p>
        </w:tc>
      </w:tr>
      <w:tr>
        <w:trPr>
          <w:trHeight w:val="272" w:hRule="atLeast"/>
          <w:jc w:val="center"/>
        </w:trPr>
        <w:tc>
          <w:tcPr>
            <w:tcW w:w="713" w:type="pct"/>
            <w:vMerge w:val="restart"/>
            <w:tcBorders>
              <w:tl2br w:val="nil"/>
              <w:tr2bl w:val="nil"/>
            </w:tcBorders>
            <w:noWrap w:val="0"/>
            <w:vAlign w:val="center"/>
          </w:tcPr>
          <w:p>
            <w:pPr>
              <w:pStyle w:val="35"/>
              <w:rPr>
                <w:color w:val="auto"/>
                <w:u w:val="single"/>
              </w:rPr>
            </w:pPr>
            <w:r>
              <w:rPr>
                <w:rFonts w:hint="eastAsia"/>
                <w:color w:val="auto"/>
                <w:u w:val="single"/>
              </w:rPr>
              <w:t>公用工程房</w:t>
            </w:r>
          </w:p>
        </w:tc>
        <w:tc>
          <w:tcPr>
            <w:tcW w:w="1614" w:type="dxa"/>
            <w:vMerge w:val="restart"/>
            <w:tcBorders>
              <w:tl2br w:val="nil"/>
              <w:tr2bl w:val="nil"/>
            </w:tcBorders>
            <w:noWrap w:val="0"/>
            <w:vAlign w:val="center"/>
          </w:tcPr>
          <w:p>
            <w:pPr>
              <w:pStyle w:val="35"/>
              <w:bidi w:val="0"/>
              <w:ind w:firstLine="0" w:firstLineChars="0"/>
              <w:rPr>
                <w:color w:val="auto"/>
                <w:u w:val="single"/>
              </w:rPr>
            </w:pPr>
            <w:r>
              <w:rPr>
                <w:rFonts w:hint="eastAsia" w:ascii="Times New Roman" w:hAnsi="Times New Roman" w:cs="Times New Roman"/>
                <w:color w:val="auto"/>
                <w:u w:val="single"/>
              </w:rPr>
              <w:t>98</w:t>
            </w:r>
          </w:p>
        </w:tc>
        <w:tc>
          <w:tcPr>
            <w:tcW w:w="581" w:type="pct"/>
            <w:vMerge w:val="restar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78</w:t>
            </w:r>
          </w:p>
        </w:tc>
        <w:tc>
          <w:tcPr>
            <w:tcW w:w="864" w:type="pct"/>
            <w:tcBorders>
              <w:tl2br w:val="nil"/>
              <w:tr2bl w:val="nil"/>
            </w:tcBorders>
            <w:noWrap w:val="0"/>
            <w:vAlign w:val="center"/>
          </w:tcPr>
          <w:p>
            <w:pPr>
              <w:pStyle w:val="35"/>
              <w:rPr>
                <w:color w:val="auto"/>
                <w:u w:val="single"/>
              </w:rPr>
            </w:pPr>
            <w:r>
              <w:rPr>
                <w:rFonts w:hint="eastAsia"/>
                <w:color w:val="auto"/>
                <w:u w:val="single"/>
              </w:rPr>
              <w:t>距离</w:t>
            </w:r>
          </w:p>
        </w:tc>
        <w:tc>
          <w:tcPr>
            <w:tcW w:w="478"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20</w:t>
            </w:r>
          </w:p>
        </w:tc>
        <w:tc>
          <w:tcPr>
            <w:tcW w:w="478"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140</w:t>
            </w:r>
          </w:p>
        </w:tc>
        <w:tc>
          <w:tcPr>
            <w:tcW w:w="478"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44</w:t>
            </w:r>
          </w:p>
        </w:tc>
        <w:tc>
          <w:tcPr>
            <w:tcW w:w="459"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20</w:t>
            </w:r>
          </w:p>
        </w:tc>
      </w:tr>
      <w:tr>
        <w:trPr>
          <w:trHeight w:val="272" w:hRule="atLeast"/>
          <w:jc w:val="center"/>
        </w:trPr>
        <w:tc>
          <w:tcPr>
            <w:tcW w:w="713" w:type="pct"/>
            <w:vMerge w:val="continue"/>
            <w:tcBorders>
              <w:tl2br w:val="nil"/>
              <w:tr2bl w:val="nil"/>
            </w:tcBorders>
            <w:noWrap w:val="0"/>
            <w:vAlign w:val="center"/>
          </w:tcPr>
          <w:p>
            <w:pPr>
              <w:pStyle w:val="35"/>
              <w:rPr>
                <w:color w:val="auto"/>
                <w:u w:val="single"/>
              </w:rPr>
            </w:pPr>
          </w:p>
        </w:tc>
        <w:tc>
          <w:tcPr>
            <w:tcW w:w="946" w:type="pct"/>
            <w:vMerge w:val="continue"/>
            <w:tcBorders>
              <w:tl2br w:val="nil"/>
              <w:tr2bl w:val="nil"/>
            </w:tcBorders>
            <w:noWrap w:val="0"/>
            <w:vAlign w:val="center"/>
          </w:tcPr>
          <w:p>
            <w:pPr>
              <w:pStyle w:val="35"/>
              <w:rPr>
                <w:color w:val="auto"/>
                <w:u w:val="single"/>
              </w:rPr>
            </w:pPr>
          </w:p>
        </w:tc>
        <w:tc>
          <w:tcPr>
            <w:tcW w:w="581" w:type="pct"/>
            <w:vMerge w:val="continue"/>
            <w:tcBorders>
              <w:tl2br w:val="nil"/>
              <w:tr2bl w:val="nil"/>
            </w:tcBorders>
            <w:noWrap w:val="0"/>
            <w:vAlign w:val="center"/>
          </w:tcPr>
          <w:p>
            <w:pPr>
              <w:pStyle w:val="35"/>
              <w:rPr>
                <w:color w:val="auto"/>
                <w:u w:val="single"/>
              </w:rPr>
            </w:pPr>
          </w:p>
        </w:tc>
        <w:tc>
          <w:tcPr>
            <w:tcW w:w="864" w:type="pct"/>
            <w:tcBorders>
              <w:tl2br w:val="nil"/>
              <w:tr2bl w:val="nil"/>
            </w:tcBorders>
            <w:noWrap w:val="0"/>
            <w:vAlign w:val="center"/>
          </w:tcPr>
          <w:p>
            <w:pPr>
              <w:pStyle w:val="35"/>
              <w:rPr>
                <w:color w:val="auto"/>
                <w:u w:val="single"/>
              </w:rPr>
            </w:pPr>
            <w:r>
              <w:rPr>
                <w:rFonts w:hint="eastAsia"/>
                <w:color w:val="auto"/>
                <w:u w:val="single"/>
              </w:rPr>
              <w:t>贡献值</w:t>
            </w:r>
          </w:p>
        </w:tc>
        <w:tc>
          <w:tcPr>
            <w:tcW w:w="478" w:type="pct"/>
            <w:tcBorders>
              <w:tl2br w:val="nil"/>
              <w:tr2bl w:val="nil"/>
            </w:tcBorders>
            <w:noWrap w:val="0"/>
            <w:vAlign w:val="center"/>
          </w:tcPr>
          <w:p>
            <w:pPr>
              <w:pStyle w:val="35"/>
              <w:rPr>
                <w:color w:val="auto"/>
                <w:u w:val="single"/>
              </w:rPr>
            </w:pPr>
            <w:r>
              <w:rPr>
                <w:rFonts w:hint="eastAsia"/>
                <w:color w:val="auto"/>
                <w:u w:val="single"/>
              </w:rPr>
              <w:t>51.9</w:t>
            </w:r>
          </w:p>
        </w:tc>
        <w:tc>
          <w:tcPr>
            <w:tcW w:w="478" w:type="pct"/>
            <w:tcBorders>
              <w:tl2br w:val="nil"/>
              <w:tr2bl w:val="nil"/>
            </w:tcBorders>
            <w:noWrap w:val="0"/>
            <w:vAlign w:val="center"/>
          </w:tcPr>
          <w:p>
            <w:pPr>
              <w:pStyle w:val="35"/>
              <w:rPr>
                <w:rFonts w:hint="default" w:eastAsia="宋体"/>
                <w:color w:val="auto"/>
                <w:u w:val="single"/>
                <w:lang w:val="en-US" w:eastAsia="zh-CN"/>
              </w:rPr>
            </w:pPr>
            <w:r>
              <w:rPr>
                <w:rFonts w:hint="eastAsia"/>
                <w:color w:val="auto"/>
                <w:u w:val="single"/>
                <w:lang w:val="en-US" w:eastAsia="zh-CN"/>
              </w:rPr>
              <w:t>35.1</w:t>
            </w:r>
          </w:p>
        </w:tc>
        <w:tc>
          <w:tcPr>
            <w:tcW w:w="478" w:type="pct"/>
            <w:tcBorders>
              <w:tl2br w:val="nil"/>
              <w:tr2bl w:val="nil"/>
            </w:tcBorders>
            <w:noWrap w:val="0"/>
            <w:vAlign w:val="center"/>
          </w:tcPr>
          <w:p>
            <w:pPr>
              <w:pStyle w:val="35"/>
              <w:rPr>
                <w:color w:val="auto"/>
                <w:u w:val="single"/>
              </w:rPr>
            </w:pPr>
            <w:r>
              <w:rPr>
                <w:rFonts w:hint="eastAsia"/>
                <w:color w:val="auto"/>
                <w:u w:val="single"/>
              </w:rPr>
              <w:t>45.1</w:t>
            </w:r>
          </w:p>
        </w:tc>
        <w:tc>
          <w:tcPr>
            <w:tcW w:w="459" w:type="pct"/>
            <w:tcBorders>
              <w:tl2br w:val="nil"/>
              <w:tr2bl w:val="nil"/>
            </w:tcBorders>
            <w:noWrap w:val="0"/>
            <w:vAlign w:val="center"/>
          </w:tcPr>
          <w:p>
            <w:pPr>
              <w:pStyle w:val="35"/>
              <w:rPr>
                <w:color w:val="auto"/>
                <w:u w:val="single"/>
              </w:rPr>
            </w:pPr>
            <w:r>
              <w:rPr>
                <w:rFonts w:hint="eastAsia"/>
                <w:color w:val="auto"/>
                <w:u w:val="single"/>
              </w:rPr>
              <w:t>51.9</w:t>
            </w:r>
          </w:p>
        </w:tc>
      </w:tr>
    </w:tbl>
    <w:p>
      <w:pPr>
        <w:pStyle w:val="33"/>
        <w:ind w:firstLine="482"/>
        <w:rPr>
          <w:b/>
          <w:bCs/>
          <w:color w:val="auto"/>
          <w:u w:val="single"/>
        </w:rPr>
      </w:pPr>
      <w:bookmarkStart w:id="199" w:name="_Toc9534"/>
      <w:r>
        <w:rPr>
          <w:b/>
          <w:bCs/>
          <w:color w:val="auto"/>
          <w:u w:val="single"/>
        </w:rPr>
        <w:t>③声环境影响评价结论</w:t>
      </w:r>
    </w:p>
    <w:p>
      <w:pPr>
        <w:pStyle w:val="33"/>
        <w:ind w:firstLine="480"/>
        <w:rPr>
          <w:color w:val="auto"/>
          <w:u w:val="single"/>
        </w:rPr>
      </w:pPr>
      <w:r>
        <w:rPr>
          <w:color w:val="auto"/>
          <w:u w:val="single"/>
        </w:rPr>
        <w:t>根据上表计算结果可知，项目运行期设备运行噪声对厂界环境噪声的贡献值均能满足《工业企业厂界环境噪声排放标准》（GB12348-2008）中的3类标准要求，不会出现厂界环境噪声排放超标的现象，项目运行期对区域声环境质量影响较小。</w:t>
      </w:r>
      <w:bookmarkEnd w:id="199"/>
    </w:p>
    <w:p>
      <w:pPr>
        <w:pStyle w:val="33"/>
        <w:bidi w:val="0"/>
        <w:rPr>
          <w:rFonts w:hint="eastAsia"/>
          <w:color w:val="auto"/>
          <w:u w:val="single"/>
          <w:lang w:val="en-US" w:eastAsia="zh-CN"/>
        </w:rPr>
      </w:pPr>
      <w:r>
        <w:rPr>
          <w:rFonts w:hint="eastAsia"/>
          <w:color w:val="auto"/>
          <w:u w:val="single"/>
          <w:lang w:val="en-US" w:eastAsia="zh-CN"/>
        </w:rPr>
        <w:t>为了更进一步减少噪声对周围环境的影响，要求企业:</w:t>
      </w:r>
    </w:p>
    <w:p>
      <w:pPr>
        <w:pStyle w:val="33"/>
        <w:bidi w:val="0"/>
        <w:rPr>
          <w:rFonts w:hint="eastAsia"/>
          <w:color w:val="auto"/>
          <w:u w:val="single"/>
          <w:lang w:val="en-US" w:eastAsia="zh-CN"/>
        </w:rPr>
      </w:pPr>
      <w:r>
        <w:rPr>
          <w:rFonts w:hint="eastAsia"/>
          <w:color w:val="auto"/>
          <w:u w:val="single"/>
          <w:lang w:val="en-US" w:eastAsia="zh-CN"/>
        </w:rPr>
        <w:t>(1)对设备进行阻尼基础，柔性接头，减少振动，并对车间采取隔音措施。</w:t>
      </w:r>
    </w:p>
    <w:p>
      <w:pPr>
        <w:pStyle w:val="33"/>
        <w:bidi w:val="0"/>
        <w:rPr>
          <w:rFonts w:hint="eastAsia"/>
          <w:color w:val="auto"/>
          <w:u w:val="single"/>
          <w:lang w:val="en-US" w:eastAsia="zh-CN"/>
        </w:rPr>
      </w:pPr>
      <w:r>
        <w:rPr>
          <w:rFonts w:hint="eastAsia"/>
          <w:color w:val="auto"/>
          <w:u w:val="single"/>
          <w:lang w:val="en-US" w:eastAsia="zh-CN"/>
        </w:rPr>
        <w:t>(2)厂区种植降噪能力强的植物，营造绿化带，阻隔声波的传播，减轻噪声对周围环境的影响。</w:t>
      </w:r>
    </w:p>
    <w:p>
      <w:pPr>
        <w:pStyle w:val="31"/>
        <w:bidi w:val="0"/>
        <w:rPr>
          <w:rFonts w:hint="eastAsia"/>
          <w:color w:val="auto"/>
          <w:lang w:val="en-US" w:eastAsia="zh-CN"/>
        </w:rPr>
      </w:pPr>
      <w:bookmarkStart w:id="200" w:name="_Toc11973"/>
      <w:bookmarkStart w:id="201" w:name="_Toc30552"/>
      <w:r>
        <w:rPr>
          <w:rFonts w:hint="eastAsia"/>
          <w:color w:val="auto"/>
          <w:lang w:val="en-US" w:eastAsia="zh-CN"/>
        </w:rPr>
        <w:t>7.5运营期固体废物环境影响分析</w:t>
      </w:r>
      <w:bookmarkEnd w:id="200"/>
      <w:bookmarkEnd w:id="201"/>
    </w:p>
    <w:p>
      <w:pPr>
        <w:pStyle w:val="33"/>
        <w:bidi w:val="0"/>
        <w:rPr>
          <w:rFonts w:hint="eastAsia"/>
          <w:color w:val="auto"/>
          <w:lang w:val="en-US" w:eastAsia="zh-CN"/>
        </w:rPr>
      </w:pPr>
      <w:r>
        <w:rPr>
          <w:rFonts w:hint="eastAsia"/>
          <w:color w:val="auto"/>
          <w:lang w:val="en-US" w:eastAsia="zh-CN"/>
        </w:rPr>
        <w:t>本项目固废的来源、数量及处理处置措施见表7.5-1。</w:t>
      </w:r>
    </w:p>
    <w:p>
      <w:pPr>
        <w:pStyle w:val="36"/>
        <w:bidi w:val="0"/>
        <w:rPr>
          <w:rFonts w:hint="eastAsia"/>
          <w:color w:val="auto"/>
          <w:lang w:val="en-US" w:eastAsia="zh-CN"/>
        </w:rPr>
      </w:pPr>
      <w:r>
        <w:rPr>
          <w:rFonts w:hint="eastAsia"/>
          <w:color w:val="auto"/>
          <w:lang w:val="en-US" w:eastAsia="zh-CN"/>
        </w:rPr>
        <w:t>表7.5-1固废的来源、 数量及处理处置措施一览表单位: t/a</w:t>
      </w:r>
    </w:p>
    <w:tbl>
      <w:tblPr>
        <w:tblStyle w:val="27"/>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995"/>
        <w:gridCol w:w="1335"/>
        <w:gridCol w:w="913"/>
        <w:gridCol w:w="1130"/>
        <w:gridCol w:w="723"/>
        <w:gridCol w:w="968"/>
        <w:gridCol w:w="588"/>
        <w:gridCol w:w="753"/>
        <w:gridCol w:w="1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98" w:type="pct"/>
            <w:tcBorders>
              <w:tl2br w:val="nil"/>
              <w:tr2bl w:val="nil"/>
            </w:tcBorders>
            <w:noWrap w:val="0"/>
            <w:vAlign w:val="center"/>
          </w:tcPr>
          <w:p>
            <w:pPr>
              <w:pStyle w:val="35"/>
              <w:bidi w:val="0"/>
              <w:rPr>
                <w:b/>
                <w:bCs/>
                <w:color w:val="auto"/>
                <w:u w:val="none"/>
              </w:rPr>
            </w:pPr>
            <w:r>
              <w:rPr>
                <w:b/>
                <w:bCs/>
                <w:color w:val="auto"/>
                <w:u w:val="none"/>
              </w:rPr>
              <w:t>危险废物名称</w:t>
            </w:r>
          </w:p>
        </w:tc>
        <w:tc>
          <w:tcPr>
            <w:tcW w:w="523" w:type="pct"/>
            <w:tcBorders>
              <w:tl2br w:val="nil"/>
              <w:tr2bl w:val="nil"/>
            </w:tcBorders>
            <w:noWrap w:val="0"/>
            <w:vAlign w:val="center"/>
          </w:tcPr>
          <w:p>
            <w:pPr>
              <w:pStyle w:val="35"/>
              <w:bidi w:val="0"/>
              <w:rPr>
                <w:b/>
                <w:bCs/>
                <w:color w:val="auto"/>
                <w:u w:val="none"/>
              </w:rPr>
            </w:pPr>
            <w:r>
              <w:rPr>
                <w:b/>
                <w:bCs/>
                <w:color w:val="auto"/>
                <w:u w:val="none"/>
              </w:rPr>
              <w:t>危险废物类别</w:t>
            </w:r>
          </w:p>
        </w:tc>
        <w:tc>
          <w:tcPr>
            <w:tcW w:w="702" w:type="pct"/>
            <w:tcBorders>
              <w:tl2br w:val="nil"/>
              <w:tr2bl w:val="nil"/>
            </w:tcBorders>
            <w:noWrap w:val="0"/>
            <w:vAlign w:val="center"/>
          </w:tcPr>
          <w:p>
            <w:pPr>
              <w:pStyle w:val="35"/>
              <w:bidi w:val="0"/>
              <w:rPr>
                <w:b/>
                <w:bCs/>
                <w:color w:val="auto"/>
                <w:u w:val="none"/>
              </w:rPr>
            </w:pPr>
            <w:r>
              <w:rPr>
                <w:b/>
                <w:bCs/>
                <w:color w:val="auto"/>
                <w:u w:val="none"/>
              </w:rPr>
              <w:t>废物代码</w:t>
            </w:r>
          </w:p>
        </w:tc>
        <w:tc>
          <w:tcPr>
            <w:tcW w:w="480" w:type="pct"/>
            <w:tcBorders>
              <w:tl2br w:val="nil"/>
              <w:tr2bl w:val="nil"/>
            </w:tcBorders>
            <w:noWrap w:val="0"/>
            <w:vAlign w:val="center"/>
          </w:tcPr>
          <w:p>
            <w:pPr>
              <w:pStyle w:val="35"/>
              <w:bidi w:val="0"/>
              <w:rPr>
                <w:b/>
                <w:bCs/>
                <w:color w:val="auto"/>
                <w:u w:val="none"/>
              </w:rPr>
            </w:pPr>
            <w:r>
              <w:rPr>
                <w:b/>
                <w:bCs/>
                <w:color w:val="auto"/>
                <w:u w:val="none"/>
              </w:rPr>
              <w:t>产生量（t/a）</w:t>
            </w:r>
          </w:p>
        </w:tc>
        <w:tc>
          <w:tcPr>
            <w:tcW w:w="594" w:type="pct"/>
            <w:tcBorders>
              <w:tl2br w:val="nil"/>
              <w:tr2bl w:val="nil"/>
            </w:tcBorders>
            <w:noWrap w:val="0"/>
            <w:vAlign w:val="center"/>
          </w:tcPr>
          <w:p>
            <w:pPr>
              <w:pStyle w:val="35"/>
              <w:bidi w:val="0"/>
              <w:rPr>
                <w:b/>
                <w:bCs/>
                <w:color w:val="auto"/>
                <w:u w:val="none"/>
              </w:rPr>
            </w:pPr>
            <w:r>
              <w:rPr>
                <w:b/>
                <w:bCs/>
                <w:color w:val="auto"/>
                <w:u w:val="none"/>
              </w:rPr>
              <w:t>产生工序及装置</w:t>
            </w:r>
          </w:p>
        </w:tc>
        <w:tc>
          <w:tcPr>
            <w:tcW w:w="380" w:type="pct"/>
            <w:tcBorders>
              <w:tl2br w:val="nil"/>
              <w:tr2bl w:val="nil"/>
            </w:tcBorders>
            <w:noWrap w:val="0"/>
            <w:vAlign w:val="center"/>
          </w:tcPr>
          <w:p>
            <w:pPr>
              <w:pStyle w:val="35"/>
              <w:bidi w:val="0"/>
              <w:rPr>
                <w:b/>
                <w:bCs/>
                <w:color w:val="auto"/>
                <w:u w:val="none"/>
              </w:rPr>
            </w:pPr>
            <w:r>
              <w:rPr>
                <w:b/>
                <w:bCs/>
                <w:color w:val="auto"/>
                <w:u w:val="none"/>
              </w:rPr>
              <w:t>形态</w:t>
            </w:r>
          </w:p>
        </w:tc>
        <w:tc>
          <w:tcPr>
            <w:tcW w:w="509" w:type="pct"/>
            <w:tcBorders>
              <w:tl2br w:val="nil"/>
              <w:tr2bl w:val="nil"/>
            </w:tcBorders>
            <w:noWrap w:val="0"/>
            <w:vAlign w:val="center"/>
          </w:tcPr>
          <w:p>
            <w:pPr>
              <w:pStyle w:val="35"/>
              <w:bidi w:val="0"/>
              <w:rPr>
                <w:b/>
                <w:bCs/>
                <w:color w:val="auto"/>
                <w:u w:val="none"/>
              </w:rPr>
            </w:pPr>
            <w:r>
              <w:rPr>
                <w:b/>
                <w:bCs/>
                <w:color w:val="auto"/>
                <w:u w:val="none"/>
              </w:rPr>
              <w:t>主要危险成分</w:t>
            </w:r>
          </w:p>
        </w:tc>
        <w:tc>
          <w:tcPr>
            <w:tcW w:w="309" w:type="pct"/>
            <w:tcBorders>
              <w:tl2br w:val="nil"/>
              <w:tr2bl w:val="nil"/>
            </w:tcBorders>
            <w:noWrap w:val="0"/>
            <w:vAlign w:val="center"/>
          </w:tcPr>
          <w:p>
            <w:pPr>
              <w:pStyle w:val="35"/>
              <w:bidi w:val="0"/>
              <w:rPr>
                <w:b/>
                <w:bCs/>
                <w:color w:val="auto"/>
                <w:u w:val="none"/>
              </w:rPr>
            </w:pPr>
            <w:r>
              <w:rPr>
                <w:b/>
                <w:bCs/>
                <w:color w:val="auto"/>
                <w:u w:val="none"/>
              </w:rPr>
              <w:t>产废周期</w:t>
            </w:r>
          </w:p>
        </w:tc>
        <w:tc>
          <w:tcPr>
            <w:tcW w:w="396" w:type="pct"/>
            <w:tcBorders>
              <w:tl2br w:val="nil"/>
              <w:tr2bl w:val="nil"/>
            </w:tcBorders>
            <w:noWrap w:val="0"/>
            <w:vAlign w:val="center"/>
          </w:tcPr>
          <w:p>
            <w:pPr>
              <w:pStyle w:val="35"/>
              <w:bidi w:val="0"/>
              <w:rPr>
                <w:b/>
                <w:bCs/>
                <w:color w:val="auto"/>
                <w:u w:val="none"/>
              </w:rPr>
            </w:pPr>
            <w:r>
              <w:rPr>
                <w:b/>
                <w:bCs/>
                <w:color w:val="auto"/>
                <w:u w:val="none"/>
              </w:rPr>
              <w:t>危险特性</w:t>
            </w:r>
          </w:p>
        </w:tc>
        <w:tc>
          <w:tcPr>
            <w:tcW w:w="606" w:type="pct"/>
            <w:tcBorders>
              <w:tl2br w:val="nil"/>
              <w:tr2bl w:val="nil"/>
            </w:tcBorders>
            <w:noWrap w:val="0"/>
            <w:vAlign w:val="center"/>
          </w:tcPr>
          <w:p>
            <w:pPr>
              <w:pStyle w:val="35"/>
              <w:bidi w:val="0"/>
              <w:rPr>
                <w:b/>
                <w:bCs/>
                <w:color w:val="auto"/>
                <w:u w:val="none"/>
              </w:rPr>
            </w:pPr>
            <w:r>
              <w:rPr>
                <w:b/>
                <w:bCs/>
                <w:color w:val="auto"/>
                <w:u w:val="none"/>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98" w:type="pct"/>
            <w:tcBorders>
              <w:tl2br w:val="nil"/>
              <w:tr2bl w:val="nil"/>
            </w:tcBorders>
            <w:noWrap w:val="0"/>
            <w:vAlign w:val="center"/>
          </w:tcPr>
          <w:p>
            <w:pPr>
              <w:pStyle w:val="35"/>
              <w:bidi w:val="0"/>
              <w:rPr>
                <w:color w:val="auto"/>
                <w:u w:val="none"/>
              </w:rPr>
            </w:pPr>
            <w:r>
              <w:rPr>
                <w:rFonts w:hint="eastAsia"/>
                <w:color w:val="auto"/>
                <w:u w:val="none"/>
              </w:rPr>
              <w:t>釜残</w:t>
            </w:r>
          </w:p>
        </w:tc>
        <w:tc>
          <w:tcPr>
            <w:tcW w:w="523" w:type="pct"/>
            <w:tcBorders>
              <w:tl2br w:val="nil"/>
              <w:tr2bl w:val="nil"/>
            </w:tcBorders>
            <w:noWrap w:val="0"/>
            <w:vAlign w:val="center"/>
          </w:tcPr>
          <w:p>
            <w:pPr>
              <w:pStyle w:val="35"/>
              <w:bidi w:val="0"/>
              <w:rPr>
                <w:rFonts w:hint="default" w:eastAsia="宋体"/>
                <w:color w:val="auto"/>
                <w:u w:val="none"/>
                <w:lang w:val="en-US" w:eastAsia="zh-CN"/>
              </w:rPr>
            </w:pPr>
            <w:r>
              <w:rPr>
                <w:rFonts w:hint="eastAsia"/>
                <w:color w:val="auto"/>
                <w:u w:val="none"/>
              </w:rPr>
              <w:t>HW</w:t>
            </w:r>
            <w:r>
              <w:rPr>
                <w:rFonts w:hint="eastAsia"/>
                <w:color w:val="auto"/>
                <w:u w:val="none"/>
                <w:lang w:val="en-US" w:eastAsia="zh-CN"/>
              </w:rPr>
              <w:t>11精（蒸）馏残渣</w:t>
            </w:r>
          </w:p>
        </w:tc>
        <w:tc>
          <w:tcPr>
            <w:tcW w:w="702" w:type="pct"/>
            <w:tcBorders>
              <w:tl2br w:val="nil"/>
              <w:tr2bl w:val="nil"/>
            </w:tcBorders>
            <w:noWrap w:val="0"/>
            <w:vAlign w:val="center"/>
          </w:tcPr>
          <w:p>
            <w:pPr>
              <w:pStyle w:val="35"/>
              <w:bidi w:val="0"/>
              <w:rPr>
                <w:rFonts w:hint="default" w:eastAsia="宋体"/>
                <w:color w:val="auto"/>
                <w:u w:val="none"/>
                <w:lang w:val="en-US" w:eastAsia="zh-CN"/>
              </w:rPr>
            </w:pPr>
            <w:r>
              <w:rPr>
                <w:rFonts w:hint="eastAsia"/>
                <w:color w:val="auto"/>
                <w:u w:val="none"/>
              </w:rPr>
              <w:t>900-</w:t>
            </w:r>
            <w:r>
              <w:rPr>
                <w:rFonts w:hint="eastAsia"/>
                <w:color w:val="auto"/>
                <w:u w:val="none"/>
                <w:lang w:val="en-US" w:eastAsia="zh-CN"/>
              </w:rPr>
              <w:t>013</w:t>
            </w:r>
            <w:r>
              <w:rPr>
                <w:rFonts w:hint="eastAsia"/>
                <w:color w:val="auto"/>
                <w:u w:val="none"/>
              </w:rPr>
              <w:t>-</w:t>
            </w:r>
            <w:r>
              <w:rPr>
                <w:rFonts w:hint="eastAsia"/>
                <w:color w:val="auto"/>
                <w:u w:val="none"/>
                <w:lang w:val="en-US" w:eastAsia="zh-CN"/>
              </w:rPr>
              <w:t>11</w:t>
            </w:r>
          </w:p>
        </w:tc>
        <w:tc>
          <w:tcPr>
            <w:tcW w:w="480" w:type="pct"/>
            <w:tcBorders>
              <w:tl2br w:val="nil"/>
              <w:tr2bl w:val="nil"/>
            </w:tcBorders>
            <w:noWrap w:val="0"/>
            <w:vAlign w:val="center"/>
          </w:tcPr>
          <w:p>
            <w:pPr>
              <w:pStyle w:val="35"/>
              <w:bidi w:val="0"/>
              <w:rPr>
                <w:rFonts w:hint="default" w:eastAsia="宋体"/>
                <w:color w:val="auto"/>
                <w:u w:val="none"/>
                <w:lang w:val="en-US" w:eastAsia="zh-CN"/>
              </w:rPr>
            </w:pPr>
            <w:r>
              <w:rPr>
                <w:rFonts w:hint="eastAsia"/>
                <w:color w:val="auto"/>
                <w:u w:val="none"/>
                <w:lang w:val="en-US" w:eastAsia="zh-CN"/>
              </w:rPr>
              <w:t>1.2</w:t>
            </w:r>
          </w:p>
        </w:tc>
        <w:tc>
          <w:tcPr>
            <w:tcW w:w="594" w:type="pct"/>
            <w:tcBorders>
              <w:tl2br w:val="nil"/>
              <w:tr2bl w:val="nil"/>
            </w:tcBorders>
            <w:noWrap w:val="0"/>
            <w:vAlign w:val="center"/>
          </w:tcPr>
          <w:p>
            <w:pPr>
              <w:pStyle w:val="35"/>
              <w:bidi w:val="0"/>
              <w:rPr>
                <w:rFonts w:hint="eastAsia"/>
                <w:color w:val="auto"/>
                <w:u w:val="none"/>
                <w:lang w:eastAsia="zh-CN"/>
              </w:rPr>
            </w:pPr>
            <w:r>
              <w:rPr>
                <w:rFonts w:hint="eastAsia"/>
                <w:color w:val="auto"/>
                <w:u w:val="none"/>
                <w:lang w:val="en-US" w:eastAsia="zh-CN"/>
              </w:rPr>
              <w:t>醋酸甲酯</w:t>
            </w:r>
            <w:r>
              <w:rPr>
                <w:rFonts w:hint="eastAsia"/>
                <w:color w:val="auto"/>
                <w:u w:val="none"/>
                <w:lang w:eastAsia="zh-CN"/>
              </w:rPr>
              <w:t>生产线</w:t>
            </w:r>
          </w:p>
        </w:tc>
        <w:tc>
          <w:tcPr>
            <w:tcW w:w="380" w:type="pct"/>
            <w:tcBorders>
              <w:tl2br w:val="nil"/>
              <w:tr2bl w:val="nil"/>
            </w:tcBorders>
            <w:noWrap w:val="0"/>
            <w:vAlign w:val="center"/>
          </w:tcPr>
          <w:p>
            <w:pPr>
              <w:pStyle w:val="35"/>
              <w:bidi w:val="0"/>
              <w:rPr>
                <w:color w:val="auto"/>
                <w:u w:val="none"/>
              </w:rPr>
            </w:pPr>
            <w:r>
              <w:rPr>
                <w:color w:val="auto"/>
                <w:u w:val="none"/>
              </w:rPr>
              <w:t>固态</w:t>
            </w:r>
          </w:p>
        </w:tc>
        <w:tc>
          <w:tcPr>
            <w:tcW w:w="509" w:type="pct"/>
            <w:tcBorders>
              <w:tl2br w:val="nil"/>
              <w:tr2bl w:val="nil"/>
            </w:tcBorders>
            <w:noWrap w:val="0"/>
            <w:vAlign w:val="center"/>
          </w:tcPr>
          <w:p>
            <w:pPr>
              <w:pStyle w:val="35"/>
              <w:bidi w:val="0"/>
              <w:rPr>
                <w:color w:val="auto"/>
                <w:u w:val="none"/>
              </w:rPr>
            </w:pPr>
            <w:r>
              <w:rPr>
                <w:rFonts w:hint="eastAsia"/>
                <w:color w:val="auto"/>
                <w:u w:val="none"/>
              </w:rPr>
              <w:t>有机化</w:t>
            </w:r>
            <w:r>
              <w:rPr>
                <w:rFonts w:hint="eastAsia"/>
                <w:color w:val="auto"/>
                <w:u w:val="none"/>
                <w:lang w:val="en-US" w:eastAsia="zh-CN"/>
              </w:rPr>
              <w:t>合</w:t>
            </w:r>
            <w:r>
              <w:rPr>
                <w:rFonts w:hint="eastAsia"/>
                <w:color w:val="auto"/>
                <w:u w:val="none"/>
              </w:rPr>
              <w:t>物</w:t>
            </w:r>
          </w:p>
        </w:tc>
        <w:tc>
          <w:tcPr>
            <w:tcW w:w="309" w:type="pct"/>
            <w:tcBorders>
              <w:tl2br w:val="nil"/>
              <w:tr2bl w:val="nil"/>
            </w:tcBorders>
            <w:noWrap w:val="0"/>
            <w:vAlign w:val="center"/>
          </w:tcPr>
          <w:p>
            <w:pPr>
              <w:pStyle w:val="35"/>
              <w:bidi w:val="0"/>
              <w:rPr>
                <w:color w:val="auto"/>
                <w:u w:val="none"/>
              </w:rPr>
            </w:pPr>
            <w:r>
              <w:rPr>
                <w:color w:val="auto"/>
                <w:u w:val="none"/>
              </w:rPr>
              <w:t>不定</w:t>
            </w:r>
          </w:p>
        </w:tc>
        <w:tc>
          <w:tcPr>
            <w:tcW w:w="396" w:type="pct"/>
            <w:tcBorders>
              <w:tl2br w:val="nil"/>
              <w:tr2bl w:val="nil"/>
            </w:tcBorders>
            <w:noWrap w:val="0"/>
            <w:vAlign w:val="center"/>
          </w:tcPr>
          <w:p>
            <w:pPr>
              <w:pStyle w:val="35"/>
              <w:bidi w:val="0"/>
              <w:rPr>
                <w:color w:val="auto"/>
                <w:u w:val="none"/>
              </w:rPr>
            </w:pPr>
            <w:r>
              <w:rPr>
                <w:rFonts w:hint="eastAsia"/>
                <w:color w:val="auto"/>
                <w:u w:val="none"/>
              </w:rPr>
              <w:t>T</w:t>
            </w:r>
          </w:p>
        </w:tc>
        <w:tc>
          <w:tcPr>
            <w:tcW w:w="606" w:type="pct"/>
            <w:tcBorders>
              <w:tl2br w:val="nil"/>
              <w:tr2bl w:val="nil"/>
            </w:tcBorders>
            <w:noWrap w:val="0"/>
            <w:vAlign w:val="center"/>
          </w:tcPr>
          <w:p>
            <w:pPr>
              <w:pStyle w:val="35"/>
              <w:bidi w:val="0"/>
              <w:rPr>
                <w:color w:val="auto"/>
                <w:u w:val="none"/>
              </w:rPr>
            </w:pPr>
            <w:r>
              <w:rPr>
                <w:rFonts w:hint="eastAsia"/>
                <w:color w:val="auto"/>
                <w:u w:val="none"/>
              </w:rPr>
              <w:t>暂存于危险废物暂存间，定期送资质单位处置。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98" w:type="pct"/>
            <w:tcBorders>
              <w:tl2br w:val="nil"/>
              <w:tr2bl w:val="nil"/>
            </w:tcBorders>
            <w:noWrap w:val="0"/>
            <w:vAlign w:val="center"/>
          </w:tcPr>
          <w:p>
            <w:pPr>
              <w:pStyle w:val="35"/>
              <w:bidi w:val="0"/>
              <w:rPr>
                <w:rFonts w:hint="eastAsia"/>
                <w:color w:val="auto"/>
                <w:u w:val="none"/>
              </w:rPr>
            </w:pPr>
            <w:r>
              <w:rPr>
                <w:rFonts w:hint="eastAsia"/>
                <w:color w:val="auto"/>
                <w:u w:val="none"/>
              </w:rPr>
              <w:t>废离子交换树脂</w:t>
            </w:r>
          </w:p>
        </w:tc>
        <w:tc>
          <w:tcPr>
            <w:tcW w:w="523" w:type="pct"/>
            <w:tcBorders>
              <w:tl2br w:val="nil"/>
              <w:tr2bl w:val="nil"/>
            </w:tcBorders>
            <w:noWrap w:val="0"/>
            <w:vAlign w:val="center"/>
          </w:tcPr>
          <w:p>
            <w:pPr>
              <w:pStyle w:val="35"/>
              <w:bidi w:val="0"/>
              <w:rPr>
                <w:rFonts w:hint="default" w:eastAsia="宋体"/>
                <w:color w:val="auto"/>
                <w:u w:val="none"/>
                <w:lang w:val="en-US" w:eastAsia="zh-CN"/>
              </w:rPr>
            </w:pPr>
            <w:r>
              <w:rPr>
                <w:rFonts w:hint="eastAsia"/>
                <w:color w:val="auto"/>
                <w:u w:val="none"/>
                <w:lang w:val="en-US" w:eastAsia="zh-CN"/>
              </w:rPr>
              <w:t>HW有机树脂类废物</w:t>
            </w:r>
          </w:p>
        </w:tc>
        <w:tc>
          <w:tcPr>
            <w:tcW w:w="702" w:type="pct"/>
            <w:tcBorders>
              <w:tl2br w:val="nil"/>
              <w:tr2bl w:val="nil"/>
            </w:tcBorders>
            <w:noWrap w:val="0"/>
            <w:vAlign w:val="center"/>
          </w:tcPr>
          <w:p>
            <w:pPr>
              <w:pStyle w:val="35"/>
              <w:bidi w:val="0"/>
              <w:rPr>
                <w:rFonts w:hint="eastAsia"/>
                <w:color w:val="auto"/>
                <w:u w:val="none"/>
              </w:rPr>
            </w:pPr>
            <w:r>
              <w:rPr>
                <w:rFonts w:hint="eastAsia"/>
                <w:color w:val="auto"/>
              </w:rPr>
              <w:t>900-</w:t>
            </w:r>
            <w:r>
              <w:rPr>
                <w:rFonts w:hint="eastAsia"/>
                <w:color w:val="auto"/>
                <w:lang w:val="en-US" w:eastAsia="zh-CN"/>
              </w:rPr>
              <w:t>015</w:t>
            </w:r>
            <w:r>
              <w:rPr>
                <w:rFonts w:hint="eastAsia"/>
                <w:color w:val="auto"/>
              </w:rPr>
              <w:t>-</w:t>
            </w:r>
            <w:r>
              <w:rPr>
                <w:rFonts w:hint="eastAsia"/>
                <w:color w:val="auto"/>
                <w:lang w:val="en-US" w:eastAsia="zh-CN"/>
              </w:rPr>
              <w:t>13</w:t>
            </w:r>
          </w:p>
        </w:tc>
        <w:tc>
          <w:tcPr>
            <w:tcW w:w="480" w:type="pct"/>
            <w:tcBorders>
              <w:tl2br w:val="nil"/>
              <w:tr2bl w:val="nil"/>
            </w:tcBorders>
            <w:noWrap w:val="0"/>
            <w:vAlign w:val="center"/>
          </w:tcPr>
          <w:p>
            <w:pPr>
              <w:pStyle w:val="35"/>
              <w:bidi w:val="0"/>
              <w:rPr>
                <w:rFonts w:hint="default"/>
                <w:color w:val="auto"/>
                <w:u w:val="none"/>
                <w:lang w:val="en-US" w:eastAsia="zh-CN"/>
              </w:rPr>
            </w:pPr>
            <w:r>
              <w:rPr>
                <w:rFonts w:hint="eastAsia"/>
                <w:color w:val="auto"/>
                <w:u w:val="none"/>
                <w:lang w:val="en-US" w:eastAsia="zh-CN"/>
              </w:rPr>
              <w:t>0.5</w:t>
            </w:r>
          </w:p>
        </w:tc>
        <w:tc>
          <w:tcPr>
            <w:tcW w:w="594" w:type="pct"/>
            <w:tcBorders>
              <w:tl2br w:val="nil"/>
              <w:tr2bl w:val="nil"/>
            </w:tcBorders>
            <w:noWrap w:val="0"/>
            <w:vAlign w:val="center"/>
          </w:tcPr>
          <w:p>
            <w:pPr>
              <w:pStyle w:val="35"/>
              <w:bidi w:val="0"/>
              <w:rPr>
                <w:rFonts w:hint="default"/>
                <w:color w:val="auto"/>
                <w:u w:val="none"/>
                <w:lang w:val="en-US" w:eastAsia="zh-CN"/>
              </w:rPr>
            </w:pPr>
            <w:r>
              <w:rPr>
                <w:rFonts w:hint="eastAsia"/>
                <w:color w:val="auto"/>
                <w:u w:val="none"/>
                <w:lang w:val="en-US" w:eastAsia="zh-CN"/>
              </w:rPr>
              <w:t>预处理工序</w:t>
            </w:r>
          </w:p>
        </w:tc>
        <w:tc>
          <w:tcPr>
            <w:tcW w:w="380" w:type="pct"/>
            <w:tcBorders>
              <w:tl2br w:val="nil"/>
              <w:tr2bl w:val="nil"/>
            </w:tcBorders>
            <w:noWrap w:val="0"/>
            <w:vAlign w:val="center"/>
          </w:tcPr>
          <w:p>
            <w:pPr>
              <w:pStyle w:val="35"/>
              <w:bidi w:val="0"/>
              <w:rPr>
                <w:color w:val="auto"/>
                <w:u w:val="none"/>
              </w:rPr>
            </w:pPr>
            <w:r>
              <w:rPr>
                <w:color w:val="auto"/>
                <w:u w:val="none"/>
              </w:rPr>
              <w:t>固态</w:t>
            </w:r>
          </w:p>
        </w:tc>
        <w:tc>
          <w:tcPr>
            <w:tcW w:w="509" w:type="pct"/>
            <w:tcBorders>
              <w:tl2br w:val="nil"/>
              <w:tr2bl w:val="nil"/>
            </w:tcBorders>
            <w:noWrap w:val="0"/>
            <w:vAlign w:val="center"/>
          </w:tcPr>
          <w:p>
            <w:pPr>
              <w:pStyle w:val="35"/>
              <w:bidi w:val="0"/>
              <w:rPr>
                <w:rFonts w:hint="eastAsia"/>
                <w:color w:val="auto"/>
                <w:u w:val="none"/>
              </w:rPr>
            </w:pPr>
            <w:r>
              <w:rPr>
                <w:rFonts w:hint="eastAsia"/>
                <w:color w:val="auto"/>
                <w:u w:val="none"/>
              </w:rPr>
              <w:t>有机化</w:t>
            </w:r>
            <w:r>
              <w:rPr>
                <w:rFonts w:hint="eastAsia"/>
                <w:color w:val="auto"/>
                <w:u w:val="none"/>
                <w:lang w:val="en-US" w:eastAsia="zh-CN"/>
              </w:rPr>
              <w:t>合</w:t>
            </w:r>
            <w:r>
              <w:rPr>
                <w:rFonts w:hint="eastAsia"/>
                <w:color w:val="auto"/>
                <w:u w:val="none"/>
              </w:rPr>
              <w:t>物</w:t>
            </w:r>
          </w:p>
        </w:tc>
        <w:tc>
          <w:tcPr>
            <w:tcW w:w="309" w:type="pct"/>
            <w:tcBorders>
              <w:tl2br w:val="nil"/>
              <w:tr2bl w:val="nil"/>
            </w:tcBorders>
            <w:noWrap w:val="0"/>
            <w:vAlign w:val="center"/>
          </w:tcPr>
          <w:p>
            <w:pPr>
              <w:pStyle w:val="35"/>
              <w:bidi w:val="0"/>
              <w:ind w:firstLine="0" w:firstLineChars="0"/>
              <w:rPr>
                <w:color w:val="auto"/>
                <w:u w:val="none"/>
              </w:rPr>
            </w:pPr>
            <w:r>
              <w:rPr>
                <w:color w:val="auto"/>
                <w:u w:val="none"/>
              </w:rPr>
              <w:t>不定</w:t>
            </w:r>
          </w:p>
        </w:tc>
        <w:tc>
          <w:tcPr>
            <w:tcW w:w="396" w:type="pct"/>
            <w:tcBorders>
              <w:tl2br w:val="nil"/>
              <w:tr2bl w:val="nil"/>
            </w:tcBorders>
            <w:noWrap w:val="0"/>
            <w:vAlign w:val="center"/>
          </w:tcPr>
          <w:p>
            <w:pPr>
              <w:pStyle w:val="35"/>
              <w:bidi w:val="0"/>
              <w:ind w:firstLine="0" w:firstLineChars="0"/>
              <w:rPr>
                <w:rFonts w:hint="eastAsia"/>
                <w:color w:val="auto"/>
                <w:u w:val="none"/>
              </w:rPr>
            </w:pPr>
            <w:r>
              <w:rPr>
                <w:rFonts w:hint="eastAsia"/>
                <w:color w:val="auto"/>
                <w:u w:val="none"/>
              </w:rPr>
              <w:t>T</w:t>
            </w:r>
          </w:p>
        </w:tc>
        <w:tc>
          <w:tcPr>
            <w:tcW w:w="606" w:type="pct"/>
            <w:tcBorders>
              <w:tl2br w:val="nil"/>
              <w:tr2bl w:val="nil"/>
            </w:tcBorders>
            <w:noWrap w:val="0"/>
            <w:vAlign w:val="center"/>
          </w:tcPr>
          <w:p>
            <w:pPr>
              <w:pStyle w:val="35"/>
              <w:bidi w:val="0"/>
              <w:rPr>
                <w:rFonts w:hint="eastAsia"/>
                <w:color w:val="auto"/>
                <w:u w:val="none"/>
              </w:rPr>
            </w:pPr>
            <w:r>
              <w:rPr>
                <w:rFonts w:hint="eastAsia"/>
                <w:color w:val="auto"/>
                <w:u w:val="none"/>
              </w:rPr>
              <w:t>暂存于危险废物暂存间，定期送资质单位处置。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46" w:type="dxa"/>
            <w:tcBorders>
              <w:tl2br w:val="nil"/>
              <w:tr2bl w:val="nil"/>
            </w:tcBorders>
            <w:noWrap w:val="0"/>
            <w:vAlign w:val="center"/>
          </w:tcPr>
          <w:p>
            <w:pPr>
              <w:pStyle w:val="35"/>
              <w:bidi w:val="0"/>
              <w:ind w:firstLine="0" w:firstLineChars="0"/>
              <w:rPr>
                <w:rFonts w:hint="eastAsia"/>
                <w:color w:val="auto"/>
                <w:u w:val="none"/>
              </w:rPr>
            </w:pPr>
            <w:r>
              <w:rPr>
                <w:rFonts w:hint="eastAsia"/>
                <w:color w:val="auto"/>
                <w:u w:val="none"/>
                <w:lang w:val="en-US" w:eastAsia="zh-CN"/>
              </w:rPr>
              <w:t>废活性炭</w:t>
            </w:r>
          </w:p>
        </w:tc>
        <w:tc>
          <w:tcPr>
            <w:tcW w:w="995" w:type="dxa"/>
            <w:tcBorders>
              <w:tl2br w:val="nil"/>
              <w:tr2bl w:val="nil"/>
            </w:tcBorders>
            <w:noWrap w:val="0"/>
            <w:vAlign w:val="center"/>
          </w:tcPr>
          <w:p>
            <w:pPr>
              <w:pStyle w:val="35"/>
              <w:bidi w:val="0"/>
              <w:ind w:firstLine="0" w:firstLineChars="0"/>
              <w:rPr>
                <w:rFonts w:hint="eastAsia"/>
                <w:color w:val="auto"/>
                <w:u w:val="none"/>
                <w:lang w:val="en-US" w:eastAsia="zh-CN"/>
              </w:rPr>
            </w:pPr>
            <w:r>
              <w:rPr>
                <w:rFonts w:hint="default" w:ascii="Times New Roman" w:hAnsi="Times New Roman" w:eastAsia="宋体" w:cs="Times New Roman"/>
                <w:color w:val="auto"/>
                <w:lang w:val="en-US" w:eastAsia="zh-CN"/>
              </w:rPr>
              <w:t>HW49其他废物</w:t>
            </w:r>
          </w:p>
        </w:tc>
        <w:tc>
          <w:tcPr>
            <w:tcW w:w="1335" w:type="dxa"/>
            <w:tcBorders>
              <w:tl2br w:val="nil"/>
              <w:tr2bl w:val="nil"/>
            </w:tcBorders>
            <w:noWrap w:val="0"/>
            <w:vAlign w:val="center"/>
          </w:tcPr>
          <w:p>
            <w:pPr>
              <w:pStyle w:val="35"/>
              <w:bidi w:val="0"/>
              <w:ind w:firstLine="0" w:firstLineChars="0"/>
              <w:rPr>
                <w:rFonts w:hint="eastAsia"/>
                <w:color w:val="auto"/>
              </w:rPr>
            </w:pPr>
            <w:r>
              <w:rPr>
                <w:rFonts w:hint="default" w:ascii="Times New Roman" w:hAnsi="Times New Roman" w:eastAsia="宋体" w:cs="Times New Roman"/>
                <w:color w:val="auto"/>
                <w:lang w:val="en-US" w:eastAsia="zh-CN"/>
              </w:rPr>
              <w:t>900-0</w:t>
            </w:r>
            <w:r>
              <w:rPr>
                <w:rFonts w:hint="eastAsia" w:ascii="Times New Roman" w:hAnsi="Times New Roman" w:eastAsia="宋体" w:cs="Times New Roman"/>
                <w:color w:val="auto"/>
                <w:lang w:val="en-US" w:eastAsia="zh-CN"/>
              </w:rPr>
              <w:t>39</w:t>
            </w:r>
            <w:r>
              <w:rPr>
                <w:rFonts w:hint="default" w:ascii="Times New Roman" w:hAnsi="Times New Roman" w:eastAsia="宋体" w:cs="Times New Roman"/>
                <w:color w:val="auto"/>
                <w:lang w:val="en-US" w:eastAsia="zh-CN"/>
              </w:rPr>
              <w:t>-49</w:t>
            </w:r>
          </w:p>
        </w:tc>
        <w:tc>
          <w:tcPr>
            <w:tcW w:w="913" w:type="dxa"/>
            <w:tcBorders>
              <w:tl2br w:val="nil"/>
              <w:tr2bl w:val="nil"/>
            </w:tcBorders>
            <w:noWrap w:val="0"/>
            <w:vAlign w:val="center"/>
          </w:tcPr>
          <w:p>
            <w:pPr>
              <w:pStyle w:val="35"/>
              <w:bidi w:val="0"/>
              <w:ind w:firstLine="0" w:firstLineChars="0"/>
              <w:rPr>
                <w:rFonts w:hint="eastAsia"/>
                <w:color w:val="auto"/>
                <w:u w:val="none"/>
                <w:lang w:val="en-US" w:eastAsia="zh-CN"/>
              </w:rPr>
            </w:pPr>
            <w:r>
              <w:rPr>
                <w:rFonts w:hint="eastAsia"/>
                <w:color w:val="auto"/>
                <w:u w:val="none"/>
                <w:lang w:val="en-US" w:eastAsia="zh-CN"/>
              </w:rPr>
              <w:t>89.4</w:t>
            </w:r>
          </w:p>
        </w:tc>
        <w:tc>
          <w:tcPr>
            <w:tcW w:w="1130" w:type="dxa"/>
            <w:tcBorders>
              <w:tl2br w:val="nil"/>
              <w:tr2bl w:val="nil"/>
            </w:tcBorders>
            <w:noWrap w:val="0"/>
            <w:vAlign w:val="center"/>
          </w:tcPr>
          <w:p>
            <w:pPr>
              <w:pStyle w:val="35"/>
              <w:bidi w:val="0"/>
              <w:ind w:firstLine="0" w:firstLineChars="0"/>
              <w:rPr>
                <w:rFonts w:hint="eastAsia"/>
                <w:color w:val="auto"/>
                <w:u w:val="none"/>
                <w:lang w:val="en-US" w:eastAsia="zh-CN"/>
              </w:rPr>
            </w:pPr>
            <w:r>
              <w:rPr>
                <w:rFonts w:hint="eastAsia"/>
                <w:color w:val="auto"/>
                <w:u w:val="none"/>
                <w:lang w:val="en-US" w:eastAsia="zh-CN"/>
              </w:rPr>
              <w:t>废气处理</w:t>
            </w:r>
          </w:p>
        </w:tc>
        <w:tc>
          <w:tcPr>
            <w:tcW w:w="723" w:type="dxa"/>
            <w:tcBorders>
              <w:tl2br w:val="nil"/>
              <w:tr2bl w:val="nil"/>
            </w:tcBorders>
            <w:noWrap w:val="0"/>
            <w:vAlign w:val="center"/>
          </w:tcPr>
          <w:p>
            <w:pPr>
              <w:pStyle w:val="35"/>
              <w:bidi w:val="0"/>
              <w:ind w:firstLine="0" w:firstLineChars="0"/>
              <w:rPr>
                <w:color w:val="auto"/>
                <w:u w:val="none"/>
              </w:rPr>
            </w:pPr>
            <w:r>
              <w:rPr>
                <w:color w:val="auto"/>
                <w:u w:val="none"/>
              </w:rPr>
              <w:t>固态</w:t>
            </w:r>
          </w:p>
        </w:tc>
        <w:tc>
          <w:tcPr>
            <w:tcW w:w="968" w:type="dxa"/>
            <w:tcBorders>
              <w:tl2br w:val="nil"/>
              <w:tr2bl w:val="nil"/>
            </w:tcBorders>
            <w:noWrap w:val="0"/>
            <w:vAlign w:val="center"/>
          </w:tcPr>
          <w:p>
            <w:pPr>
              <w:pStyle w:val="35"/>
              <w:bidi w:val="0"/>
              <w:ind w:firstLine="0" w:firstLineChars="0"/>
              <w:rPr>
                <w:rFonts w:hint="eastAsia"/>
                <w:color w:val="auto"/>
                <w:u w:val="none"/>
              </w:rPr>
            </w:pPr>
            <w:r>
              <w:rPr>
                <w:rFonts w:hint="eastAsia"/>
                <w:color w:val="auto"/>
                <w:u w:val="none"/>
              </w:rPr>
              <w:t>有机化</w:t>
            </w:r>
            <w:r>
              <w:rPr>
                <w:rFonts w:hint="eastAsia"/>
                <w:color w:val="auto"/>
                <w:u w:val="none"/>
                <w:lang w:val="en-US" w:eastAsia="zh-CN"/>
              </w:rPr>
              <w:t>合</w:t>
            </w:r>
            <w:r>
              <w:rPr>
                <w:rFonts w:hint="eastAsia"/>
                <w:color w:val="auto"/>
                <w:u w:val="none"/>
              </w:rPr>
              <w:t>物</w:t>
            </w:r>
          </w:p>
        </w:tc>
        <w:tc>
          <w:tcPr>
            <w:tcW w:w="588" w:type="dxa"/>
            <w:tcBorders>
              <w:tl2br w:val="nil"/>
              <w:tr2bl w:val="nil"/>
            </w:tcBorders>
            <w:noWrap w:val="0"/>
            <w:vAlign w:val="center"/>
          </w:tcPr>
          <w:p>
            <w:pPr>
              <w:pStyle w:val="35"/>
              <w:bidi w:val="0"/>
              <w:ind w:firstLine="0" w:firstLineChars="0"/>
              <w:rPr>
                <w:color w:val="auto"/>
                <w:u w:val="none"/>
              </w:rPr>
            </w:pPr>
            <w:r>
              <w:rPr>
                <w:color w:val="auto"/>
                <w:u w:val="none"/>
              </w:rPr>
              <w:t>不定</w:t>
            </w:r>
          </w:p>
        </w:tc>
        <w:tc>
          <w:tcPr>
            <w:tcW w:w="753" w:type="dxa"/>
            <w:tcBorders>
              <w:tl2br w:val="nil"/>
              <w:tr2bl w:val="nil"/>
            </w:tcBorders>
            <w:noWrap w:val="0"/>
            <w:vAlign w:val="center"/>
          </w:tcPr>
          <w:p>
            <w:pPr>
              <w:pStyle w:val="35"/>
              <w:bidi w:val="0"/>
              <w:ind w:firstLine="0" w:firstLineChars="0"/>
              <w:rPr>
                <w:rFonts w:hint="eastAsia"/>
                <w:color w:val="auto"/>
                <w:u w:val="none"/>
              </w:rPr>
            </w:pPr>
            <w:r>
              <w:rPr>
                <w:rFonts w:hint="eastAsia"/>
                <w:color w:val="auto"/>
                <w:u w:val="none"/>
              </w:rPr>
              <w:t>T</w:t>
            </w:r>
          </w:p>
        </w:tc>
        <w:tc>
          <w:tcPr>
            <w:tcW w:w="1155" w:type="dxa"/>
            <w:tcBorders>
              <w:tl2br w:val="nil"/>
              <w:tr2bl w:val="nil"/>
            </w:tcBorders>
            <w:noWrap w:val="0"/>
            <w:vAlign w:val="center"/>
          </w:tcPr>
          <w:p>
            <w:pPr>
              <w:pStyle w:val="35"/>
              <w:bidi w:val="0"/>
              <w:ind w:firstLine="0" w:firstLineChars="0"/>
              <w:rPr>
                <w:rFonts w:hint="eastAsia"/>
                <w:color w:val="auto"/>
                <w:u w:val="none"/>
              </w:rPr>
            </w:pPr>
            <w:r>
              <w:rPr>
                <w:rFonts w:hint="eastAsia"/>
                <w:color w:val="auto"/>
                <w:u w:val="none"/>
              </w:rPr>
              <w:t>暂存于危险废物暂存间，定期送资质单位处置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21" w:type="pct"/>
            <w:gridSpan w:val="2"/>
            <w:tcBorders>
              <w:tl2br w:val="nil"/>
              <w:tr2bl w:val="nil"/>
            </w:tcBorders>
            <w:noWrap w:val="0"/>
            <w:vAlign w:val="center"/>
          </w:tcPr>
          <w:p>
            <w:pPr>
              <w:pStyle w:val="35"/>
              <w:bidi w:val="0"/>
              <w:rPr>
                <w:color w:val="auto"/>
                <w:u w:val="none"/>
              </w:rPr>
            </w:pPr>
            <w:r>
              <w:rPr>
                <w:color w:val="auto"/>
                <w:u w:val="none"/>
              </w:rPr>
              <w:t>固体废物名称</w:t>
            </w:r>
          </w:p>
        </w:tc>
        <w:tc>
          <w:tcPr>
            <w:tcW w:w="702" w:type="pct"/>
            <w:tcBorders>
              <w:tl2br w:val="nil"/>
              <w:tr2bl w:val="nil"/>
            </w:tcBorders>
            <w:noWrap w:val="0"/>
            <w:vAlign w:val="center"/>
          </w:tcPr>
          <w:p>
            <w:pPr>
              <w:pStyle w:val="35"/>
              <w:bidi w:val="0"/>
              <w:rPr>
                <w:color w:val="auto"/>
                <w:u w:val="none"/>
              </w:rPr>
            </w:pPr>
            <w:r>
              <w:rPr>
                <w:color w:val="auto"/>
                <w:u w:val="none"/>
              </w:rPr>
              <w:t>产生量（t/a）</w:t>
            </w:r>
          </w:p>
        </w:tc>
        <w:tc>
          <w:tcPr>
            <w:tcW w:w="1963" w:type="pct"/>
            <w:gridSpan w:val="4"/>
            <w:tcBorders>
              <w:tl2br w:val="nil"/>
              <w:tr2bl w:val="nil"/>
            </w:tcBorders>
            <w:noWrap w:val="0"/>
            <w:vAlign w:val="center"/>
          </w:tcPr>
          <w:p>
            <w:pPr>
              <w:pStyle w:val="35"/>
              <w:bidi w:val="0"/>
              <w:rPr>
                <w:color w:val="auto"/>
                <w:u w:val="none"/>
              </w:rPr>
            </w:pPr>
            <w:r>
              <w:rPr>
                <w:color w:val="auto"/>
                <w:u w:val="none"/>
              </w:rPr>
              <w:t>暂存设施</w:t>
            </w:r>
          </w:p>
        </w:tc>
        <w:tc>
          <w:tcPr>
            <w:tcW w:w="1312" w:type="pct"/>
            <w:gridSpan w:val="3"/>
            <w:tcBorders>
              <w:tl2br w:val="nil"/>
              <w:tr2bl w:val="nil"/>
            </w:tcBorders>
            <w:noWrap w:val="0"/>
            <w:vAlign w:val="center"/>
          </w:tcPr>
          <w:p>
            <w:pPr>
              <w:pStyle w:val="35"/>
              <w:bidi w:val="0"/>
              <w:rPr>
                <w:color w:val="auto"/>
                <w:u w:val="none"/>
              </w:rPr>
            </w:pPr>
            <w:r>
              <w:rPr>
                <w:color w:val="auto"/>
                <w:u w:val="none"/>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21" w:type="pct"/>
            <w:gridSpan w:val="2"/>
            <w:tcBorders>
              <w:tl2br w:val="nil"/>
              <w:tr2bl w:val="nil"/>
            </w:tcBorders>
            <w:noWrap w:val="0"/>
            <w:vAlign w:val="center"/>
          </w:tcPr>
          <w:p>
            <w:pPr>
              <w:pStyle w:val="35"/>
              <w:bidi w:val="0"/>
              <w:rPr>
                <w:color w:val="auto"/>
                <w:u w:val="none"/>
              </w:rPr>
            </w:pPr>
            <w:r>
              <w:rPr>
                <w:color w:val="auto"/>
                <w:u w:val="none"/>
              </w:rPr>
              <w:t>生活垃圾</w:t>
            </w:r>
          </w:p>
        </w:tc>
        <w:tc>
          <w:tcPr>
            <w:tcW w:w="702" w:type="pct"/>
            <w:tcBorders>
              <w:tl2br w:val="nil"/>
              <w:tr2bl w:val="nil"/>
            </w:tcBorders>
            <w:noWrap w:val="0"/>
            <w:vAlign w:val="center"/>
          </w:tcPr>
          <w:p>
            <w:pPr>
              <w:pStyle w:val="35"/>
              <w:bidi w:val="0"/>
              <w:rPr>
                <w:rFonts w:hint="default" w:eastAsia="宋体"/>
                <w:color w:val="auto"/>
                <w:u w:val="none"/>
                <w:lang w:val="en-US" w:eastAsia="zh-CN"/>
              </w:rPr>
            </w:pPr>
            <w:r>
              <w:rPr>
                <w:rFonts w:hint="eastAsia"/>
                <w:color w:val="auto"/>
                <w:u w:val="none"/>
                <w:lang w:val="en-US" w:eastAsia="zh-CN"/>
              </w:rPr>
              <w:t>3.96</w:t>
            </w:r>
          </w:p>
        </w:tc>
        <w:tc>
          <w:tcPr>
            <w:tcW w:w="1963" w:type="pct"/>
            <w:gridSpan w:val="4"/>
            <w:tcBorders>
              <w:tl2br w:val="nil"/>
              <w:tr2bl w:val="nil"/>
            </w:tcBorders>
            <w:noWrap w:val="0"/>
            <w:vAlign w:val="center"/>
          </w:tcPr>
          <w:p>
            <w:pPr>
              <w:pStyle w:val="35"/>
              <w:bidi w:val="0"/>
              <w:rPr>
                <w:color w:val="auto"/>
                <w:u w:val="none"/>
              </w:rPr>
            </w:pPr>
            <w:r>
              <w:rPr>
                <w:color w:val="auto"/>
                <w:u w:val="none"/>
              </w:rPr>
              <w:t>分区垃圾桶暂存，并设置垃圾收集点</w:t>
            </w:r>
          </w:p>
        </w:tc>
        <w:tc>
          <w:tcPr>
            <w:tcW w:w="1312" w:type="pct"/>
            <w:gridSpan w:val="3"/>
            <w:tcBorders>
              <w:tl2br w:val="nil"/>
              <w:tr2bl w:val="nil"/>
            </w:tcBorders>
            <w:noWrap w:val="0"/>
            <w:vAlign w:val="center"/>
          </w:tcPr>
          <w:p>
            <w:pPr>
              <w:pStyle w:val="35"/>
              <w:bidi w:val="0"/>
              <w:rPr>
                <w:color w:val="auto"/>
                <w:u w:val="none"/>
              </w:rPr>
            </w:pPr>
            <w:r>
              <w:rPr>
                <w:color w:val="auto"/>
                <w:u w:val="none"/>
              </w:rPr>
              <w:t>环卫部门统一清运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21" w:type="pct"/>
            <w:gridSpan w:val="2"/>
            <w:tcBorders>
              <w:tl2br w:val="nil"/>
              <w:tr2bl w:val="nil"/>
            </w:tcBorders>
            <w:noWrap w:val="0"/>
            <w:vAlign w:val="center"/>
          </w:tcPr>
          <w:p>
            <w:pPr>
              <w:pStyle w:val="35"/>
              <w:bidi w:val="0"/>
              <w:rPr>
                <w:color w:val="auto"/>
                <w:u w:val="none"/>
              </w:rPr>
            </w:pPr>
            <w:r>
              <w:rPr>
                <w:rFonts w:hint="eastAsia"/>
                <w:color w:val="auto"/>
                <w:u w:val="none"/>
              </w:rPr>
              <w:t>废包装桶</w:t>
            </w:r>
          </w:p>
        </w:tc>
        <w:tc>
          <w:tcPr>
            <w:tcW w:w="702" w:type="pct"/>
            <w:tcBorders>
              <w:tl2br w:val="nil"/>
              <w:tr2bl w:val="nil"/>
            </w:tcBorders>
            <w:noWrap w:val="0"/>
            <w:vAlign w:val="center"/>
          </w:tcPr>
          <w:p>
            <w:pPr>
              <w:pStyle w:val="35"/>
              <w:bidi w:val="0"/>
              <w:rPr>
                <w:rFonts w:hint="default"/>
                <w:color w:val="auto"/>
                <w:u w:val="none"/>
                <w:lang w:val="en-US" w:eastAsia="zh-CN"/>
              </w:rPr>
            </w:pPr>
            <w:r>
              <w:rPr>
                <w:rFonts w:hint="eastAsia"/>
                <w:color w:val="auto"/>
                <w:u w:val="none"/>
                <w:lang w:val="en-US" w:eastAsia="zh-CN"/>
              </w:rPr>
              <w:t>10</w:t>
            </w:r>
          </w:p>
        </w:tc>
        <w:tc>
          <w:tcPr>
            <w:tcW w:w="1963" w:type="pct"/>
            <w:gridSpan w:val="4"/>
            <w:tcBorders>
              <w:tl2br w:val="nil"/>
              <w:tr2bl w:val="nil"/>
            </w:tcBorders>
            <w:noWrap w:val="0"/>
            <w:vAlign w:val="center"/>
          </w:tcPr>
          <w:p>
            <w:pPr>
              <w:pStyle w:val="35"/>
              <w:bidi w:val="0"/>
              <w:rPr>
                <w:color w:val="auto"/>
                <w:u w:val="none"/>
              </w:rPr>
            </w:pPr>
            <w:r>
              <w:rPr>
                <w:rFonts w:hint="eastAsia"/>
                <w:color w:val="auto"/>
                <w:lang w:eastAsia="zh-CN"/>
              </w:rPr>
              <w:t>空原料桶收集、堆存于原料仓库分出空桶区</w:t>
            </w:r>
          </w:p>
        </w:tc>
        <w:tc>
          <w:tcPr>
            <w:tcW w:w="1312" w:type="pct"/>
            <w:gridSpan w:val="3"/>
            <w:tcBorders>
              <w:tl2br w:val="nil"/>
              <w:tr2bl w:val="nil"/>
            </w:tcBorders>
            <w:noWrap w:val="0"/>
            <w:vAlign w:val="center"/>
          </w:tcPr>
          <w:p>
            <w:pPr>
              <w:pStyle w:val="35"/>
              <w:bidi w:val="0"/>
              <w:rPr>
                <w:color w:val="auto"/>
                <w:u w:val="none"/>
              </w:rPr>
            </w:pPr>
            <w:r>
              <w:rPr>
                <w:rFonts w:hint="eastAsia"/>
                <w:color w:val="auto"/>
                <w:lang w:eastAsia="zh-CN"/>
              </w:rPr>
              <w:t>定期由原料供应商回收重复利用，厂区内不设洗桶工序</w:t>
            </w:r>
          </w:p>
        </w:tc>
      </w:tr>
    </w:tbl>
    <w:p>
      <w:pPr>
        <w:pStyle w:val="33"/>
        <w:bidi w:val="0"/>
        <w:rPr>
          <w:rFonts w:hint="eastAsia"/>
          <w:color w:val="auto"/>
          <w:lang w:val="en-US" w:eastAsia="zh-CN"/>
        </w:rPr>
      </w:pPr>
      <w:r>
        <w:rPr>
          <w:rFonts w:hint="eastAsia"/>
          <w:color w:val="auto"/>
          <w:lang w:val="en-US" w:eastAsia="zh-CN"/>
        </w:rPr>
        <w:t>拟建项目危险固废为:</w:t>
      </w:r>
      <w:r>
        <w:rPr>
          <w:rFonts w:hint="eastAsia"/>
          <w:color w:val="auto"/>
          <w:u w:val="none"/>
          <w:lang w:val="en-US" w:eastAsia="zh-CN"/>
        </w:rPr>
        <w:t>反应</w:t>
      </w:r>
      <w:r>
        <w:rPr>
          <w:rFonts w:hint="eastAsia"/>
          <w:color w:val="auto"/>
          <w:u w:val="none"/>
        </w:rPr>
        <w:t>釜残</w:t>
      </w:r>
      <w:r>
        <w:rPr>
          <w:rFonts w:hint="eastAsia"/>
          <w:color w:val="auto"/>
          <w:u w:val="none"/>
          <w:lang w:val="en-US" w:eastAsia="zh-CN"/>
        </w:rPr>
        <w:t>、废离子交换树脂和废活性炭</w:t>
      </w:r>
      <w:r>
        <w:rPr>
          <w:rFonts w:hint="eastAsia"/>
          <w:color w:val="auto"/>
          <w:lang w:val="en-US" w:eastAsia="zh-CN"/>
        </w:rPr>
        <w:t>定期外委有危废处置资质单位处理。一般固废为:生活垃圾，委托环卫部门清运；</w:t>
      </w:r>
      <w:r>
        <w:rPr>
          <w:rFonts w:hint="eastAsia"/>
          <w:color w:val="auto"/>
          <w:u w:val="none"/>
        </w:rPr>
        <w:t>废包装桶</w:t>
      </w:r>
      <w:r>
        <w:rPr>
          <w:rFonts w:hint="eastAsia"/>
          <w:color w:val="auto"/>
          <w:u w:val="none"/>
          <w:lang w:eastAsia="zh-CN"/>
        </w:rPr>
        <w:t>，</w:t>
      </w:r>
      <w:r>
        <w:rPr>
          <w:rFonts w:hint="eastAsia"/>
          <w:color w:val="auto"/>
          <w:lang w:eastAsia="zh-CN"/>
        </w:rPr>
        <w:t>定期由原料供应商回收重复利用，厂区内不设洗桶工序</w:t>
      </w:r>
      <w:r>
        <w:rPr>
          <w:rFonts w:hint="eastAsia"/>
          <w:color w:val="auto"/>
          <w:lang w:val="en-US" w:eastAsia="zh-CN"/>
        </w:rPr>
        <w:t>。</w:t>
      </w:r>
    </w:p>
    <w:p>
      <w:pPr>
        <w:pStyle w:val="33"/>
        <w:bidi w:val="0"/>
        <w:rPr>
          <w:rFonts w:hint="eastAsia"/>
          <w:color w:val="auto"/>
          <w:lang w:val="en-US" w:eastAsia="zh-CN"/>
        </w:rPr>
      </w:pPr>
      <w:r>
        <w:rPr>
          <w:rFonts w:hint="eastAsia"/>
          <w:color w:val="auto"/>
          <w:lang w:val="en-US" w:eastAsia="zh-CN"/>
        </w:rPr>
        <w:t>综上所述，拟建项目所有固废100%均得到妥善处理处置，不会对环境产生二次污染，对周围环境影响较小。但固体废物处理处置前在厂内的堆放、贮存场所必须严格按照国家固体废物贮存有关要求设置。</w:t>
      </w:r>
    </w:p>
    <w:p>
      <w:pPr>
        <w:pStyle w:val="31"/>
        <w:bidi w:val="0"/>
        <w:rPr>
          <w:rFonts w:hint="eastAsia"/>
          <w:color w:val="auto"/>
          <w:lang w:val="en-US" w:eastAsia="zh-CN"/>
        </w:rPr>
      </w:pPr>
      <w:bookmarkStart w:id="202" w:name="_Toc28470"/>
      <w:bookmarkStart w:id="203" w:name="_Toc13177"/>
      <w:r>
        <w:rPr>
          <w:rFonts w:hint="eastAsia"/>
          <w:color w:val="auto"/>
          <w:lang w:val="en-US" w:eastAsia="zh-CN"/>
        </w:rPr>
        <w:t>7.6运营期土壤环境影响分析</w:t>
      </w:r>
      <w:bookmarkEnd w:id="202"/>
      <w:bookmarkEnd w:id="203"/>
    </w:p>
    <w:p>
      <w:pPr>
        <w:pStyle w:val="33"/>
        <w:bidi w:val="0"/>
        <w:rPr>
          <w:rFonts w:hint="eastAsia"/>
          <w:color w:val="auto"/>
          <w:lang w:val="en-US" w:eastAsia="zh-CN"/>
        </w:rPr>
      </w:pPr>
      <w:r>
        <w:rPr>
          <w:rFonts w:hint="eastAsia"/>
          <w:color w:val="auto"/>
          <w:lang w:val="en-US" w:eastAsia="zh-CN"/>
        </w:rPr>
        <w:t>项目位于湖南绿色化工产业园云溪片区，项目所在地及项目周边用地类型均为工业用地。评价范围内无耕地和林地。根据公司工程特征，本次土壤环境影响重点预测时段为项目运营期。</w:t>
      </w:r>
    </w:p>
    <w:p>
      <w:pPr>
        <w:pStyle w:val="32"/>
        <w:bidi w:val="0"/>
        <w:rPr>
          <w:rFonts w:hint="eastAsia"/>
          <w:color w:val="auto"/>
          <w:lang w:val="en-US" w:eastAsia="zh-CN"/>
        </w:rPr>
      </w:pPr>
      <w:bookmarkStart w:id="204" w:name="_Toc2263"/>
      <w:r>
        <w:rPr>
          <w:rFonts w:hint="eastAsia"/>
          <w:color w:val="auto"/>
          <w:lang w:val="en-US" w:eastAsia="zh-CN"/>
        </w:rPr>
        <w:t>7.6.1土壤污染途经分析</w:t>
      </w:r>
      <w:bookmarkEnd w:id="204"/>
    </w:p>
    <w:p>
      <w:pPr>
        <w:pStyle w:val="33"/>
        <w:bidi w:val="0"/>
        <w:rPr>
          <w:rFonts w:hint="eastAsia"/>
          <w:color w:val="auto"/>
          <w:lang w:val="en-US" w:eastAsia="zh-CN"/>
        </w:rPr>
      </w:pPr>
      <w:r>
        <w:rPr>
          <w:rFonts w:hint="eastAsia"/>
          <w:color w:val="auto"/>
          <w:lang w:val="en-US" w:eastAsia="zh-CN"/>
        </w:rPr>
        <w:t>本项目土壤环境影响类型为污染影响型，不涉及施工期土壤环境影响。本次评价重点分析为运营期对项目地及周边区域土壤环境的影响。</w:t>
      </w:r>
    </w:p>
    <w:p>
      <w:pPr>
        <w:pStyle w:val="33"/>
        <w:bidi w:val="0"/>
        <w:rPr>
          <w:rFonts w:hint="eastAsia"/>
          <w:color w:val="auto"/>
          <w:lang w:val="en-US" w:eastAsia="zh-CN"/>
        </w:rPr>
      </w:pPr>
      <w:r>
        <w:rPr>
          <w:rFonts w:hint="eastAsia"/>
          <w:color w:val="auto"/>
          <w:lang w:val="en-US" w:eastAsia="zh-CN"/>
        </w:rPr>
        <w:t>根据项目工程分析，改扩建项目建成后，公司使用的原辅料和生产过程中不涉及重金属使用，运营期主要生产废气为产生的有机废气VOCs，因此本次土壤预测评价考虑公司排放含有机废气污染物对土壤的沉降污染影响。</w:t>
      </w:r>
    </w:p>
    <w:p>
      <w:pPr>
        <w:pStyle w:val="33"/>
        <w:bidi w:val="0"/>
        <w:rPr>
          <w:rFonts w:hint="eastAsia"/>
          <w:color w:val="auto"/>
          <w:lang w:val="en-US" w:eastAsia="zh-CN"/>
        </w:rPr>
      </w:pPr>
      <w:r>
        <w:rPr>
          <w:rFonts w:hint="eastAsia"/>
          <w:color w:val="auto"/>
          <w:lang w:val="en-US" w:eastAsia="zh-CN"/>
        </w:rPr>
        <w:t>重点考虑有机废气正常排放和液态物料、生产废水废液在事故状态下通过地面漫流的形式渗入厂区或者周边土壤的土壤污染途径。</w:t>
      </w:r>
    </w:p>
    <w:p>
      <w:pPr>
        <w:pStyle w:val="32"/>
        <w:bidi w:val="0"/>
        <w:rPr>
          <w:rFonts w:hint="eastAsia"/>
          <w:color w:val="auto"/>
          <w:lang w:val="en-US" w:eastAsia="zh-CN"/>
        </w:rPr>
      </w:pPr>
      <w:bookmarkStart w:id="205" w:name="_Toc4779"/>
      <w:r>
        <w:rPr>
          <w:rFonts w:hint="eastAsia"/>
          <w:color w:val="auto"/>
          <w:lang w:val="en-US" w:eastAsia="zh-CN"/>
        </w:rPr>
        <w:t>7.6.2土壤污染源分析</w:t>
      </w:r>
      <w:bookmarkEnd w:id="205"/>
    </w:p>
    <w:p>
      <w:pPr>
        <w:pStyle w:val="33"/>
        <w:bidi w:val="0"/>
        <w:rPr>
          <w:rFonts w:hint="eastAsia"/>
          <w:color w:val="auto"/>
          <w:lang w:val="en-US" w:eastAsia="zh-CN"/>
        </w:rPr>
      </w:pPr>
      <w:r>
        <w:rPr>
          <w:rFonts w:hint="eastAsia"/>
          <w:color w:val="auto"/>
          <w:lang w:val="en-US" w:eastAsia="zh-CN"/>
        </w:rPr>
        <w:t>正常工况下，本项目潜在土壤污染源均达到设计要求，厂区防渗区域的防渗性能完好，基本对厂界内和周边的土壤影响较小，仅考虑有机废气对区域土壤存在的沉降影响；</w:t>
      </w:r>
    </w:p>
    <w:p>
      <w:pPr>
        <w:pStyle w:val="33"/>
        <w:bidi w:val="0"/>
        <w:rPr>
          <w:rFonts w:hint="eastAsia"/>
          <w:color w:val="auto"/>
          <w:lang w:val="en-US" w:eastAsia="zh-CN"/>
        </w:rPr>
      </w:pPr>
      <w:r>
        <w:rPr>
          <w:rFonts w:hint="eastAsia"/>
          <w:color w:val="auto"/>
          <w:lang w:val="en-US" w:eastAsia="zh-CN"/>
        </w:rPr>
        <w:t>在非正常工况下，公司土壤环境影响源主要为污水站池体破损，收集的工艺废水(高浓度有机废水)漫流并深入地下土壤。</w:t>
      </w:r>
    </w:p>
    <w:p>
      <w:pPr>
        <w:pStyle w:val="32"/>
        <w:bidi w:val="0"/>
        <w:rPr>
          <w:rFonts w:hint="eastAsia"/>
          <w:color w:val="auto"/>
          <w:lang w:val="en-US" w:eastAsia="zh-CN"/>
        </w:rPr>
      </w:pPr>
      <w:bookmarkStart w:id="206" w:name="_Toc8656"/>
      <w:r>
        <w:rPr>
          <w:rFonts w:hint="eastAsia"/>
          <w:color w:val="auto"/>
          <w:lang w:val="en-US" w:eastAsia="zh-CN"/>
        </w:rPr>
        <w:t>7.6.3情景设置</w:t>
      </w:r>
      <w:bookmarkEnd w:id="206"/>
    </w:p>
    <w:p>
      <w:pPr>
        <w:pStyle w:val="33"/>
        <w:bidi w:val="0"/>
        <w:rPr>
          <w:rFonts w:hint="eastAsia"/>
          <w:color w:val="auto"/>
          <w:lang w:val="en-US" w:eastAsia="zh-CN"/>
        </w:rPr>
      </w:pPr>
      <w:r>
        <w:rPr>
          <w:rFonts w:hint="eastAsia"/>
          <w:color w:val="auto"/>
          <w:lang w:val="en-US" w:eastAsia="zh-CN"/>
        </w:rPr>
        <w:t>1、正常状况</w:t>
      </w:r>
    </w:p>
    <w:p>
      <w:pPr>
        <w:pStyle w:val="33"/>
        <w:bidi w:val="0"/>
        <w:rPr>
          <w:rFonts w:hint="eastAsia"/>
          <w:color w:val="auto"/>
          <w:lang w:val="en-US" w:eastAsia="zh-CN"/>
        </w:rPr>
      </w:pPr>
      <w:r>
        <w:rPr>
          <w:rFonts w:hint="eastAsia"/>
          <w:color w:val="auto"/>
          <w:lang w:val="en-US" w:eastAsia="zh-CN"/>
        </w:rPr>
        <w:t>正常状况下，即使没有采取特殊的防渗措施，按化工装置的建设规范要求，装置区、罐区也必须是钢筋混凝土进行表面硬化处理，原料、物料及污水输送管线也是必须经过防腐防渗处理。根据化工项目近年的运行管理经验，在采取源头和分区防控措施的基础上，正常状况下不应有物料暴露而发生渗漏至地下的情景发生。因此，本次土壤污染预测情景主要针对生产车间正常状况排放的有机废气中对区域土壤大气沉降环境影响进行设定。</w:t>
      </w:r>
    </w:p>
    <w:p>
      <w:pPr>
        <w:pStyle w:val="33"/>
        <w:bidi w:val="0"/>
        <w:rPr>
          <w:rFonts w:hint="eastAsia"/>
          <w:color w:val="auto"/>
          <w:lang w:val="en-US" w:eastAsia="zh-CN"/>
        </w:rPr>
      </w:pPr>
      <w:r>
        <w:rPr>
          <w:rFonts w:hint="eastAsia"/>
          <w:color w:val="auto"/>
          <w:lang w:val="en-US" w:eastAsia="zh-CN"/>
        </w:rPr>
        <w:t>2、非正常状况（风险事故状况）</w:t>
      </w:r>
    </w:p>
    <w:p>
      <w:pPr>
        <w:pStyle w:val="33"/>
        <w:bidi w:val="0"/>
        <w:rPr>
          <w:rFonts w:hint="eastAsia"/>
          <w:color w:val="auto"/>
          <w:lang w:val="en-US" w:eastAsia="zh-CN"/>
        </w:rPr>
      </w:pPr>
      <w:r>
        <w:rPr>
          <w:rFonts w:hint="eastAsia"/>
          <w:color w:val="auto"/>
          <w:lang w:val="en-US" w:eastAsia="zh-CN"/>
        </w:rPr>
        <w:t>项目厂区设置各个装置区污水收集、1座初期雨水池等污水暂存设施。生产区雨水经生产区域的雨水明沟收集排放系统输送到装置区污水处理站内。事故状态下装置区域的事故废水经过雨水排放系统收集输送到装置区污水处理站内，储存容积不够时可通过园区事故水排放系统至云溪片区工业园园区事故水池。因此非正常状况下能够保证雨水与事故水通过雨水收集系统进行收集，不存在任雨水与事故水地表随意漫流的情况。</w:t>
      </w:r>
    </w:p>
    <w:p>
      <w:pPr>
        <w:pStyle w:val="33"/>
        <w:bidi w:val="0"/>
        <w:rPr>
          <w:rFonts w:hint="eastAsia"/>
          <w:color w:val="auto"/>
          <w:lang w:val="en-US" w:eastAsia="zh-CN"/>
        </w:rPr>
      </w:pPr>
      <w:r>
        <w:rPr>
          <w:rFonts w:hint="eastAsia"/>
          <w:color w:val="auto"/>
          <w:lang w:val="en-US" w:eastAsia="zh-CN"/>
        </w:rPr>
        <w:t>非正常状况下，厂区事故泄漏物料对厂区外部的土壤污染低，其对土壤的污染主要是由泄漏到大气环境中的事故污染物沉降到土壤中引起的。但是厂区不使用重金属类物料且发生大气风险事故泄漏污染物总量不高，而且是属于短期事故，通过大气沉降对厂界外土壤造成污染的可能性很小。因此，根据本化工企业的实际情况分析，如果是装置区或罐区等可视场所发生硬化面破损，即使有物料或污水等泄漏，建设单位在采取相应的风险防控措施，不可能任由物料或污水漫流渗漏，任其渗入土壤。因此，只在污水管线、污水储存池等这些半地下非可视部位发生小面积渗漏时，才可能有少量物料通过漏点，逐渐渗入进入土壤。本次评价考虑如下非正常泄漏废水入渗区域土壤情况：</w:t>
      </w:r>
    </w:p>
    <w:p>
      <w:pPr>
        <w:pStyle w:val="33"/>
        <w:bidi w:val="0"/>
        <w:rPr>
          <w:rFonts w:hint="eastAsia"/>
          <w:color w:val="auto"/>
          <w:lang w:val="en-US" w:eastAsia="zh-CN"/>
        </w:rPr>
      </w:pPr>
      <w:r>
        <w:rPr>
          <w:rFonts w:hint="eastAsia"/>
          <w:color w:val="auto"/>
          <w:lang w:val="en-US" w:eastAsia="zh-CN"/>
        </w:rPr>
        <w:t>污水站池体破损，工艺废水(高浓度有机废水)漫流并入渗地下土壤表层情景模式：根据建设单位提供现有生产相关资料，收集的有机工艺废水中，每批次收集工艺废水中约有机物含量13.91kg。</w:t>
      </w:r>
    </w:p>
    <w:p>
      <w:pPr>
        <w:pStyle w:val="32"/>
        <w:bidi w:val="0"/>
        <w:rPr>
          <w:rFonts w:hint="eastAsia"/>
          <w:color w:val="auto"/>
          <w:lang w:val="en-US" w:eastAsia="zh-CN"/>
        </w:rPr>
      </w:pPr>
      <w:bookmarkStart w:id="207" w:name="_Toc20273"/>
      <w:r>
        <w:rPr>
          <w:rFonts w:hint="eastAsia"/>
          <w:color w:val="auto"/>
          <w:lang w:val="en-US" w:eastAsia="zh-CN"/>
        </w:rPr>
        <w:t>7.6.4预测因子与方法</w:t>
      </w:r>
      <w:bookmarkEnd w:id="207"/>
    </w:p>
    <w:p>
      <w:pPr>
        <w:pStyle w:val="33"/>
        <w:bidi w:val="0"/>
        <w:rPr>
          <w:rFonts w:hint="eastAsia"/>
          <w:color w:val="auto"/>
          <w:lang w:val="en-US" w:eastAsia="zh-CN"/>
        </w:rPr>
      </w:pPr>
      <w:r>
        <w:rPr>
          <w:rFonts w:hint="eastAsia"/>
          <w:color w:val="auto"/>
          <w:lang w:val="en-US" w:eastAsia="zh-CN"/>
        </w:rPr>
        <w:t>项目为土壤污染影响型建设项目，评价工作等级为二级，本次评价选取HJ964-2018附录E推荐土壤环境影响预测方法一，该方法适用于某种物质可概化为以面源形式进入土壤环境的影响预测，包括大气沉降、地面漫流等，较为符合本项目可能发生的土壤污染途径分析结果。根据拟定的土壤污染影响情景设置，预测因子选定为有机物(CODcr)。</w:t>
      </w:r>
    </w:p>
    <w:p>
      <w:pPr>
        <w:pStyle w:val="33"/>
        <w:bidi w:val="0"/>
        <w:rPr>
          <w:rFonts w:hint="eastAsia"/>
          <w:color w:val="auto"/>
          <w:lang w:val="en-US" w:eastAsia="zh-CN"/>
        </w:rPr>
      </w:pPr>
      <w:r>
        <w:rPr>
          <w:rFonts w:hint="eastAsia"/>
          <w:color w:val="auto"/>
          <w:lang w:val="en-US" w:eastAsia="zh-CN"/>
        </w:rPr>
        <w:t>具体预测模式方法如下:</w:t>
      </w:r>
    </w:p>
    <w:p>
      <w:pPr>
        <w:pStyle w:val="33"/>
        <w:bidi w:val="0"/>
        <w:rPr>
          <w:rFonts w:hint="eastAsia"/>
          <w:color w:val="auto"/>
          <w:lang w:val="en-US" w:eastAsia="zh-CN"/>
        </w:rPr>
      </w:pPr>
      <w:r>
        <w:rPr>
          <w:rFonts w:hint="eastAsia"/>
          <w:color w:val="auto"/>
          <w:lang w:val="en-US" w:eastAsia="zh-CN"/>
        </w:rPr>
        <w:t>①单位质量土壤中某种物质的增量可用下式计算:</w:t>
      </w:r>
    </w:p>
    <w:p>
      <w:pPr>
        <w:pStyle w:val="33"/>
        <w:bidi w:val="0"/>
        <w:jc w:val="center"/>
        <w:rPr>
          <w:rFonts w:hint="eastAsia"/>
          <w:color w:val="auto"/>
          <w:lang w:val="en-US" w:eastAsia="zh-CN"/>
        </w:rPr>
      </w:pPr>
      <w:r>
        <w:rPr>
          <w:rFonts w:hint="eastAsia"/>
          <w:color w:val="auto"/>
          <w:position w:val="-12"/>
          <w:lang w:val="en-US" w:eastAsia="zh-CN"/>
        </w:rPr>
        <w:object>
          <v:shape id="_x0000_i1038" o:spt="75" type="#_x0000_t75" style="height:18pt;width:168pt;" o:ole="t" filled="f" o:preferrelative="t" stroked="f" coordsize="21600,21600">
            <v:path/>
            <v:fill on="f" focussize="0,0"/>
            <v:stroke on="f"/>
            <v:imagedata r:id="rId67" o:title=""/>
            <o:lock v:ext="edit" aspectratio="t"/>
            <w10:wrap type="none"/>
            <w10:anchorlock/>
          </v:shape>
          <o:OLEObject Type="Embed" ProgID="Equation.KSEE3" ShapeID="_x0000_i1038" DrawAspect="Content" ObjectID="_1468075738" r:id="rId66">
            <o:LockedField>false</o:LockedField>
          </o:OLEObject>
        </w:object>
      </w:r>
    </w:p>
    <w:p>
      <w:pPr>
        <w:pStyle w:val="33"/>
        <w:bidi w:val="0"/>
        <w:ind w:left="0" w:leftChars="0" w:firstLine="0" w:firstLineChars="0"/>
        <w:rPr>
          <w:rFonts w:hint="eastAsia"/>
          <w:color w:val="auto"/>
          <w:lang w:val="en-US" w:eastAsia="zh-CN"/>
        </w:rPr>
      </w:pPr>
      <w:r>
        <w:rPr>
          <w:rFonts w:hint="eastAsia"/>
          <w:color w:val="auto"/>
          <w:lang w:val="en-US" w:eastAsia="zh-CN"/>
        </w:rPr>
        <w:t>式中:</w:t>
      </w:r>
      <w:r>
        <w:rPr>
          <w:rFonts w:hint="eastAsia"/>
          <w:i/>
          <w:iCs/>
          <w:color w:val="auto"/>
          <w:lang w:val="en-US" w:eastAsia="zh-CN"/>
        </w:rPr>
        <w:t>△S</w:t>
      </w:r>
      <w:r>
        <w:rPr>
          <w:rFonts w:hint="eastAsia"/>
          <w:color w:val="auto"/>
          <w:lang w:val="en-US" w:eastAsia="zh-CN"/>
        </w:rPr>
        <w:t>--单位质量表层土壤中某种物质的增量，g/kg;</w:t>
      </w:r>
    </w:p>
    <w:p>
      <w:pPr>
        <w:pStyle w:val="33"/>
        <w:bidi w:val="0"/>
        <w:rPr>
          <w:rFonts w:hint="eastAsia"/>
          <w:color w:val="auto"/>
          <w:lang w:val="en-US" w:eastAsia="zh-CN"/>
        </w:rPr>
      </w:pPr>
      <w:r>
        <w:rPr>
          <w:rFonts w:hint="eastAsia"/>
          <w:color w:val="auto"/>
          <w:lang w:val="en-US" w:eastAsia="zh-CN"/>
        </w:rPr>
        <w:t>表层土壤中游离酸或游离碱浓度增量，mmol/kg;</w:t>
      </w:r>
    </w:p>
    <w:p>
      <w:pPr>
        <w:pStyle w:val="33"/>
        <w:bidi w:val="0"/>
        <w:rPr>
          <w:rFonts w:hint="eastAsia"/>
          <w:color w:val="auto"/>
          <w:lang w:val="en-US" w:eastAsia="zh-CN"/>
        </w:rPr>
      </w:pPr>
      <w:r>
        <w:rPr>
          <w:rFonts w:hint="eastAsia"/>
          <w:color w:val="auto"/>
          <w:lang w:val="en-US" w:eastAsia="zh-CN"/>
        </w:rPr>
        <w:t>Is--预测评价范围内单位年份表层土壤中某种物质的输入量，g;</w:t>
      </w:r>
    </w:p>
    <w:p>
      <w:pPr>
        <w:pStyle w:val="33"/>
        <w:bidi w:val="0"/>
        <w:rPr>
          <w:rFonts w:hint="eastAsia"/>
          <w:color w:val="auto"/>
          <w:lang w:val="en-US" w:eastAsia="zh-CN"/>
        </w:rPr>
      </w:pPr>
      <w:r>
        <w:rPr>
          <w:rFonts w:hint="eastAsia"/>
          <w:color w:val="auto"/>
          <w:lang w:val="en-US" w:eastAsia="zh-CN"/>
        </w:rPr>
        <w:t>预测评价范围内单位年份表层土壤中游离酸、游离碱输入量，mmol; .</w:t>
      </w:r>
    </w:p>
    <w:p>
      <w:pPr>
        <w:pStyle w:val="33"/>
        <w:bidi w:val="0"/>
        <w:rPr>
          <w:rFonts w:hint="eastAsia"/>
          <w:color w:val="auto"/>
          <w:lang w:val="en-US" w:eastAsia="zh-CN"/>
        </w:rPr>
      </w:pPr>
      <w:r>
        <w:rPr>
          <w:rFonts w:hint="eastAsia"/>
          <w:color w:val="auto"/>
          <w:lang w:val="en-US" w:eastAsia="zh-CN"/>
        </w:rPr>
        <w:t>Ls--预测评价范围内单位年份表层土壤中某种物质经淋溶排出的量，g;</w:t>
      </w:r>
    </w:p>
    <w:p>
      <w:pPr>
        <w:pStyle w:val="33"/>
        <w:bidi w:val="0"/>
        <w:rPr>
          <w:rFonts w:hint="eastAsia"/>
          <w:color w:val="auto"/>
          <w:lang w:val="en-US" w:eastAsia="zh-CN"/>
        </w:rPr>
      </w:pPr>
      <w:r>
        <w:rPr>
          <w:rFonts w:hint="eastAsia"/>
          <w:color w:val="auto"/>
          <w:lang w:val="en-US" w:eastAsia="zh-CN"/>
        </w:rPr>
        <w:t>预测评价范围内单位年份表层土壤中经淋溶排出的游离酸、游离碱的量，mmol;</w:t>
      </w:r>
    </w:p>
    <w:p>
      <w:pPr>
        <w:pStyle w:val="33"/>
        <w:bidi w:val="0"/>
        <w:rPr>
          <w:rFonts w:hint="eastAsia"/>
          <w:color w:val="auto"/>
          <w:lang w:val="en-US" w:eastAsia="zh-CN"/>
        </w:rPr>
      </w:pPr>
      <w:r>
        <w:rPr>
          <w:rFonts w:hint="eastAsia"/>
          <w:color w:val="auto"/>
          <w:lang w:val="en-US" w:eastAsia="zh-CN"/>
        </w:rPr>
        <w:t>Rs--预测评价范围内单位年份表层土壤中某种物质经径流排出的量，g;</w:t>
      </w:r>
    </w:p>
    <w:p>
      <w:pPr>
        <w:pStyle w:val="33"/>
        <w:bidi w:val="0"/>
        <w:rPr>
          <w:rFonts w:hint="eastAsia"/>
          <w:color w:val="auto"/>
          <w:lang w:val="en-US" w:eastAsia="zh-CN"/>
        </w:rPr>
      </w:pPr>
      <w:r>
        <w:rPr>
          <w:rFonts w:hint="eastAsia"/>
          <w:color w:val="auto"/>
          <w:lang w:val="en-US" w:eastAsia="zh-CN"/>
        </w:rPr>
        <w:t>预测评价范围内单位年份表层土壤中经径流排出的游离酸、游离碱的量，mmol;</w:t>
      </w:r>
    </w:p>
    <w:p>
      <w:pPr>
        <w:pStyle w:val="33"/>
        <w:bidi w:val="0"/>
        <w:rPr>
          <w:rFonts w:hint="eastAsia"/>
          <w:color w:val="auto"/>
          <w:lang w:val="en-US" w:eastAsia="zh-CN"/>
        </w:rPr>
      </w:pPr>
      <w:r>
        <w:rPr>
          <w:rFonts w:hint="eastAsia"/>
          <w:i/>
          <w:iCs/>
          <w:color w:val="auto"/>
          <w:lang w:val="en-US" w:eastAsia="zh-CN"/>
        </w:rPr>
        <w:t>Ρ</w:t>
      </w:r>
      <w:r>
        <w:rPr>
          <w:rFonts w:hint="eastAsia"/>
          <w:color w:val="auto"/>
          <w:vertAlign w:val="subscript"/>
          <w:lang w:val="en-US" w:eastAsia="zh-CN"/>
        </w:rPr>
        <w:t>b</w:t>
      </w:r>
      <w:r>
        <w:rPr>
          <w:rFonts w:hint="eastAsia"/>
          <w:color w:val="auto"/>
          <w:vertAlign w:val="baseline"/>
          <w:lang w:val="en-US" w:eastAsia="zh-CN"/>
        </w:rPr>
        <w:t>--</w:t>
      </w:r>
      <w:r>
        <w:rPr>
          <w:rFonts w:hint="eastAsia"/>
          <w:color w:val="auto"/>
          <w:lang w:val="en-US" w:eastAsia="zh-CN"/>
        </w:rPr>
        <w:t>表层土壤容重，kg/m</w:t>
      </w:r>
      <w:r>
        <w:rPr>
          <w:rFonts w:hint="eastAsia"/>
          <w:color w:val="auto"/>
          <w:vertAlign w:val="superscript"/>
          <w:lang w:val="en-US" w:eastAsia="zh-CN"/>
        </w:rPr>
        <w:t>3</w:t>
      </w:r>
      <w:r>
        <w:rPr>
          <w:rFonts w:hint="eastAsia"/>
          <w:color w:val="auto"/>
          <w:lang w:val="en-US" w:eastAsia="zh-CN"/>
        </w:rPr>
        <w:t>;</w:t>
      </w:r>
    </w:p>
    <w:p>
      <w:pPr>
        <w:pStyle w:val="33"/>
        <w:bidi w:val="0"/>
        <w:rPr>
          <w:rFonts w:hint="eastAsia"/>
          <w:color w:val="auto"/>
          <w:lang w:val="en-US" w:eastAsia="zh-CN"/>
        </w:rPr>
      </w:pPr>
      <w:r>
        <w:rPr>
          <w:rFonts w:hint="eastAsia"/>
          <w:color w:val="auto"/>
          <w:lang w:val="en-US" w:eastAsia="zh-CN"/>
        </w:rPr>
        <w:t>A--预测评价范围，m</w:t>
      </w:r>
      <w:r>
        <w:rPr>
          <w:rFonts w:hint="eastAsia"/>
          <w:color w:val="auto"/>
          <w:vertAlign w:val="superscript"/>
          <w:lang w:val="en-US" w:eastAsia="zh-CN"/>
        </w:rPr>
        <w:t>2</w:t>
      </w:r>
      <w:r>
        <w:rPr>
          <w:rFonts w:hint="eastAsia"/>
          <w:color w:val="auto"/>
          <w:lang w:val="en-US" w:eastAsia="zh-CN"/>
        </w:rPr>
        <w:t>;</w:t>
      </w:r>
    </w:p>
    <w:p>
      <w:pPr>
        <w:pStyle w:val="33"/>
        <w:bidi w:val="0"/>
        <w:rPr>
          <w:rFonts w:hint="eastAsia"/>
          <w:color w:val="auto"/>
          <w:lang w:val="en-US" w:eastAsia="zh-CN"/>
        </w:rPr>
      </w:pPr>
      <w:r>
        <w:rPr>
          <w:rFonts w:hint="eastAsia"/>
          <w:color w:val="auto"/>
          <w:lang w:val="en-US" w:eastAsia="zh-CN"/>
        </w:rPr>
        <w:t>D--表层土壤深度，一般取0.2m,可根据实际情况适当调整;</w:t>
      </w:r>
    </w:p>
    <w:p>
      <w:pPr>
        <w:pStyle w:val="33"/>
        <w:bidi w:val="0"/>
        <w:rPr>
          <w:rFonts w:hint="default"/>
          <w:color w:val="auto"/>
          <w:lang w:val="en-US" w:eastAsia="zh-CN"/>
        </w:rPr>
      </w:pPr>
      <w:r>
        <w:rPr>
          <w:rFonts w:hint="eastAsia"/>
          <w:color w:val="auto"/>
          <w:lang w:val="en-US" w:eastAsia="zh-CN"/>
        </w:rPr>
        <w:t>n--持续年份，a.</w:t>
      </w:r>
    </w:p>
    <w:p>
      <w:pPr>
        <w:pStyle w:val="33"/>
        <w:bidi w:val="0"/>
        <w:rPr>
          <w:rFonts w:hint="eastAsia"/>
          <w:color w:val="auto"/>
          <w:lang w:val="en-US" w:eastAsia="zh-CN"/>
        </w:rPr>
      </w:pPr>
      <w:r>
        <w:rPr>
          <w:rFonts w:hint="eastAsia"/>
          <w:color w:val="auto"/>
          <w:lang w:val="en-US" w:eastAsia="zh-CN"/>
        </w:rPr>
        <w:t>②单位质量土壤中某种物质的预测值可根据其增量叠加现状值进行计算</w:t>
      </w:r>
    </w:p>
    <w:p>
      <w:pPr>
        <w:pStyle w:val="33"/>
        <w:bidi w:val="0"/>
        <w:jc w:val="center"/>
        <w:rPr>
          <w:rFonts w:hint="eastAsia"/>
          <w:color w:val="auto"/>
          <w:lang w:val="en-US" w:eastAsia="zh-CN"/>
        </w:rPr>
      </w:pPr>
      <w:r>
        <w:rPr>
          <w:rFonts w:hint="eastAsia"/>
          <w:color w:val="auto"/>
          <w:position w:val="-12"/>
          <w:lang w:val="en-US" w:eastAsia="zh-CN"/>
        </w:rPr>
        <w:object>
          <v:shape id="_x0000_i1039" o:spt="75" type="#_x0000_t75" style="height:18pt;width:60pt;" o:ole="t" filled="f" o:preferrelative="t" stroked="f" coordsize="21600,21600">
            <v:path/>
            <v:fill on="f" focussize="0,0"/>
            <v:stroke on="f"/>
            <v:imagedata r:id="rId69" o:title=""/>
            <o:lock v:ext="edit" aspectratio="t"/>
            <w10:wrap type="none"/>
            <w10:anchorlock/>
          </v:shape>
          <o:OLEObject Type="Embed" ProgID="Equation.KSEE3" ShapeID="_x0000_i1039" DrawAspect="Content" ObjectID="_1468075739" r:id="rId68">
            <o:LockedField>false</o:LockedField>
          </o:OLEObject>
        </w:object>
      </w:r>
    </w:p>
    <w:p>
      <w:pPr>
        <w:pStyle w:val="33"/>
        <w:bidi w:val="0"/>
        <w:rPr>
          <w:rFonts w:hint="eastAsia"/>
          <w:color w:val="auto"/>
          <w:lang w:val="en-US" w:eastAsia="zh-CN"/>
        </w:rPr>
      </w:pPr>
      <w:r>
        <w:rPr>
          <w:rFonts w:hint="eastAsia"/>
          <w:color w:val="auto"/>
          <w:lang w:val="en-US" w:eastAsia="zh-CN"/>
        </w:rPr>
        <w:t>式中:</w:t>
      </w:r>
    </w:p>
    <w:p>
      <w:pPr>
        <w:pStyle w:val="33"/>
        <w:bidi w:val="0"/>
        <w:rPr>
          <w:rFonts w:hint="default"/>
          <w:color w:val="auto"/>
          <w:lang w:val="en-US" w:eastAsia="zh-CN"/>
        </w:rPr>
      </w:pPr>
      <w:r>
        <w:rPr>
          <w:rFonts w:hint="eastAsia"/>
          <w:color w:val="auto"/>
          <w:lang w:val="en-US" w:eastAsia="zh-CN"/>
        </w:rPr>
        <w:t>S</w:t>
      </w:r>
      <w:r>
        <w:rPr>
          <w:rFonts w:hint="eastAsia"/>
          <w:color w:val="auto"/>
          <w:vertAlign w:val="subscript"/>
          <w:lang w:val="en-US" w:eastAsia="zh-CN"/>
        </w:rPr>
        <w:t>b</w:t>
      </w:r>
      <w:r>
        <w:rPr>
          <w:rFonts w:hint="eastAsia"/>
          <w:color w:val="auto"/>
          <w:lang w:val="en-US" w:eastAsia="zh-CN"/>
        </w:rPr>
        <w:t>--单位质量土壤中某种物质的现状值，g/kg;</w:t>
      </w:r>
    </w:p>
    <w:p>
      <w:pPr>
        <w:pStyle w:val="33"/>
        <w:bidi w:val="0"/>
        <w:rPr>
          <w:rFonts w:hint="eastAsia"/>
          <w:color w:val="auto"/>
          <w:lang w:val="en-US" w:eastAsia="zh-CN"/>
        </w:rPr>
      </w:pPr>
      <w:r>
        <w:rPr>
          <w:rFonts w:hint="eastAsia"/>
          <w:color w:val="auto"/>
          <w:lang w:val="en-US" w:eastAsia="zh-CN"/>
        </w:rPr>
        <w:t>S--单位质量土壤中某种物质的预测值，g/kg。</w:t>
      </w:r>
    </w:p>
    <w:p>
      <w:pPr>
        <w:pStyle w:val="32"/>
        <w:bidi w:val="0"/>
        <w:rPr>
          <w:rFonts w:hint="eastAsia"/>
          <w:color w:val="auto"/>
          <w:lang w:val="en-US" w:eastAsia="zh-CN"/>
        </w:rPr>
      </w:pPr>
      <w:bookmarkStart w:id="208" w:name="_Toc21650"/>
      <w:r>
        <w:rPr>
          <w:rFonts w:hint="eastAsia"/>
          <w:color w:val="auto"/>
          <w:lang w:val="en-US" w:eastAsia="zh-CN"/>
        </w:rPr>
        <w:t>7.6.5预测参数的选取</w:t>
      </w:r>
      <w:bookmarkEnd w:id="208"/>
    </w:p>
    <w:p>
      <w:pPr>
        <w:pStyle w:val="33"/>
        <w:bidi w:val="0"/>
        <w:rPr>
          <w:rFonts w:hint="eastAsia"/>
          <w:color w:val="auto"/>
          <w:lang w:val="en-US" w:eastAsia="zh-CN"/>
        </w:rPr>
      </w:pPr>
      <w:r>
        <w:rPr>
          <w:rFonts w:hint="eastAsia"/>
          <w:color w:val="auto"/>
          <w:lang w:val="en-US" w:eastAsia="zh-CN"/>
        </w:rPr>
        <w:t>根据工程特性和区域土壤历史资料查阅，本次预测相关参数选取见下表:</w:t>
      </w:r>
    </w:p>
    <w:p>
      <w:pPr>
        <w:pStyle w:val="36"/>
        <w:bidi w:val="0"/>
        <w:rPr>
          <w:rFonts w:hint="eastAsia"/>
          <w:color w:val="auto"/>
          <w:lang w:val="en-US" w:eastAsia="zh-CN"/>
        </w:rPr>
      </w:pPr>
      <w:r>
        <w:rPr>
          <w:rFonts w:hint="eastAsia"/>
          <w:color w:val="auto"/>
          <w:lang w:val="en-US" w:eastAsia="zh-CN"/>
        </w:rPr>
        <w:t>表7.7-1土壤环境影响预测参数选择</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845"/>
        <w:gridCol w:w="1555"/>
        <w:gridCol w:w="1500"/>
        <w:gridCol w:w="49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71"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序号</w:t>
            </w:r>
          </w:p>
        </w:tc>
        <w:tc>
          <w:tcPr>
            <w:tcW w:w="444"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参数</w:t>
            </w:r>
          </w:p>
        </w:tc>
        <w:tc>
          <w:tcPr>
            <w:tcW w:w="81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单位</w:t>
            </w:r>
          </w:p>
        </w:tc>
        <w:tc>
          <w:tcPr>
            <w:tcW w:w="78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取值</w:t>
            </w:r>
          </w:p>
        </w:tc>
        <w:tc>
          <w:tcPr>
            <w:tcW w:w="257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71"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w:t>
            </w:r>
          </w:p>
        </w:tc>
        <w:tc>
          <w:tcPr>
            <w:tcW w:w="444"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Is</w:t>
            </w:r>
          </w:p>
        </w:tc>
        <w:tc>
          <w:tcPr>
            <w:tcW w:w="81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g</w:t>
            </w:r>
          </w:p>
        </w:tc>
        <w:tc>
          <w:tcPr>
            <w:tcW w:w="78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CODcr:13910</w:t>
            </w:r>
          </w:p>
        </w:tc>
        <w:tc>
          <w:tcPr>
            <w:tcW w:w="2578"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按事故状态下，每年发生污水池内高浓度有机废水泄漏</w:t>
            </w:r>
          </w:p>
        </w:tc>
      </w:tr>
      <w:tr>
        <w:tc>
          <w:tcPr>
            <w:tcW w:w="371"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2</w:t>
            </w:r>
          </w:p>
        </w:tc>
        <w:tc>
          <w:tcPr>
            <w:tcW w:w="444"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Ls</w:t>
            </w:r>
          </w:p>
        </w:tc>
        <w:tc>
          <w:tcPr>
            <w:tcW w:w="817"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g</w:t>
            </w:r>
          </w:p>
        </w:tc>
        <w:tc>
          <w:tcPr>
            <w:tcW w:w="78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0</w:t>
            </w:r>
          </w:p>
        </w:tc>
        <w:tc>
          <w:tcPr>
            <w:tcW w:w="2578"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按最不利情况，不考虑土壤淋溶排出量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8" w:hRule="atLeast"/>
        </w:trPr>
        <w:tc>
          <w:tcPr>
            <w:tcW w:w="371"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3</w:t>
            </w:r>
          </w:p>
        </w:tc>
        <w:tc>
          <w:tcPr>
            <w:tcW w:w="444"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Rs</w:t>
            </w:r>
          </w:p>
        </w:tc>
        <w:tc>
          <w:tcPr>
            <w:tcW w:w="817"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g</w:t>
            </w:r>
          </w:p>
        </w:tc>
        <w:tc>
          <w:tcPr>
            <w:tcW w:w="78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0</w:t>
            </w:r>
          </w:p>
        </w:tc>
        <w:tc>
          <w:tcPr>
            <w:tcW w:w="2578"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按最不利情况，不考虑地下径流排出量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71"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4</w:t>
            </w:r>
          </w:p>
        </w:tc>
        <w:tc>
          <w:tcPr>
            <w:tcW w:w="444" w:type="pct"/>
            <w:tcBorders>
              <w:tl2br w:val="nil"/>
              <w:tr2bl w:val="nil"/>
            </w:tcBorders>
            <w:noWrap w:val="0"/>
            <w:vAlign w:val="center"/>
          </w:tcPr>
          <w:p>
            <w:pPr>
              <w:pStyle w:val="35"/>
              <w:bidi w:val="0"/>
              <w:jc w:val="center"/>
              <w:rPr>
                <w:rFonts w:hint="eastAsia"/>
                <w:color w:val="auto"/>
                <w:lang w:val="en-US" w:eastAsia="zh-CN"/>
              </w:rPr>
            </w:pPr>
            <w:r>
              <w:rPr>
                <w:rFonts w:hint="eastAsia"/>
                <w:i/>
                <w:iCs/>
                <w:color w:val="auto"/>
                <w:lang w:val="en-US" w:eastAsia="zh-CN"/>
              </w:rPr>
              <w:t>ρ</w:t>
            </w:r>
            <w:r>
              <w:rPr>
                <w:rFonts w:hint="eastAsia"/>
                <w:color w:val="auto"/>
                <w:vertAlign w:val="subscript"/>
                <w:lang w:val="en-US" w:eastAsia="zh-CN"/>
              </w:rPr>
              <w:t>b</w:t>
            </w:r>
          </w:p>
        </w:tc>
        <w:tc>
          <w:tcPr>
            <w:tcW w:w="81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Kg/m</w:t>
            </w:r>
            <w:r>
              <w:rPr>
                <w:rFonts w:hint="eastAsia"/>
                <w:color w:val="auto"/>
                <w:vertAlign w:val="superscript"/>
                <w:lang w:val="en-US" w:eastAsia="zh-CN"/>
              </w:rPr>
              <w:t>3</w:t>
            </w:r>
          </w:p>
        </w:tc>
        <w:tc>
          <w:tcPr>
            <w:tcW w:w="78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1540</w:t>
            </w:r>
          </w:p>
        </w:tc>
        <w:tc>
          <w:tcPr>
            <w:tcW w:w="2578"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查阅区域土壤历史勘察资料</w:t>
            </w:r>
          </w:p>
        </w:tc>
      </w:tr>
      <w:tr>
        <w:tc>
          <w:tcPr>
            <w:tcW w:w="371"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5</w:t>
            </w:r>
          </w:p>
        </w:tc>
        <w:tc>
          <w:tcPr>
            <w:tcW w:w="444"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A</w:t>
            </w:r>
          </w:p>
        </w:tc>
        <w:tc>
          <w:tcPr>
            <w:tcW w:w="81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m</w:t>
            </w:r>
            <w:r>
              <w:rPr>
                <w:rFonts w:hint="eastAsia"/>
                <w:color w:val="auto"/>
                <w:vertAlign w:val="superscript"/>
                <w:lang w:val="en-US" w:eastAsia="zh-CN"/>
              </w:rPr>
              <w:t>2</w:t>
            </w:r>
          </w:p>
        </w:tc>
        <w:tc>
          <w:tcPr>
            <w:tcW w:w="78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7</w:t>
            </w:r>
          </w:p>
        </w:tc>
        <w:tc>
          <w:tcPr>
            <w:tcW w:w="257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一般取值考虑不利情况(泄漏在较小面积范围内)，污染物仅分散在周边7m</w:t>
            </w:r>
            <w:r>
              <w:rPr>
                <w:rFonts w:hint="eastAsia"/>
                <w:color w:val="auto"/>
                <w:vertAlign w:val="superscript"/>
                <w:lang w:val="en-US" w:eastAsia="zh-CN"/>
              </w:rPr>
              <w:t>2</w:t>
            </w:r>
            <w:r>
              <w:rPr>
                <w:rFonts w:hint="eastAsia"/>
                <w:color w:val="auto"/>
                <w:lang w:val="en-US" w:eastAsia="zh-CN"/>
              </w:rPr>
              <w:t>范围内</w:t>
            </w:r>
          </w:p>
        </w:tc>
      </w:tr>
      <w:tr>
        <w:tc>
          <w:tcPr>
            <w:tcW w:w="371"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6</w:t>
            </w:r>
          </w:p>
        </w:tc>
        <w:tc>
          <w:tcPr>
            <w:tcW w:w="444"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D</w:t>
            </w:r>
          </w:p>
        </w:tc>
        <w:tc>
          <w:tcPr>
            <w:tcW w:w="81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m</w:t>
            </w:r>
            <w:r>
              <w:rPr>
                <w:rFonts w:hint="eastAsia"/>
                <w:color w:val="auto"/>
                <w:vertAlign w:val="superscript"/>
                <w:lang w:val="en-US" w:eastAsia="zh-CN"/>
              </w:rPr>
              <w:t>2</w:t>
            </w:r>
          </w:p>
        </w:tc>
        <w:tc>
          <w:tcPr>
            <w:tcW w:w="788"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0.2</w:t>
            </w:r>
          </w:p>
        </w:tc>
        <w:tc>
          <w:tcPr>
            <w:tcW w:w="2578"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一般取值</w:t>
            </w:r>
          </w:p>
        </w:tc>
      </w:tr>
      <w:tr>
        <w:tc>
          <w:tcPr>
            <w:tcW w:w="371"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7</w:t>
            </w:r>
          </w:p>
        </w:tc>
        <w:tc>
          <w:tcPr>
            <w:tcW w:w="444"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S</w:t>
            </w:r>
            <w:r>
              <w:rPr>
                <w:rFonts w:hint="eastAsia"/>
                <w:color w:val="auto"/>
                <w:vertAlign w:val="subscript"/>
                <w:lang w:val="en-US" w:eastAsia="zh-CN"/>
              </w:rPr>
              <w:t>b</w:t>
            </w:r>
          </w:p>
        </w:tc>
        <w:tc>
          <w:tcPr>
            <w:tcW w:w="81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g/kg</w:t>
            </w:r>
          </w:p>
        </w:tc>
        <w:tc>
          <w:tcPr>
            <w:tcW w:w="788" w:type="pct"/>
            <w:tcBorders>
              <w:tl2br w:val="nil"/>
              <w:tr2bl w:val="nil"/>
            </w:tcBorders>
            <w:noWrap w:val="0"/>
            <w:vAlign w:val="center"/>
          </w:tcPr>
          <w:p>
            <w:pPr>
              <w:pStyle w:val="35"/>
              <w:bidi w:val="0"/>
              <w:jc w:val="center"/>
              <w:rPr>
                <w:rFonts w:hint="eastAsia"/>
                <w:color w:val="auto"/>
                <w:lang w:val="en-US" w:eastAsia="zh-CN"/>
              </w:rPr>
            </w:pPr>
          </w:p>
        </w:tc>
        <w:tc>
          <w:tcPr>
            <w:tcW w:w="2578"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GB36600-2018未对COD设置筛选值和管制值，本次评价仅考虑预测因子的增量</w:t>
            </w:r>
          </w:p>
        </w:tc>
      </w:tr>
    </w:tbl>
    <w:p>
      <w:pPr>
        <w:pStyle w:val="32"/>
        <w:bidi w:val="0"/>
        <w:rPr>
          <w:rFonts w:hint="eastAsia"/>
          <w:color w:val="auto"/>
          <w:lang w:val="en-US" w:eastAsia="zh-CN"/>
        </w:rPr>
      </w:pPr>
      <w:bookmarkStart w:id="209" w:name="_Toc533"/>
      <w:r>
        <w:rPr>
          <w:rFonts w:hint="eastAsia"/>
          <w:color w:val="auto"/>
          <w:lang w:val="en-US" w:eastAsia="zh-CN"/>
        </w:rPr>
        <w:t>7.6.6预测结果</w:t>
      </w:r>
      <w:bookmarkEnd w:id="209"/>
    </w:p>
    <w:p>
      <w:pPr>
        <w:pStyle w:val="33"/>
        <w:bidi w:val="0"/>
        <w:rPr>
          <w:rFonts w:hint="eastAsia"/>
          <w:color w:val="auto"/>
          <w:lang w:val="en-US" w:eastAsia="zh-CN"/>
        </w:rPr>
      </w:pPr>
      <w:r>
        <w:rPr>
          <w:rFonts w:hint="eastAsia"/>
          <w:color w:val="auto"/>
          <w:lang w:val="en-US" w:eastAsia="zh-CN"/>
        </w:rPr>
        <w:t>废水处理站中废水预测情景下的土壤影响预测结果见下表:</w:t>
      </w:r>
    </w:p>
    <w:p>
      <w:pPr>
        <w:pStyle w:val="36"/>
        <w:bidi w:val="0"/>
        <w:rPr>
          <w:rFonts w:hint="default"/>
          <w:color w:val="auto"/>
          <w:lang w:val="en-US" w:eastAsia="zh-CN"/>
        </w:rPr>
      </w:pPr>
      <w:r>
        <w:rPr>
          <w:rFonts w:hint="eastAsia"/>
          <w:color w:val="auto"/>
          <w:lang w:val="en-US" w:eastAsia="zh-CN"/>
        </w:rPr>
        <w:t>7.6-2 土壤环境影响预测结果</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34"/>
        <w:gridCol w:w="6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4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持续年份（年）</w:t>
            </w:r>
          </w:p>
        </w:tc>
        <w:tc>
          <w:tcPr>
            <w:tcW w:w="3352"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单位质量表层土壤中CODcr的</w:t>
            </w:r>
          </w:p>
          <w:p>
            <w:pPr>
              <w:pStyle w:val="35"/>
              <w:bidi w:val="0"/>
              <w:jc w:val="center"/>
              <w:rPr>
                <w:rFonts w:hint="eastAsia"/>
                <w:color w:val="auto"/>
                <w:lang w:val="en-US" w:eastAsia="zh-CN"/>
              </w:rPr>
            </w:pPr>
            <w:r>
              <w:rPr>
                <w:rFonts w:hint="eastAsia"/>
                <w:color w:val="auto"/>
                <w:lang w:val="en-US" w:eastAsia="zh-CN"/>
              </w:rPr>
              <w:t>增量(mg//kg)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4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w:t>
            </w:r>
          </w:p>
        </w:tc>
        <w:tc>
          <w:tcPr>
            <w:tcW w:w="335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6.45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4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2</w:t>
            </w:r>
          </w:p>
        </w:tc>
        <w:tc>
          <w:tcPr>
            <w:tcW w:w="335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164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5</w:t>
            </w:r>
          </w:p>
        </w:tc>
        <w:tc>
          <w:tcPr>
            <w:tcW w:w="335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32.26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4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10</w:t>
            </w:r>
          </w:p>
        </w:tc>
        <w:tc>
          <w:tcPr>
            <w:tcW w:w="335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64.52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47"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20</w:t>
            </w:r>
          </w:p>
        </w:tc>
        <w:tc>
          <w:tcPr>
            <w:tcW w:w="335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190.03</w:t>
            </w:r>
          </w:p>
        </w:tc>
      </w:tr>
    </w:tbl>
    <w:p>
      <w:pPr>
        <w:pStyle w:val="33"/>
        <w:bidi w:val="0"/>
        <w:rPr>
          <w:rFonts w:hint="eastAsia"/>
          <w:color w:val="auto"/>
          <w:lang w:val="en-US" w:eastAsia="zh-CN"/>
        </w:rPr>
      </w:pPr>
      <w:r>
        <w:rPr>
          <w:rFonts w:hint="eastAsia"/>
          <w:color w:val="auto"/>
          <w:lang w:val="en-US" w:eastAsia="zh-CN"/>
        </w:rPr>
        <w:t>本次评价范围内每个预测年度内发生污水收集池破损高浓度有机废水最不利影响泄漏入渗土壤情况下，单位质量表层土壤中CODcr增量为6.45mg/kg。《土壤环境质量建设用地土壤污染风险管控标准》(GB36600-2018)未对COD设置筛选值和管制值。</w:t>
      </w:r>
    </w:p>
    <w:p>
      <w:pPr>
        <w:pStyle w:val="33"/>
        <w:bidi w:val="0"/>
        <w:rPr>
          <w:rFonts w:hint="eastAsia"/>
          <w:color w:val="auto"/>
          <w:lang w:val="en-US" w:eastAsia="zh-CN"/>
        </w:rPr>
      </w:pPr>
      <w:r>
        <w:rPr>
          <w:rFonts w:hint="eastAsia"/>
          <w:color w:val="auto"/>
          <w:lang w:val="en-US" w:eastAsia="zh-CN"/>
        </w:rPr>
        <w:t>因此本次评价认为，现状评价区域土壤和预测年份内土壤的环境质量符合GB36600-2018中相关要求，在落实好相关土壤防治措施的前提下，公司现有污染源不会对区域表层土壤造成明显影响，项目土壤环境影响可接受。</w:t>
      </w:r>
    </w:p>
    <w:p>
      <w:pPr>
        <w:pStyle w:val="33"/>
        <w:bidi w:val="0"/>
        <w:rPr>
          <w:rFonts w:hint="eastAsia"/>
          <w:color w:val="auto"/>
          <w:lang w:val="en-US" w:eastAsia="zh-CN"/>
        </w:rPr>
        <w:sectPr>
          <w:pgSz w:w="11906" w:h="16838"/>
          <w:pgMar w:top="1417" w:right="1304" w:bottom="1417" w:left="130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30"/>
        <w:bidi w:val="0"/>
        <w:jc w:val="center"/>
        <w:rPr>
          <w:rFonts w:hint="eastAsia"/>
          <w:color w:val="auto"/>
          <w:lang w:val="en-US" w:eastAsia="zh-CN"/>
        </w:rPr>
      </w:pPr>
      <w:bookmarkStart w:id="210" w:name="_Toc25610"/>
      <w:bookmarkStart w:id="211" w:name="_Toc19982"/>
      <w:r>
        <w:rPr>
          <w:rFonts w:hint="eastAsia"/>
          <w:color w:val="auto"/>
          <w:lang w:val="en-US" w:eastAsia="zh-CN"/>
        </w:rPr>
        <w:t>8、环境保护措施及其可行性论证</w:t>
      </w:r>
      <w:bookmarkEnd w:id="210"/>
      <w:bookmarkEnd w:id="211"/>
    </w:p>
    <w:p>
      <w:pPr>
        <w:pStyle w:val="31"/>
        <w:bidi w:val="0"/>
        <w:rPr>
          <w:rFonts w:hint="eastAsia"/>
          <w:color w:val="auto"/>
          <w:lang w:val="en-US" w:eastAsia="zh-CN"/>
        </w:rPr>
      </w:pPr>
      <w:bookmarkStart w:id="212" w:name="_Toc30857"/>
      <w:bookmarkStart w:id="213" w:name="_Toc1100"/>
      <w:r>
        <w:rPr>
          <w:rFonts w:hint="eastAsia"/>
          <w:color w:val="auto"/>
          <w:lang w:val="en-US" w:eastAsia="zh-CN"/>
        </w:rPr>
        <w:t>8.1运营期废气污染防治措施</w:t>
      </w:r>
      <w:bookmarkEnd w:id="212"/>
      <w:bookmarkEnd w:id="213"/>
    </w:p>
    <w:p>
      <w:pPr>
        <w:pStyle w:val="32"/>
        <w:bidi w:val="0"/>
        <w:rPr>
          <w:rFonts w:hint="default"/>
          <w:color w:val="auto"/>
          <w:lang w:val="en-US" w:eastAsia="zh-CN"/>
        </w:rPr>
      </w:pPr>
      <w:r>
        <w:rPr>
          <w:rFonts w:hint="eastAsia"/>
          <w:color w:val="auto"/>
          <w:lang w:val="en-US" w:eastAsia="zh-CN"/>
        </w:rPr>
        <w:t>8.1.1废气治理措施</w:t>
      </w:r>
    </w:p>
    <w:p>
      <w:pPr>
        <w:pStyle w:val="48"/>
        <w:adjustRightInd w:val="0"/>
        <w:snapToGrid w:val="0"/>
        <w:spacing w:beforeLines="0" w:afterLines="0"/>
        <w:ind w:firstLine="482"/>
        <w:rPr>
          <w:rFonts w:ascii="Times New Roman" w:hAnsi="Times New Roman" w:cs="Times New Roman"/>
          <w:b/>
          <w:bCs/>
          <w:color w:val="auto"/>
          <w:u w:val="single"/>
        </w:rPr>
      </w:pPr>
      <w:r>
        <w:rPr>
          <w:rFonts w:ascii="Times New Roman" w:hAnsi="Times New Roman" w:cs="Times New Roman"/>
          <w:b/>
          <w:bCs/>
          <w:color w:val="auto"/>
          <w:u w:val="single"/>
        </w:rPr>
        <w:t>1、有组织废气产生治理情况</w:t>
      </w:r>
    </w:p>
    <w:p>
      <w:pPr>
        <w:pStyle w:val="48"/>
        <w:adjustRightInd w:val="0"/>
        <w:snapToGrid w:val="0"/>
        <w:spacing w:beforeLines="0" w:afterLines="0"/>
        <w:rPr>
          <w:rFonts w:ascii="Times New Roman" w:hAnsi="Times New Roman" w:cs="Times New Roman"/>
          <w:color w:val="auto"/>
          <w:u w:val="single"/>
        </w:rPr>
      </w:pPr>
      <w:r>
        <w:rPr>
          <w:rFonts w:ascii="Times New Roman" w:hAnsi="Times New Roman" w:cs="Times New Roman"/>
          <w:color w:val="auto"/>
          <w:u w:val="single"/>
        </w:rPr>
        <w:t>本项目有组织废气为项目工艺废气</w:t>
      </w:r>
      <w:r>
        <w:rPr>
          <w:rFonts w:hint="eastAsia" w:ascii="Times New Roman" w:hAnsi="Times New Roman" w:cs="Times New Roman"/>
          <w:color w:val="auto"/>
          <w:u w:val="single"/>
          <w:lang w:val="en-US" w:eastAsia="zh-CN"/>
        </w:rPr>
        <w:t>和储罐废气</w:t>
      </w:r>
      <w:r>
        <w:rPr>
          <w:rFonts w:ascii="Times New Roman" w:hAnsi="Times New Roman" w:cs="Times New Roman"/>
          <w:color w:val="auto"/>
          <w:u w:val="single"/>
        </w:rPr>
        <w:t>（主要为</w:t>
      </w:r>
      <w:r>
        <w:rPr>
          <w:rFonts w:hint="eastAsia" w:ascii="Times New Roman" w:hAnsi="Times New Roman" w:cs="Times New Roman"/>
          <w:color w:val="auto"/>
          <w:u w:val="single"/>
          <w:lang w:val="en-US" w:eastAsia="zh-CN"/>
        </w:rPr>
        <w:t>VOCs</w:t>
      </w:r>
      <w:r>
        <w:rPr>
          <w:rFonts w:ascii="Times New Roman" w:hAnsi="Times New Roman" w:cs="Times New Roman"/>
          <w:color w:val="auto"/>
          <w:u w:val="single"/>
        </w:rPr>
        <w:t>、甲醇）。</w:t>
      </w:r>
    </w:p>
    <w:p>
      <w:pPr>
        <w:pStyle w:val="48"/>
        <w:adjustRightInd w:val="0"/>
        <w:snapToGrid w:val="0"/>
        <w:spacing w:beforeLines="0" w:afterLines="0"/>
        <w:rPr>
          <w:rFonts w:ascii="Times New Roman" w:hAnsi="Times New Roman" w:cs="Times New Roman"/>
          <w:color w:val="auto"/>
          <w:u w:val="single"/>
        </w:rPr>
      </w:pPr>
      <w:r>
        <w:rPr>
          <w:rFonts w:ascii="Times New Roman" w:hAnsi="Times New Roman" w:cs="Times New Roman"/>
          <w:color w:val="auto"/>
          <w:u w:val="single"/>
        </w:rPr>
        <w:t>本项目在营运期产生的</w:t>
      </w:r>
      <w:r>
        <w:rPr>
          <w:rFonts w:hint="eastAsia" w:ascii="Times New Roman" w:hAnsi="Times New Roman" w:cs="Times New Roman"/>
          <w:color w:val="auto"/>
          <w:u w:val="single"/>
          <w:lang w:val="en-US" w:eastAsia="zh-CN"/>
        </w:rPr>
        <w:t>工艺</w:t>
      </w:r>
      <w:r>
        <w:rPr>
          <w:rFonts w:ascii="Times New Roman" w:hAnsi="Times New Roman" w:cs="Times New Roman"/>
          <w:color w:val="auto"/>
          <w:u w:val="single"/>
        </w:rPr>
        <w:t>废气：采用冷凝处理+</w:t>
      </w:r>
      <w:r>
        <w:rPr>
          <w:rFonts w:hint="eastAsia" w:ascii="Times New Roman" w:hAnsi="Times New Roman"/>
          <w:color w:val="auto"/>
          <w:u w:val="single"/>
          <w:lang w:val="en-US" w:eastAsia="zh-CN"/>
        </w:rPr>
        <w:t>活性炭吸附</w:t>
      </w:r>
      <w:r>
        <w:rPr>
          <w:rFonts w:ascii="Times New Roman" w:hAnsi="Times New Roman" w:cs="Times New Roman"/>
          <w:color w:val="auto"/>
          <w:u w:val="single"/>
        </w:rPr>
        <w:t>+</w:t>
      </w:r>
      <w:r>
        <w:rPr>
          <w:rFonts w:hint="eastAsia" w:ascii="Times New Roman" w:hAnsi="Times New Roman" w:cs="Times New Roman"/>
          <w:color w:val="auto"/>
          <w:u w:val="single"/>
          <w:lang w:val="en-US" w:eastAsia="zh-CN"/>
        </w:rPr>
        <w:t>现有一期车间废气处理措施（冷凝处理+碱液喷淋＋炭吸附）＋</w:t>
      </w:r>
      <w:r>
        <w:rPr>
          <w:rFonts w:ascii="Times New Roman" w:hAnsi="Times New Roman" w:cs="Times New Roman"/>
          <w:color w:val="auto"/>
          <w:u w:val="single"/>
        </w:rPr>
        <w:t>2</w:t>
      </w:r>
      <w:r>
        <w:rPr>
          <w:rFonts w:hint="eastAsia" w:ascii="Times New Roman" w:hAnsi="Times New Roman" w:cs="Times New Roman"/>
          <w:color w:val="auto"/>
          <w:u w:val="single"/>
          <w:lang w:val="en-US" w:eastAsia="zh-CN"/>
        </w:rPr>
        <w:t>0</w:t>
      </w:r>
      <w:r>
        <w:rPr>
          <w:rFonts w:ascii="Times New Roman" w:hAnsi="Times New Roman" w:cs="Times New Roman"/>
          <w:color w:val="auto"/>
          <w:u w:val="single"/>
        </w:rPr>
        <w:t>m排气筒进行排放。</w:t>
      </w:r>
    </w:p>
    <w:p>
      <w:pPr>
        <w:pStyle w:val="48"/>
        <w:adjustRightInd w:val="0"/>
        <w:snapToGrid w:val="0"/>
        <w:spacing w:beforeLines="0" w:afterLines="0"/>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储罐废气：采用</w:t>
      </w:r>
      <w:r>
        <w:rPr>
          <w:rFonts w:hint="eastAsia" w:ascii="Times New Roman" w:hAnsi="Times New Roman" w:cs="Times New Roman"/>
          <w:color w:val="auto"/>
          <w:u w:val="single"/>
        </w:rPr>
        <w:t>喷淋塔</w:t>
      </w:r>
      <w:r>
        <w:rPr>
          <w:rFonts w:hint="eastAsia" w:ascii="Times New Roman" w:hAnsi="Times New Roman" w:cs="Times New Roman"/>
          <w:color w:val="auto"/>
          <w:u w:val="single"/>
          <w:lang w:val="en-US" w:eastAsia="zh-CN"/>
        </w:rPr>
        <w:t>＋</w:t>
      </w:r>
      <w:r>
        <w:rPr>
          <w:rFonts w:hint="eastAsia" w:ascii="Times New Roman" w:hAnsi="Times New Roman" w:cs="Times New Roman"/>
          <w:color w:val="auto"/>
          <w:u w:val="single"/>
        </w:rPr>
        <w:t>UV光解</w:t>
      </w:r>
      <w:r>
        <w:rPr>
          <w:rFonts w:hint="eastAsia" w:ascii="Times New Roman" w:hAnsi="Times New Roman" w:cs="Times New Roman"/>
          <w:color w:val="auto"/>
          <w:u w:val="single"/>
          <w:lang w:val="en-US" w:eastAsia="zh-CN"/>
        </w:rPr>
        <w:t>＋两级</w:t>
      </w:r>
      <w:r>
        <w:rPr>
          <w:rFonts w:hint="eastAsia" w:ascii="Times New Roman" w:hAnsi="Times New Roman" w:cs="Times New Roman"/>
          <w:color w:val="auto"/>
          <w:u w:val="single"/>
        </w:rPr>
        <w:t>活性炭吸附</w:t>
      </w:r>
      <w:r>
        <w:rPr>
          <w:rFonts w:hint="eastAsia" w:ascii="Times New Roman" w:hAnsi="Times New Roman" w:cs="Times New Roman"/>
          <w:color w:val="auto"/>
          <w:u w:val="single"/>
          <w:lang w:val="en-US" w:eastAsia="zh-CN"/>
        </w:rPr>
        <w:t>+</w:t>
      </w:r>
      <w:r>
        <w:rPr>
          <w:rFonts w:hint="eastAsia" w:ascii="Times New Roman" w:hAnsi="Times New Roman" w:cs="Times New Roman"/>
          <w:color w:val="auto"/>
          <w:u w:val="single"/>
        </w:rPr>
        <w:t>15米</w:t>
      </w:r>
      <w:r>
        <w:rPr>
          <w:rFonts w:hint="eastAsia" w:ascii="Times New Roman" w:hAnsi="Times New Roman" w:cs="Times New Roman"/>
          <w:color w:val="auto"/>
          <w:u w:val="single"/>
          <w:lang w:val="en-US" w:eastAsia="zh-CN"/>
        </w:rPr>
        <w:t>高排气筒进行排放。</w:t>
      </w:r>
    </w:p>
    <w:p>
      <w:pPr>
        <w:pStyle w:val="48"/>
        <w:adjustRightInd w:val="0"/>
        <w:snapToGrid w:val="0"/>
        <w:spacing w:beforeLines="0" w:afterLines="0"/>
        <w:rPr>
          <w:rFonts w:hint="default" w:ascii="Times New Roman" w:hAnsi="Times New Roman" w:eastAsia="宋体" w:cs="Times New Roman"/>
          <w:color w:val="auto"/>
          <w:u w:val="none"/>
          <w:lang w:val="en-US" w:eastAsia="zh-CN"/>
        </w:rPr>
      </w:pPr>
    </w:p>
    <w:p>
      <w:pPr>
        <w:pStyle w:val="48"/>
        <w:adjustRightInd w:val="0"/>
        <w:snapToGrid w:val="0"/>
        <w:spacing w:beforeLines="0" w:afterLines="0"/>
        <w:ind w:firstLine="0" w:firstLineChars="0"/>
        <w:jc w:val="center"/>
        <w:rPr>
          <w:rFonts w:hint="eastAsia" w:ascii="Times New Roman" w:hAnsi="Times New Roman" w:cs="Times New Roman"/>
          <w:color w:val="auto"/>
          <w:u w:val="none"/>
        </w:rPr>
      </w:pPr>
      <w:r>
        <w:rPr>
          <w:rFonts w:hint="eastAsia" w:ascii="Times New Roman" w:hAnsi="Times New Roman" w:cs="Times New Roman"/>
          <w:color w:val="auto"/>
          <w:u w:val="none"/>
        </w:rPr>
        <w:object>
          <v:shape id="_x0000_i1040" o:spt="75" type="#_x0000_t75" style="height:125.3pt;width:464.7pt;" o:ole="t" filled="f" o:preferrelative="t" stroked="f" coordsize="21600,21600">
            <v:path/>
            <v:fill on="f" focussize="0,0"/>
            <v:stroke on="f"/>
            <v:imagedata r:id="rId71" o:title=""/>
            <o:lock v:ext="edit" aspectratio="f"/>
            <w10:wrap type="none"/>
            <w10:anchorlock/>
          </v:shape>
          <o:OLEObject Type="Embed" ProgID="Visio.Drawing.11" ShapeID="_x0000_i1040" DrawAspect="Content" ObjectID="_1468075740" r:id="rId70">
            <o:LockedField>false</o:LockedField>
          </o:OLEObject>
        </w:object>
      </w:r>
    </w:p>
    <w:p>
      <w:pPr>
        <w:pStyle w:val="48"/>
        <w:adjustRightInd w:val="0"/>
        <w:snapToGrid w:val="0"/>
        <w:spacing w:beforeLines="0" w:afterLines="0"/>
        <w:ind w:firstLine="0" w:firstLineChars="0"/>
        <w:jc w:val="center"/>
        <w:rPr>
          <w:rFonts w:ascii="Times New Roman" w:hAnsi="Times New Roman" w:cs="Times New Roman"/>
          <w:b/>
          <w:color w:val="auto"/>
          <w:sz w:val="24"/>
          <w:szCs w:val="24"/>
          <w:u w:val="single"/>
        </w:rPr>
      </w:pPr>
      <w:r>
        <w:rPr>
          <w:rFonts w:ascii="Times New Roman" w:hAnsi="Times New Roman" w:cs="Times New Roman"/>
          <w:b/>
          <w:color w:val="auto"/>
          <w:sz w:val="24"/>
          <w:szCs w:val="24"/>
          <w:u w:val="single"/>
        </w:rPr>
        <w:t>图</w:t>
      </w:r>
      <w:r>
        <w:rPr>
          <w:rFonts w:hint="eastAsia" w:ascii="Times New Roman" w:hAnsi="Times New Roman" w:cs="Times New Roman"/>
          <w:b/>
          <w:color w:val="auto"/>
          <w:sz w:val="24"/>
          <w:szCs w:val="24"/>
          <w:u w:val="single"/>
          <w:lang w:val="en-US" w:eastAsia="zh-CN"/>
        </w:rPr>
        <w:t>8</w:t>
      </w:r>
      <w:r>
        <w:rPr>
          <w:rFonts w:ascii="Times New Roman" w:hAnsi="Times New Roman" w:cs="Times New Roman"/>
          <w:b/>
          <w:color w:val="auto"/>
          <w:sz w:val="24"/>
          <w:szCs w:val="24"/>
          <w:u w:val="single"/>
        </w:rPr>
        <w:t>.1-1   废气治理措施流程</w:t>
      </w:r>
    </w:p>
    <w:p>
      <w:pPr>
        <w:pStyle w:val="32"/>
        <w:bidi w:val="0"/>
        <w:rPr>
          <w:color w:val="auto"/>
        </w:rPr>
      </w:pPr>
      <w:r>
        <w:rPr>
          <w:rFonts w:hint="eastAsia"/>
          <w:color w:val="auto"/>
          <w:lang w:val="en-US" w:eastAsia="zh-CN"/>
        </w:rPr>
        <w:t>8</w:t>
      </w:r>
      <w:r>
        <w:rPr>
          <w:color w:val="auto"/>
        </w:rPr>
        <w:t>.</w:t>
      </w:r>
      <w:r>
        <w:rPr>
          <w:rFonts w:hint="eastAsia"/>
          <w:color w:val="auto"/>
          <w:lang w:val="en-US" w:eastAsia="zh-CN"/>
        </w:rPr>
        <w:t>1</w:t>
      </w:r>
      <w:r>
        <w:rPr>
          <w:color w:val="auto"/>
        </w:rPr>
        <w:t>.2有组织废气治理措施可行性</w:t>
      </w:r>
    </w:p>
    <w:p>
      <w:pPr>
        <w:pStyle w:val="33"/>
        <w:bidi w:val="0"/>
        <w:rPr>
          <w:rFonts w:ascii="Times New Roman" w:hAnsi="Times New Roman" w:cs="Times New Roman"/>
          <w:color w:val="auto"/>
        </w:rPr>
      </w:pPr>
      <w:r>
        <w:rPr>
          <w:rFonts w:ascii="Times New Roman" w:hAnsi="Times New Roman" w:cs="Times New Roman"/>
          <w:color w:val="auto"/>
        </w:rPr>
        <w:t>（1）生产过程有组织排放</w:t>
      </w:r>
    </w:p>
    <w:p>
      <w:pPr>
        <w:pStyle w:val="33"/>
        <w:bidi w:val="0"/>
        <w:rPr>
          <w:rFonts w:ascii="Times New Roman" w:hAnsi="Times New Roman" w:cs="Times New Roman"/>
          <w:color w:val="auto"/>
          <w:u w:val="single"/>
        </w:rPr>
      </w:pPr>
      <w:r>
        <w:rPr>
          <w:rFonts w:ascii="Times New Roman" w:hAnsi="Times New Roman" w:cs="Times New Roman"/>
          <w:color w:val="auto"/>
          <w:u w:val="single"/>
        </w:rPr>
        <w:t>本项目生产过程生产装置区、储罐区的有组织废气采用收集方式为管道密闭收集，收集效率为100%，生产装置区</w:t>
      </w:r>
      <w:r>
        <w:rPr>
          <w:rFonts w:hint="eastAsia" w:ascii="Times New Roman" w:hAnsi="Times New Roman" w:cs="Times New Roman"/>
          <w:color w:val="auto"/>
          <w:u w:val="single"/>
          <w:lang w:val="en-US" w:eastAsia="zh-CN"/>
        </w:rPr>
        <w:t>有组织废气</w:t>
      </w:r>
      <w:r>
        <w:rPr>
          <w:rFonts w:ascii="Times New Roman" w:hAnsi="Times New Roman" w:cs="Times New Roman"/>
          <w:color w:val="auto"/>
          <w:u w:val="single"/>
        </w:rPr>
        <w:t>采用冷凝处理+</w:t>
      </w:r>
      <w:r>
        <w:rPr>
          <w:rFonts w:hint="eastAsia" w:ascii="Times New Roman" w:hAnsi="Times New Roman" w:cs="Times New Roman"/>
          <w:color w:val="auto"/>
          <w:u w:val="single"/>
          <w:lang w:val="en-US" w:eastAsia="zh-CN"/>
        </w:rPr>
        <w:t>活性炭吸附</w:t>
      </w:r>
      <w:r>
        <w:rPr>
          <w:rFonts w:ascii="Times New Roman" w:hAnsi="Times New Roman" w:cs="Times New Roman"/>
          <w:color w:val="auto"/>
          <w:u w:val="single"/>
        </w:rPr>
        <w:t>+</w:t>
      </w:r>
      <w:r>
        <w:rPr>
          <w:rFonts w:hint="eastAsia" w:ascii="Times New Roman" w:hAnsi="Times New Roman" w:cs="Times New Roman"/>
          <w:color w:val="auto"/>
          <w:u w:val="single"/>
          <w:lang w:val="en-US" w:eastAsia="zh-CN"/>
        </w:rPr>
        <w:t>现有一期车间废气处理措施（冷凝处理+碱液喷淋＋炭吸附）</w:t>
      </w:r>
      <w:r>
        <w:rPr>
          <w:rFonts w:hint="eastAsia" w:cs="Times New Roman"/>
          <w:color w:val="auto"/>
          <w:u w:val="single"/>
          <w:lang w:val="en-US" w:eastAsia="zh-CN"/>
        </w:rPr>
        <w:t>处理</w:t>
      </w:r>
      <w:r>
        <w:rPr>
          <w:rFonts w:ascii="Times New Roman" w:hAnsi="Times New Roman" w:cs="Times New Roman"/>
          <w:color w:val="auto"/>
          <w:u w:val="single"/>
        </w:rPr>
        <w:t>。</w:t>
      </w:r>
      <w:r>
        <w:rPr>
          <w:rFonts w:hint="eastAsia" w:ascii="Times New Roman" w:hAnsi="Times New Roman" w:cs="Times New Roman"/>
          <w:color w:val="auto"/>
          <w:u w:val="single"/>
          <w:lang w:val="en-US" w:eastAsia="zh-CN"/>
        </w:rPr>
        <w:t>储罐有组织废气废气：采用</w:t>
      </w:r>
      <w:r>
        <w:rPr>
          <w:rFonts w:hint="eastAsia" w:ascii="Times New Roman" w:hAnsi="Times New Roman" w:cs="Times New Roman"/>
          <w:color w:val="auto"/>
          <w:u w:val="single"/>
        </w:rPr>
        <w:t>喷淋塔</w:t>
      </w:r>
      <w:r>
        <w:rPr>
          <w:rFonts w:hint="eastAsia" w:ascii="Times New Roman" w:hAnsi="Times New Roman" w:cs="Times New Roman"/>
          <w:color w:val="auto"/>
          <w:u w:val="single"/>
          <w:lang w:val="en-US" w:eastAsia="zh-CN"/>
        </w:rPr>
        <w:t>＋</w:t>
      </w:r>
      <w:r>
        <w:rPr>
          <w:rFonts w:hint="eastAsia" w:ascii="Times New Roman" w:hAnsi="Times New Roman" w:cs="Times New Roman"/>
          <w:color w:val="auto"/>
          <w:u w:val="single"/>
        </w:rPr>
        <w:t>UV光解</w:t>
      </w:r>
      <w:r>
        <w:rPr>
          <w:rFonts w:hint="eastAsia" w:ascii="Times New Roman" w:hAnsi="Times New Roman" w:cs="Times New Roman"/>
          <w:color w:val="auto"/>
          <w:u w:val="single"/>
          <w:lang w:val="en-US" w:eastAsia="zh-CN"/>
        </w:rPr>
        <w:t>＋</w:t>
      </w:r>
      <w:r>
        <w:rPr>
          <w:rFonts w:hint="eastAsia" w:cs="Times New Roman"/>
          <w:color w:val="auto"/>
          <w:u w:val="single"/>
          <w:lang w:val="en-US" w:eastAsia="zh-CN"/>
        </w:rPr>
        <w:t>两级</w:t>
      </w:r>
      <w:r>
        <w:rPr>
          <w:rFonts w:hint="eastAsia" w:ascii="Times New Roman" w:hAnsi="Times New Roman" w:cs="Times New Roman"/>
          <w:color w:val="auto"/>
          <w:u w:val="single"/>
        </w:rPr>
        <w:t>活性炭吸附</w:t>
      </w:r>
      <w:r>
        <w:rPr>
          <w:rFonts w:hint="eastAsia" w:ascii="Times New Roman" w:hAnsi="Times New Roman" w:cs="Times New Roman"/>
          <w:color w:val="auto"/>
          <w:u w:val="single"/>
          <w:lang w:val="en-US" w:eastAsia="zh-CN"/>
        </w:rPr>
        <w:t>＋</w:t>
      </w:r>
      <w:r>
        <w:rPr>
          <w:rFonts w:hint="eastAsia" w:ascii="Times New Roman" w:hAnsi="Times New Roman" w:cs="Times New Roman"/>
          <w:color w:val="auto"/>
          <w:u w:val="single"/>
        </w:rPr>
        <w:t>活性炭吸附</w:t>
      </w:r>
      <w:r>
        <w:rPr>
          <w:rFonts w:hint="eastAsia" w:ascii="Times New Roman" w:hAnsi="Times New Roman" w:cs="Times New Roman"/>
          <w:color w:val="auto"/>
          <w:u w:val="single"/>
          <w:lang w:val="en-US" w:eastAsia="zh-CN"/>
        </w:rPr>
        <w:t>处理。</w:t>
      </w:r>
    </w:p>
    <w:p>
      <w:pPr>
        <w:pStyle w:val="33"/>
        <w:bidi w:val="0"/>
        <w:rPr>
          <w:color w:val="auto"/>
          <w:u w:val="none"/>
        </w:rPr>
      </w:pPr>
      <w:r>
        <w:rPr>
          <w:color w:val="auto"/>
        </w:rPr>
        <w:t>根据湖南省环保厅《湖南省家具制造行业VOCs排放量测算技术指南》（试行）表3常见VOCs治理设施处理效率可知，水喷淋吸收法的处理效率为10%、药液喷淋吸收法处理效率为45%</w:t>
      </w:r>
      <w:r>
        <w:rPr>
          <w:rFonts w:hint="eastAsia"/>
          <w:color w:val="auto"/>
          <w:lang w:eastAsia="zh-CN"/>
        </w:rPr>
        <w:t>、</w:t>
      </w:r>
      <w:r>
        <w:rPr>
          <w:color w:val="auto"/>
        </w:rPr>
        <w:t>冷凝回收处理效率为70%</w:t>
      </w:r>
      <w:r>
        <w:rPr>
          <w:rFonts w:hint="eastAsia"/>
          <w:color w:val="auto"/>
          <w:lang w:eastAsia="zh-CN"/>
        </w:rPr>
        <w:t>、</w:t>
      </w:r>
      <w:r>
        <w:rPr>
          <w:color w:val="auto"/>
        </w:rPr>
        <w:t>固定床活性</w:t>
      </w:r>
      <w:r>
        <w:rPr>
          <w:color w:val="auto"/>
          <w:u w:val="none"/>
        </w:rPr>
        <w:t>炭吸附法去除效率为80%。</w:t>
      </w:r>
    </w:p>
    <w:p>
      <w:pPr>
        <w:pStyle w:val="33"/>
        <w:bidi w:val="0"/>
        <w:rPr>
          <w:rFonts w:hint="eastAsia" w:eastAsia="宋体"/>
          <w:color w:val="auto"/>
          <w:u w:val="single"/>
          <w:lang w:val="en-US" w:eastAsia="zh-CN"/>
        </w:rPr>
      </w:pPr>
      <w:r>
        <w:rPr>
          <w:color w:val="auto"/>
          <w:u w:val="single"/>
        </w:rPr>
        <w:t>综合考虑废气处理效率和物料理化性质可知，项目</w:t>
      </w:r>
      <w:r>
        <w:rPr>
          <w:rFonts w:hint="eastAsia"/>
          <w:color w:val="auto"/>
          <w:u w:val="single"/>
          <w:lang w:val="en-US" w:eastAsia="zh-CN"/>
        </w:rPr>
        <w:t>工艺废气处理系统（以二级冷凝＋活性炭计）</w:t>
      </w:r>
      <w:r>
        <w:rPr>
          <w:color w:val="auto"/>
          <w:u w:val="single"/>
        </w:rPr>
        <w:t>采用VOCs的处理效率取</w:t>
      </w:r>
      <w:r>
        <w:rPr>
          <w:rFonts w:hint="eastAsia"/>
          <w:color w:val="auto"/>
          <w:u w:val="single"/>
          <w:lang w:val="en-US" w:eastAsia="zh-CN"/>
        </w:rPr>
        <w:t>98.2</w:t>
      </w:r>
      <w:r>
        <w:rPr>
          <w:color w:val="auto"/>
          <w:u w:val="single"/>
        </w:rPr>
        <w:t>%。甲醇属于VOCs，去除效率同样按</w:t>
      </w:r>
      <w:r>
        <w:rPr>
          <w:rFonts w:hint="eastAsia"/>
          <w:color w:val="auto"/>
          <w:u w:val="single"/>
          <w:lang w:val="en-US" w:eastAsia="zh-CN"/>
        </w:rPr>
        <w:t>98.2</w:t>
      </w:r>
      <w:r>
        <w:rPr>
          <w:color w:val="auto"/>
          <w:u w:val="single"/>
        </w:rPr>
        <w:t>%考虑。</w:t>
      </w:r>
      <w:r>
        <w:rPr>
          <w:rFonts w:hint="eastAsia"/>
          <w:color w:val="auto"/>
          <w:u w:val="single"/>
          <w:lang w:val="en-US" w:eastAsia="zh-CN"/>
        </w:rPr>
        <w:t>储罐区废气处理系统</w:t>
      </w:r>
      <w:r>
        <w:rPr>
          <w:color w:val="auto"/>
          <w:u w:val="single"/>
        </w:rPr>
        <w:t>采用VOCs</w:t>
      </w:r>
      <w:r>
        <w:rPr>
          <w:rFonts w:hint="eastAsia"/>
          <w:color w:val="auto"/>
          <w:u w:val="single"/>
          <w:lang w:eastAsia="zh-CN"/>
        </w:rPr>
        <w:t>（</w:t>
      </w:r>
      <w:r>
        <w:rPr>
          <w:rFonts w:hint="eastAsia"/>
          <w:color w:val="auto"/>
          <w:u w:val="single"/>
          <w:lang w:val="en-US" w:eastAsia="zh-CN"/>
        </w:rPr>
        <w:t>喷淋（10%）+UV光解（20%）+活性炭（80%）+活性炭（80%）处理</w:t>
      </w:r>
      <w:r>
        <w:rPr>
          <w:rFonts w:hint="eastAsia"/>
          <w:color w:val="auto"/>
          <w:u w:val="single"/>
          <w:lang w:eastAsia="zh-CN"/>
        </w:rPr>
        <w:t>）</w:t>
      </w:r>
      <w:r>
        <w:rPr>
          <w:color w:val="auto"/>
          <w:u w:val="single"/>
        </w:rPr>
        <w:t>的</w:t>
      </w:r>
      <w:r>
        <w:rPr>
          <w:rFonts w:hint="eastAsia"/>
          <w:color w:val="auto"/>
          <w:u w:val="single"/>
          <w:lang w:val="en-US" w:eastAsia="zh-CN"/>
        </w:rPr>
        <w:t>综合</w:t>
      </w:r>
      <w:r>
        <w:rPr>
          <w:color w:val="auto"/>
          <w:u w:val="single"/>
        </w:rPr>
        <w:t>处理效率取</w:t>
      </w:r>
      <w:r>
        <w:rPr>
          <w:rFonts w:hint="eastAsia"/>
          <w:color w:val="auto"/>
          <w:u w:val="single"/>
          <w:lang w:val="en-US" w:eastAsia="zh-CN"/>
        </w:rPr>
        <w:t>97.1</w:t>
      </w:r>
      <w:r>
        <w:rPr>
          <w:color w:val="auto"/>
          <w:u w:val="single"/>
        </w:rPr>
        <w:t>%。甲醇属于VOCs，去除效率同样按</w:t>
      </w:r>
      <w:r>
        <w:rPr>
          <w:rFonts w:hint="eastAsia"/>
          <w:color w:val="auto"/>
          <w:u w:val="single"/>
          <w:lang w:val="en-US" w:eastAsia="zh-CN"/>
        </w:rPr>
        <w:t>97.1</w:t>
      </w:r>
      <w:r>
        <w:rPr>
          <w:color w:val="auto"/>
          <w:u w:val="single"/>
        </w:rPr>
        <w:t>%考虑</w:t>
      </w:r>
      <w:r>
        <w:rPr>
          <w:rFonts w:hint="eastAsia"/>
          <w:color w:val="auto"/>
          <w:u w:val="single"/>
          <w:lang w:eastAsia="zh-CN"/>
        </w:rPr>
        <w:t>。</w:t>
      </w:r>
    </w:p>
    <w:p>
      <w:pPr>
        <w:pStyle w:val="33"/>
        <w:bidi w:val="0"/>
        <w:rPr>
          <w:rFonts w:ascii="Times New Roman" w:hAnsi="Times New Roman" w:cs="Times New Roman"/>
          <w:color w:val="auto"/>
          <w:u w:val="single"/>
        </w:rPr>
      </w:pPr>
      <w:r>
        <w:rPr>
          <w:rFonts w:hint="eastAsia" w:cs="Times New Roman"/>
          <w:color w:val="auto"/>
          <w:u w:val="single"/>
          <w:lang w:val="en-US" w:eastAsia="zh-CN"/>
        </w:rPr>
        <w:t>本项目</w:t>
      </w:r>
      <w:r>
        <w:rPr>
          <w:rFonts w:hint="eastAsia" w:ascii="Times New Roman" w:hAnsi="Times New Roman" w:cs="Times New Roman"/>
          <w:color w:val="auto"/>
          <w:u w:val="single"/>
          <w:lang w:val="en-US" w:eastAsia="zh-CN"/>
        </w:rPr>
        <w:t>工艺</w:t>
      </w:r>
      <w:r>
        <w:rPr>
          <w:rFonts w:ascii="Times New Roman" w:hAnsi="Times New Roman" w:cs="Times New Roman"/>
          <w:color w:val="auto"/>
          <w:u w:val="single"/>
        </w:rPr>
        <w:t>废气</w:t>
      </w:r>
      <w:r>
        <w:rPr>
          <w:rFonts w:hint="eastAsia" w:cs="Times New Roman"/>
          <w:color w:val="auto"/>
          <w:u w:val="single"/>
          <w:lang w:val="en-US" w:eastAsia="zh-CN"/>
        </w:rPr>
        <w:t>中挥发性有机物（以非甲烷总烃计）</w:t>
      </w:r>
      <w:r>
        <w:rPr>
          <w:rFonts w:hint="eastAsia" w:ascii="Times New Roman" w:hAnsi="Times New Roman" w:cs="Times New Roman"/>
          <w:color w:val="auto"/>
          <w:u w:val="single"/>
          <w:vertAlign w:val="baseline"/>
          <w:lang w:val="en-US" w:eastAsia="zh-CN"/>
        </w:rPr>
        <w:t>满足</w:t>
      </w:r>
      <w:r>
        <w:rPr>
          <w:rFonts w:hint="eastAsia"/>
          <w:color w:val="auto"/>
          <w:u w:val="single"/>
          <w:lang w:val="en-US" w:eastAsia="zh-CN"/>
        </w:rPr>
        <w:t>《石油化学工业污染物排放标准》（GB31571-2015）中表4标准要求（去除效率大于95%，排放浓度120mg/m</w:t>
      </w:r>
      <w:r>
        <w:rPr>
          <w:rFonts w:hint="eastAsia"/>
          <w:color w:val="auto"/>
          <w:u w:val="single"/>
          <w:vertAlign w:val="superscript"/>
          <w:lang w:val="en-US" w:eastAsia="zh-CN"/>
        </w:rPr>
        <w:t>3</w:t>
      </w:r>
      <w:r>
        <w:rPr>
          <w:rFonts w:hint="eastAsia"/>
          <w:color w:val="auto"/>
          <w:u w:val="single"/>
          <w:lang w:val="en-US" w:eastAsia="zh-CN"/>
        </w:rPr>
        <w:t>），</w:t>
      </w:r>
      <w:r>
        <w:rPr>
          <w:rFonts w:ascii="Times New Roman" w:hAnsi="Times New Roman" w:cs="Times New Roman"/>
          <w:color w:val="auto"/>
          <w:u w:val="single"/>
        </w:rPr>
        <w:t>甲醇满足《石油化学工业污染物排放标准》（GB31571-2015）中表6废气中有机特征污染物及排放限值</w:t>
      </w:r>
      <w:r>
        <w:rPr>
          <w:rFonts w:hint="eastAsia" w:cs="Times New Roman"/>
          <w:color w:val="auto"/>
          <w:u w:val="single"/>
          <w:lang w:val="en-US" w:eastAsia="zh-CN"/>
        </w:rPr>
        <w:t>要求。</w:t>
      </w:r>
    </w:p>
    <w:p>
      <w:pPr>
        <w:pStyle w:val="33"/>
        <w:bidi w:val="0"/>
        <w:rPr>
          <w:rFonts w:ascii="Times New Roman" w:hAnsi="Times New Roman" w:cs="Times New Roman"/>
          <w:color w:val="auto"/>
          <w:u w:val="single"/>
        </w:rPr>
      </w:pPr>
      <w:r>
        <w:rPr>
          <w:rFonts w:hint="eastAsia" w:ascii="Times New Roman" w:hAnsi="Times New Roman" w:cs="Times New Roman"/>
          <w:color w:val="auto"/>
          <w:u w:val="single"/>
          <w:lang w:val="en-US" w:eastAsia="zh-CN"/>
        </w:rPr>
        <w:t>储罐</w:t>
      </w:r>
      <w:r>
        <w:rPr>
          <w:rFonts w:hint="eastAsia" w:cs="Times New Roman"/>
          <w:color w:val="auto"/>
          <w:u w:val="single"/>
          <w:lang w:val="en-US" w:eastAsia="zh-CN"/>
        </w:rPr>
        <w:t>废气中挥发性有机物（以非甲烷总烃计）</w:t>
      </w:r>
      <w:r>
        <w:rPr>
          <w:rFonts w:hint="eastAsia" w:ascii="Times New Roman" w:hAnsi="Times New Roman" w:cs="Times New Roman"/>
          <w:color w:val="auto"/>
          <w:u w:val="single"/>
          <w:vertAlign w:val="baseline"/>
          <w:lang w:val="en-US" w:eastAsia="zh-CN"/>
        </w:rPr>
        <w:t>满足</w:t>
      </w:r>
      <w:r>
        <w:rPr>
          <w:rFonts w:hint="eastAsia"/>
          <w:color w:val="auto"/>
          <w:u w:val="single"/>
          <w:lang w:val="en-US" w:eastAsia="zh-CN"/>
        </w:rPr>
        <w:t>《石油化学工业污染物排放标准》（GB31571-2015）中表4标准要求（去除效率大于95%，排放浓度120mg/m</w:t>
      </w:r>
      <w:r>
        <w:rPr>
          <w:rFonts w:hint="eastAsia"/>
          <w:color w:val="auto"/>
          <w:u w:val="single"/>
          <w:vertAlign w:val="superscript"/>
          <w:lang w:val="en-US" w:eastAsia="zh-CN"/>
        </w:rPr>
        <w:t>3</w:t>
      </w:r>
      <w:r>
        <w:rPr>
          <w:rFonts w:hint="eastAsia"/>
          <w:color w:val="auto"/>
          <w:u w:val="single"/>
          <w:lang w:val="en-US" w:eastAsia="zh-CN"/>
        </w:rPr>
        <w:t>）。</w:t>
      </w:r>
      <w:r>
        <w:rPr>
          <w:rFonts w:ascii="Times New Roman" w:hAnsi="Times New Roman" w:cs="Times New Roman"/>
          <w:color w:val="auto"/>
          <w:u w:val="single"/>
        </w:rPr>
        <w:t>甲醇满足《石油化学工业污染物排放标准》（GB31571-2015）中表6废气中有机特征污染物及排放限值</w:t>
      </w:r>
      <w:r>
        <w:rPr>
          <w:rFonts w:hint="eastAsia" w:cs="Times New Roman"/>
          <w:color w:val="auto"/>
          <w:u w:val="single"/>
          <w:lang w:val="en-US" w:eastAsia="zh-CN"/>
        </w:rPr>
        <w:t>要求</w:t>
      </w:r>
      <w:r>
        <w:rPr>
          <w:rFonts w:ascii="Times New Roman" w:hAnsi="Times New Roman" w:cs="Times New Roman"/>
          <w:color w:val="auto"/>
          <w:u w:val="single"/>
        </w:rPr>
        <w:t>。</w:t>
      </w:r>
    </w:p>
    <w:p>
      <w:pPr>
        <w:pStyle w:val="33"/>
        <w:bidi w:val="0"/>
        <w:rPr>
          <w:rFonts w:ascii="Times New Roman" w:hAnsi="Times New Roman" w:cs="Times New Roman"/>
          <w:color w:val="auto"/>
          <w:u w:val="single"/>
        </w:rPr>
      </w:pPr>
      <w:r>
        <w:rPr>
          <w:rFonts w:ascii="Times New Roman" w:hAnsi="Times New Roman" w:cs="Times New Roman"/>
          <w:color w:val="auto"/>
          <w:u w:val="single"/>
        </w:rPr>
        <w:t>综上可知，本项目有组织废气治理措施是可行的。</w:t>
      </w:r>
    </w:p>
    <w:p>
      <w:pPr>
        <w:pStyle w:val="32"/>
        <w:bidi w:val="0"/>
        <w:rPr>
          <w:color w:val="auto"/>
        </w:rPr>
      </w:pPr>
      <w:r>
        <w:rPr>
          <w:rFonts w:hint="eastAsia"/>
          <w:color w:val="auto"/>
          <w:lang w:val="en-US" w:eastAsia="zh-CN"/>
        </w:rPr>
        <w:t>8</w:t>
      </w:r>
      <w:r>
        <w:rPr>
          <w:color w:val="auto"/>
        </w:rPr>
        <w:t>.</w:t>
      </w:r>
      <w:r>
        <w:rPr>
          <w:rFonts w:hint="eastAsia"/>
          <w:color w:val="auto"/>
          <w:lang w:val="en-US" w:eastAsia="zh-CN"/>
        </w:rPr>
        <w:t>1</w:t>
      </w:r>
      <w:r>
        <w:rPr>
          <w:color w:val="auto"/>
        </w:rPr>
        <w:t>.3排气筒高度合理性分析</w:t>
      </w:r>
    </w:p>
    <w:p>
      <w:pPr>
        <w:pStyle w:val="33"/>
        <w:bidi w:val="0"/>
        <w:rPr>
          <w:rFonts w:ascii="Times New Roman" w:hAnsi="Times New Roman" w:cs="Times New Roman"/>
          <w:color w:val="auto"/>
        </w:rPr>
      </w:pPr>
      <w:r>
        <w:rPr>
          <w:rFonts w:ascii="Times New Roman" w:hAnsi="Times New Roman" w:cs="Times New Roman"/>
          <w:color w:val="auto"/>
        </w:rPr>
        <w:t>（1）排气筒高度合理性分析</w:t>
      </w:r>
    </w:p>
    <w:p>
      <w:pPr>
        <w:pStyle w:val="33"/>
        <w:bidi w:val="0"/>
        <w:rPr>
          <w:rFonts w:ascii="Times New Roman" w:hAnsi="Times New Roman" w:cs="Times New Roman"/>
          <w:color w:val="auto"/>
        </w:rPr>
      </w:pPr>
      <w:r>
        <w:rPr>
          <w:rFonts w:hint="eastAsia" w:ascii="Times New Roman" w:hAnsi="Times New Roman" w:cs="Times New Roman"/>
          <w:color w:val="auto"/>
          <w:lang w:val="en-US" w:eastAsia="zh-CN"/>
        </w:rPr>
        <w:t>新建</w:t>
      </w:r>
      <w:r>
        <w:rPr>
          <w:rFonts w:ascii="Times New Roman" w:hAnsi="Times New Roman" w:cs="Times New Roman"/>
          <w:color w:val="auto"/>
        </w:rPr>
        <w:t>排气筒高度为</w:t>
      </w:r>
      <w:r>
        <w:rPr>
          <w:rFonts w:hint="eastAsia" w:ascii="Times New Roman" w:hAnsi="Times New Roman" w:cs="Times New Roman"/>
          <w:color w:val="auto"/>
          <w:lang w:val="en-US" w:eastAsia="zh-CN"/>
        </w:rPr>
        <w:t>15</w:t>
      </w:r>
      <w:r>
        <w:rPr>
          <w:rFonts w:ascii="Times New Roman" w:hAnsi="Times New Roman" w:cs="Times New Roman"/>
          <w:color w:val="auto"/>
        </w:rPr>
        <w:t>m，</w:t>
      </w:r>
      <w:r>
        <w:rPr>
          <w:rFonts w:hint="eastAsia" w:ascii="Times New Roman" w:hAnsi="Times New Roman" w:cs="Times New Roman"/>
          <w:color w:val="auto"/>
          <w:lang w:val="en-US" w:eastAsia="zh-CN"/>
        </w:rPr>
        <w:t>现有排气筒高度为20m，</w:t>
      </w:r>
      <w:r>
        <w:rPr>
          <w:rFonts w:ascii="Times New Roman" w:hAnsi="Times New Roman" w:cs="Times New Roman"/>
          <w:color w:val="auto"/>
        </w:rPr>
        <w:t>周边200m范围内均为园区厂房，无高层建筑物，因此排气筒高度高于200m半径范围内的建筑物5m以上，排气筒高度和污染物排放速率符合《石油化学工业污染物排放标准》（GB31571-2015）的规定的排气筒高度要求。</w:t>
      </w:r>
    </w:p>
    <w:p>
      <w:pPr>
        <w:pStyle w:val="33"/>
        <w:bidi w:val="0"/>
        <w:rPr>
          <w:rFonts w:ascii="Times New Roman" w:hAnsi="Times New Roman" w:cs="Times New Roman"/>
          <w:color w:val="auto"/>
        </w:rPr>
      </w:pPr>
      <w:r>
        <w:rPr>
          <w:rFonts w:ascii="Times New Roman" w:hAnsi="Times New Roman" w:cs="Times New Roman"/>
          <w:color w:val="auto"/>
        </w:rPr>
        <w:t>（2）排气筒烟气出口速度的论证</w:t>
      </w:r>
    </w:p>
    <w:p>
      <w:pPr>
        <w:pStyle w:val="33"/>
        <w:bidi w:val="0"/>
        <w:rPr>
          <w:rFonts w:ascii="Times New Roman" w:hAnsi="Times New Roman" w:cs="Times New Roman"/>
          <w:color w:val="auto"/>
        </w:rPr>
      </w:pPr>
      <w:r>
        <w:rPr>
          <w:rFonts w:ascii="Times New Roman" w:hAnsi="Times New Roman" w:cs="Times New Roman"/>
          <w:color w:val="auto"/>
        </w:rPr>
        <w:t>根据《制定地方大气污染物排放标准的技术方法》（GB/T 3840-1991）的规定。§5.6新建、改建和扩建工程的排气筒应符合以下规定：</w:t>
      </w:r>
    </w:p>
    <w:p>
      <w:pPr>
        <w:pStyle w:val="33"/>
        <w:bidi w:val="0"/>
        <w:rPr>
          <w:rFonts w:ascii="Times New Roman" w:hAnsi="Times New Roman" w:cs="Times New Roman"/>
          <w:color w:val="auto"/>
        </w:rPr>
      </w:pPr>
      <w:r>
        <w:rPr>
          <w:rFonts w:ascii="Times New Roman" w:hAnsi="Times New Roman" w:cs="Times New Roman"/>
          <w:color w:val="auto"/>
        </w:rPr>
        <w:t>§5.6.1排气筒出口处烟气速度Vs不得小于按下式计算出的风速Vc的1.5倍。</w:t>
      </w:r>
    </w:p>
    <w:p>
      <w:pPr>
        <w:pStyle w:val="33"/>
        <w:bidi w:val="0"/>
        <w:rPr>
          <w:rFonts w:ascii="Times New Roman" w:hAnsi="Times New Roman" w:cs="Times New Roman"/>
          <w:color w:val="auto"/>
        </w:rPr>
      </w:pPr>
      <w:r>
        <w:rPr>
          <w:rFonts w:ascii="Times New Roman" w:hAnsi="Times New Roman" w:cs="Times New Roman"/>
          <w:color w:val="auto"/>
        </w:rPr>
        <w:t xml:space="preserve">Vc=Ṽ×(2.030)1/K/Г(1+1/K) </w:t>
      </w:r>
    </w:p>
    <w:p>
      <w:pPr>
        <w:pStyle w:val="33"/>
        <w:bidi w:val="0"/>
        <w:rPr>
          <w:rFonts w:ascii="Times New Roman" w:hAnsi="Times New Roman" w:cs="Times New Roman"/>
          <w:color w:val="auto"/>
        </w:rPr>
      </w:pPr>
      <w:r>
        <w:rPr>
          <w:rFonts w:ascii="Times New Roman" w:hAnsi="Times New Roman" w:cs="Times New Roman"/>
          <w:color w:val="auto"/>
        </w:rPr>
        <w:t>K=0.74+1.19 Ṽ</w:t>
      </w:r>
    </w:p>
    <w:p>
      <w:pPr>
        <w:pStyle w:val="33"/>
        <w:bidi w:val="0"/>
        <w:rPr>
          <w:rFonts w:ascii="Times New Roman" w:hAnsi="Times New Roman" w:cs="Times New Roman"/>
          <w:color w:val="auto"/>
        </w:rPr>
      </w:pPr>
      <w:r>
        <w:rPr>
          <w:rFonts w:ascii="Times New Roman" w:hAnsi="Times New Roman" w:cs="Times New Roman"/>
          <w:color w:val="auto"/>
        </w:rPr>
        <w:t>式中：Ṽ----排气筒出口高度处环境风速的多年平均风速，取2.6m/s；</w:t>
      </w:r>
    </w:p>
    <w:p>
      <w:pPr>
        <w:pStyle w:val="33"/>
        <w:bidi w:val="0"/>
        <w:rPr>
          <w:rFonts w:ascii="Times New Roman" w:hAnsi="Times New Roman" w:cs="Times New Roman"/>
          <w:color w:val="auto"/>
        </w:rPr>
      </w:pPr>
      <w:r>
        <w:rPr>
          <w:rFonts w:ascii="Times New Roman" w:hAnsi="Times New Roman" w:cs="Times New Roman"/>
          <w:color w:val="auto"/>
        </w:rPr>
        <w:t>K----韦伯斜率；</w:t>
      </w:r>
    </w:p>
    <w:p>
      <w:pPr>
        <w:pStyle w:val="33"/>
        <w:bidi w:val="0"/>
        <w:rPr>
          <w:rFonts w:ascii="Times New Roman" w:hAnsi="Times New Roman" w:cs="Times New Roman"/>
          <w:color w:val="auto"/>
        </w:rPr>
      </w:pPr>
      <w:r>
        <w:rPr>
          <w:rFonts w:ascii="Times New Roman" w:hAnsi="Times New Roman" w:cs="Times New Roman"/>
          <w:color w:val="auto"/>
        </w:rPr>
        <w:t>参照附录C：Г(1+1/K)值为0.5</w:t>
      </w:r>
    </w:p>
    <w:p>
      <w:pPr>
        <w:pStyle w:val="33"/>
        <w:bidi w:val="0"/>
        <w:rPr>
          <w:rFonts w:ascii="Times New Roman" w:hAnsi="Times New Roman" w:cs="Times New Roman"/>
          <w:color w:val="auto"/>
        </w:rPr>
      </w:pPr>
      <w:r>
        <w:rPr>
          <w:rFonts w:ascii="Times New Roman" w:hAnsi="Times New Roman" w:cs="Times New Roman"/>
          <w:color w:val="auto"/>
        </w:rPr>
        <w:t>经计算：K=2.8106，Vc=6.68 m/s，1.5Vc=10.02m/s。</w:t>
      </w:r>
    </w:p>
    <w:p>
      <w:pPr>
        <w:pStyle w:val="33"/>
        <w:bidi w:val="0"/>
        <w:rPr>
          <w:rFonts w:ascii="Times New Roman" w:hAnsi="Times New Roman" w:cs="Times New Roman"/>
          <w:color w:val="auto"/>
        </w:rPr>
      </w:pPr>
      <w:r>
        <w:rPr>
          <w:rFonts w:ascii="Times New Roman" w:hAnsi="Times New Roman" w:cs="Times New Roman"/>
          <w:color w:val="auto"/>
        </w:rPr>
        <w:t>本项目共计两个排气筒，分别计算出口流速如下：</w:t>
      </w:r>
    </w:p>
    <w:p>
      <w:pPr>
        <w:pStyle w:val="33"/>
        <w:bidi w:val="0"/>
        <w:rPr>
          <w:rFonts w:ascii="Times New Roman" w:hAnsi="Times New Roman" w:cs="Times New Roman"/>
          <w:color w:val="auto"/>
        </w:rPr>
      </w:pPr>
      <w:r>
        <w:rPr>
          <w:rFonts w:ascii="Times New Roman" w:hAnsi="Times New Roman" w:cs="Times New Roman"/>
          <w:color w:val="auto"/>
        </w:rPr>
        <w:t>生产装置废气排气筒1：排气筒速率</w:t>
      </w:r>
      <w:r>
        <w:rPr>
          <w:rFonts w:hint="eastAsia" w:ascii="Times New Roman" w:hAnsi="Times New Roman" w:cs="Times New Roman"/>
          <w:color w:val="auto"/>
          <w:lang w:val="en-US" w:eastAsia="zh-CN"/>
        </w:rPr>
        <w:t>3500</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/h，排气筒内径</w:t>
      </w:r>
      <w:r>
        <w:rPr>
          <w:rFonts w:hint="eastAsia" w:ascii="Times New Roman" w:hAnsi="Times New Roman" w:cs="Times New Roman"/>
          <w:color w:val="auto"/>
        </w:rPr>
        <w:t>0.</w:t>
      </w:r>
      <w:r>
        <w:rPr>
          <w:rFonts w:hint="eastAsia" w:ascii="Times New Roman" w:hAnsi="Times New Roman" w:cs="Times New Roman"/>
          <w:color w:val="auto"/>
          <w:lang w:val="en-US" w:eastAsia="zh-CN"/>
        </w:rPr>
        <w:t>3</w:t>
      </w:r>
      <w:r>
        <w:rPr>
          <w:rFonts w:ascii="Times New Roman" w:hAnsi="Times New Roman" w:cs="Times New Roman"/>
          <w:color w:val="auto"/>
        </w:rPr>
        <w:t>m，计算得烟气出口流速为V=</w:t>
      </w:r>
      <w:r>
        <w:rPr>
          <w:rFonts w:hint="eastAsia" w:ascii="Times New Roman" w:hAnsi="Times New Roman" w:cs="Times New Roman"/>
          <w:color w:val="auto"/>
          <w:lang w:val="en-US" w:eastAsia="zh-CN"/>
        </w:rPr>
        <w:t>13.76</w:t>
      </w:r>
      <w:r>
        <w:rPr>
          <w:rFonts w:ascii="Times New Roman" w:hAnsi="Times New Roman" w:cs="Times New Roman"/>
          <w:color w:val="auto"/>
        </w:rPr>
        <w:t>m/s＞1.5Vc=10.02m/s</w:t>
      </w:r>
    </w:p>
    <w:p>
      <w:pPr>
        <w:pStyle w:val="33"/>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储罐废气排气筒2：</w:t>
      </w:r>
      <w:r>
        <w:rPr>
          <w:rFonts w:ascii="Times New Roman" w:hAnsi="Times New Roman" w:cs="Times New Roman"/>
          <w:color w:val="auto"/>
        </w:rPr>
        <w:t>排气筒速率</w:t>
      </w:r>
      <w:r>
        <w:rPr>
          <w:rFonts w:hint="eastAsia" w:ascii="Times New Roman" w:hAnsi="Times New Roman" w:cs="Times New Roman"/>
          <w:color w:val="auto"/>
          <w:lang w:val="en-US" w:eastAsia="zh-CN"/>
        </w:rPr>
        <w:t>2</w:t>
      </w:r>
      <w:r>
        <w:rPr>
          <w:rFonts w:ascii="Times New Roman" w:hAnsi="Times New Roman" w:cs="Times New Roman"/>
          <w:color w:val="auto"/>
        </w:rPr>
        <w:t>000m</w:t>
      </w:r>
      <w:r>
        <w:rPr>
          <w:rFonts w:ascii="Times New Roman" w:hAnsi="Times New Roman" w:cs="Times New Roman"/>
          <w:color w:val="auto"/>
          <w:vertAlign w:val="superscript"/>
        </w:rPr>
        <w:t>3</w:t>
      </w:r>
      <w:r>
        <w:rPr>
          <w:rFonts w:ascii="Times New Roman" w:hAnsi="Times New Roman" w:cs="Times New Roman"/>
          <w:color w:val="auto"/>
        </w:rPr>
        <w:t>/h，排气筒内径</w:t>
      </w:r>
      <w:r>
        <w:rPr>
          <w:rFonts w:hint="eastAsia" w:ascii="Times New Roman" w:hAnsi="Times New Roman" w:cs="Times New Roman"/>
          <w:color w:val="auto"/>
        </w:rPr>
        <w:t>0.</w:t>
      </w:r>
      <w:r>
        <w:rPr>
          <w:rFonts w:hint="eastAsia" w:ascii="Times New Roman" w:hAnsi="Times New Roman" w:cs="Times New Roman"/>
          <w:color w:val="auto"/>
          <w:lang w:val="en-US" w:eastAsia="zh-CN"/>
        </w:rPr>
        <w:t>2</w:t>
      </w:r>
      <w:r>
        <w:rPr>
          <w:rFonts w:ascii="Times New Roman" w:hAnsi="Times New Roman" w:cs="Times New Roman"/>
          <w:color w:val="auto"/>
        </w:rPr>
        <w:t>m，计算得烟气出口流速为V=</w:t>
      </w:r>
      <w:r>
        <w:rPr>
          <w:rFonts w:hint="eastAsia" w:ascii="Times New Roman" w:hAnsi="Times New Roman" w:cs="Times New Roman"/>
          <w:color w:val="auto"/>
          <w:lang w:val="en-US" w:eastAsia="zh-CN"/>
        </w:rPr>
        <w:t>17.69</w:t>
      </w:r>
      <w:r>
        <w:rPr>
          <w:rFonts w:ascii="Times New Roman" w:hAnsi="Times New Roman" w:cs="Times New Roman"/>
          <w:color w:val="auto"/>
        </w:rPr>
        <w:t>m/s＞1.5Vc=10.02m/s</w:t>
      </w:r>
    </w:p>
    <w:p>
      <w:pPr>
        <w:pStyle w:val="33"/>
        <w:bidi w:val="0"/>
        <w:rPr>
          <w:rFonts w:ascii="Times New Roman" w:hAnsi="Times New Roman" w:cs="Times New Roman"/>
          <w:color w:val="auto"/>
        </w:rPr>
      </w:pPr>
      <w:r>
        <w:rPr>
          <w:rFonts w:ascii="Times New Roman" w:hAnsi="Times New Roman" w:cs="Times New Roman"/>
          <w:color w:val="auto"/>
        </w:rPr>
        <w:t>满足《制定地方大气污染物排放标准的技术方法》（GB/T3840-1991）的规定。</w:t>
      </w:r>
    </w:p>
    <w:p>
      <w:pPr>
        <w:pStyle w:val="32"/>
        <w:bidi w:val="0"/>
        <w:rPr>
          <w:color w:val="auto"/>
        </w:rPr>
      </w:pPr>
      <w:r>
        <w:rPr>
          <w:rFonts w:hint="eastAsia"/>
          <w:color w:val="auto"/>
          <w:lang w:val="en-US" w:eastAsia="zh-CN"/>
        </w:rPr>
        <w:t>8</w:t>
      </w:r>
      <w:r>
        <w:rPr>
          <w:color w:val="auto"/>
        </w:rPr>
        <w:t>.</w:t>
      </w:r>
      <w:r>
        <w:rPr>
          <w:rFonts w:hint="eastAsia"/>
          <w:color w:val="auto"/>
          <w:lang w:val="en-US" w:eastAsia="zh-CN"/>
        </w:rPr>
        <w:t>1</w:t>
      </w:r>
      <w:r>
        <w:rPr>
          <w:color w:val="auto"/>
        </w:rPr>
        <w:t>.4无组织废气治理措施可行性</w:t>
      </w:r>
    </w:p>
    <w:p>
      <w:pPr>
        <w:pStyle w:val="33"/>
        <w:bidi w:val="0"/>
        <w:rPr>
          <w:color w:val="auto"/>
        </w:rPr>
      </w:pPr>
      <w:r>
        <w:rPr>
          <w:color w:val="auto"/>
        </w:rPr>
        <w:t>针对</w:t>
      </w:r>
      <w:r>
        <w:rPr>
          <w:rFonts w:hint="eastAsia"/>
          <w:color w:val="auto"/>
          <w:lang w:val="en-US" w:eastAsia="zh-CN"/>
        </w:rPr>
        <w:t>项目储罐和生产区</w:t>
      </w:r>
      <w:r>
        <w:rPr>
          <w:color w:val="auto"/>
        </w:rPr>
        <w:t>的无组织排放，本项目采取的控制措施如下：项目液态原料密闭投加，装置中物料及产生的废水、废气等均采用密闭输送方式，防止泄露，装置中无组织挥发的物料较少。同时，项目设计阶段按照设计标准和工程经验选用适当的设备和管道材料，将设备和管道的腐蚀控制在合理范围之内；通过制定严谨的工艺操作规程和岗位操作方法，减少误操作。企业对挥发性有机物流经的设备或管线组件，如反应釜、储罐、阀门、法兰、泵、压缩机、取样连接系统和其他缝隙结合处等，定期按照国家及省相关要求加强泄漏检测，及时修复泄漏点，减少废气无组织排放。同时，结合《挥发性有机物无组织排放控制标准》（GB37822-2019）要求，</w:t>
      </w:r>
      <w:r>
        <w:rPr>
          <w:rFonts w:hint="eastAsia"/>
          <w:color w:val="auto"/>
          <w:lang w:val="en-US" w:eastAsia="zh-CN"/>
        </w:rPr>
        <w:t>提出如下控制措施要求</w:t>
      </w:r>
      <w:r>
        <w:rPr>
          <w:color w:val="auto"/>
        </w:rPr>
        <w:t>。</w:t>
      </w:r>
    </w:p>
    <w:p>
      <w:pPr>
        <w:pStyle w:val="36"/>
        <w:bidi w:val="0"/>
        <w:rPr>
          <w:rFonts w:hint="eastAsia"/>
          <w:color w:val="auto"/>
          <w:lang w:val="en-US" w:eastAsia="zh-CN"/>
        </w:rPr>
      </w:pPr>
      <w:r>
        <w:rPr>
          <w:color w:val="auto"/>
        </w:rPr>
        <w:t xml:space="preserve">表 </w:t>
      </w:r>
      <w:r>
        <w:rPr>
          <w:rFonts w:hint="eastAsia"/>
          <w:color w:val="auto"/>
          <w:lang w:val="en-US" w:eastAsia="zh-CN"/>
        </w:rPr>
        <w:t>8.1-1</w:t>
      </w:r>
      <w:r>
        <w:rPr>
          <w:color w:val="auto"/>
        </w:rPr>
        <w:tab/>
      </w:r>
      <w:r>
        <w:rPr>
          <w:color w:val="auto"/>
        </w:rPr>
        <w:t>无组织排放控制措施</w:t>
      </w:r>
      <w:r>
        <w:rPr>
          <w:rFonts w:hint="eastAsia"/>
          <w:color w:val="auto"/>
          <w:lang w:val="en-US" w:eastAsia="zh-CN"/>
        </w:rPr>
        <w:t>要求</w:t>
      </w:r>
    </w:p>
    <w:tbl>
      <w:tblPr>
        <w:tblStyle w:val="2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490"/>
        <w:gridCol w:w="4131"/>
        <w:gridCol w:w="3889"/>
      </w:tblGrid>
      <w:tr>
        <w:tblPrEx>
          <w:shd w:val="clear" w:color="auto" w:fill="auto"/>
        </w:tblPrEx>
        <w:trPr>
          <w:trHeight w:val="825" w:hRule="atLeast"/>
          <w:jc w:val="center"/>
        </w:trPr>
        <w:tc>
          <w:tcPr>
            <w:tcW w:w="78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项目</w:t>
            </w: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GB37822-2019</w:t>
            </w:r>
            <w:r>
              <w:rPr>
                <w:rStyle w:val="82"/>
                <w:rFonts w:hint="default" w:ascii="Times New Roman" w:hAnsi="Times New Roman" w:cs="Times New Roman"/>
                <w:b w:val="0"/>
                <w:bCs w:val="0"/>
                <w:color w:val="auto"/>
                <w:sz w:val="21"/>
                <w:szCs w:val="21"/>
                <w:lang w:val="en-US" w:eastAsia="zh-CN" w:bidi="ar"/>
              </w:rPr>
              <w:t>标准要求</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本项目情况</w:t>
            </w:r>
          </w:p>
        </w:tc>
      </w:tr>
      <w:tr>
        <w:tblPrEx>
          <w:shd w:val="clear" w:color="auto" w:fill="auto"/>
        </w:tblPrEx>
        <w:trPr>
          <w:trHeight w:val="90" w:hRule="atLeast"/>
          <w:jc w:val="center"/>
        </w:trPr>
        <w:tc>
          <w:tcPr>
            <w:tcW w:w="78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VOCS</w:t>
            </w:r>
            <w:r>
              <w:rPr>
                <w:rStyle w:val="82"/>
                <w:rFonts w:hint="default" w:ascii="Times New Roman" w:hAnsi="Times New Roman" w:cs="Times New Roman"/>
                <w:b w:val="0"/>
                <w:bCs w:val="0"/>
                <w:color w:val="auto"/>
                <w:sz w:val="21"/>
                <w:szCs w:val="21"/>
                <w:lang w:val="en-US" w:eastAsia="zh-CN" w:bidi="ar"/>
              </w:rPr>
              <w:t>物料储存无组</w:t>
            </w:r>
            <w:r>
              <w:rPr>
                <w:rStyle w:val="83"/>
                <w:rFonts w:hint="default" w:ascii="Times New Roman" w:hAnsi="Times New Roman" w:eastAsia="宋体" w:cs="Times New Roman"/>
                <w:b w:val="0"/>
                <w:bCs w:val="0"/>
                <w:color w:val="auto"/>
                <w:sz w:val="21"/>
                <w:szCs w:val="21"/>
                <w:lang w:val="en-US" w:eastAsia="zh-CN" w:bidi="ar"/>
              </w:rPr>
              <w:t>织排放控制要求</w:t>
            </w: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VOCs</w:t>
            </w:r>
            <w:r>
              <w:rPr>
                <w:rStyle w:val="82"/>
                <w:rFonts w:hint="default" w:ascii="Times New Roman" w:hAnsi="Times New Roman" w:cs="Times New Roman"/>
                <w:b w:val="0"/>
                <w:bCs w:val="0"/>
                <w:color w:val="auto"/>
                <w:sz w:val="21"/>
                <w:szCs w:val="21"/>
                <w:lang w:val="en-US" w:eastAsia="zh-CN" w:bidi="ar"/>
              </w:rPr>
              <w:t>物料应储存于密闭的容器、包装袋、储罐、储库、料仓中。</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本项目</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物料均储存于</w:t>
            </w:r>
            <w:r>
              <w:rPr>
                <w:rStyle w:val="83"/>
                <w:rFonts w:hint="default" w:ascii="Times New Roman" w:hAnsi="Times New Roman" w:eastAsia="宋体" w:cs="Times New Roman"/>
                <w:b w:val="0"/>
                <w:bCs w:val="0"/>
                <w:color w:val="auto"/>
                <w:sz w:val="21"/>
                <w:szCs w:val="21"/>
                <w:lang w:val="en-US" w:eastAsia="zh-CN" w:bidi="ar"/>
              </w:rPr>
              <w:t>密闭的储罐中。</w:t>
            </w:r>
          </w:p>
        </w:tc>
      </w:tr>
      <w:tr>
        <w:tblPrEx>
          <w:shd w:val="clear" w:color="auto" w:fill="auto"/>
        </w:tblPrEx>
        <w:trPr>
          <w:trHeight w:val="90" w:hRule="atLeast"/>
          <w:jc w:val="center"/>
        </w:trPr>
        <w:tc>
          <w:tcPr>
            <w:tcW w:w="783" w:type="pct"/>
            <w:vMerge w:val="continue"/>
            <w:tcBorders>
              <w:tl2br w:val="nil"/>
              <w:tr2bl w:val="nil"/>
            </w:tcBorders>
            <w:shd w:val="clear" w:color="auto" w:fill="auto"/>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储存真实蒸气压≥5.2kPa</w:t>
            </w:r>
            <w:r>
              <w:rPr>
                <w:rStyle w:val="82"/>
                <w:rFonts w:hint="default" w:ascii="Times New Roman" w:hAnsi="Times New Roman" w:cs="Times New Roman"/>
                <w:b w:val="0"/>
                <w:bCs w:val="0"/>
                <w:color w:val="auto"/>
                <w:sz w:val="21"/>
                <w:szCs w:val="21"/>
                <w:lang w:val="en-US" w:eastAsia="zh-CN" w:bidi="ar"/>
              </w:rPr>
              <w:t>但＜</w:t>
            </w:r>
            <w:r>
              <w:rPr>
                <w:rStyle w:val="83"/>
                <w:rFonts w:hint="default" w:ascii="Times New Roman" w:hAnsi="Times New Roman" w:eastAsia="宋体" w:cs="Times New Roman"/>
                <w:b w:val="0"/>
                <w:bCs w:val="0"/>
                <w:color w:val="auto"/>
                <w:sz w:val="21"/>
                <w:szCs w:val="21"/>
                <w:lang w:val="en-US" w:eastAsia="zh-CN" w:bidi="ar"/>
              </w:rPr>
              <w:t>27.6kPa</w:t>
            </w:r>
            <w:r>
              <w:rPr>
                <w:rStyle w:val="82"/>
                <w:rFonts w:hint="default" w:ascii="Times New Roman" w:hAnsi="Times New Roman" w:cs="Times New Roman"/>
                <w:b w:val="0"/>
                <w:bCs w:val="0"/>
                <w:color w:val="auto"/>
                <w:sz w:val="21"/>
                <w:szCs w:val="21"/>
                <w:lang w:val="en-US" w:eastAsia="zh-CN" w:bidi="ar"/>
              </w:rPr>
              <w:t>且储罐容积</w:t>
            </w:r>
            <w:r>
              <w:rPr>
                <w:rStyle w:val="83"/>
                <w:rFonts w:hint="default" w:ascii="Times New Roman" w:hAnsi="Times New Roman" w:eastAsia="宋体" w:cs="Times New Roman"/>
                <w:b w:val="0"/>
                <w:bCs w:val="0"/>
                <w:color w:val="auto"/>
                <w:sz w:val="21"/>
                <w:szCs w:val="21"/>
                <w:lang w:val="en-US" w:eastAsia="zh-CN" w:bidi="ar"/>
              </w:rPr>
              <w:t>≥150m</w:t>
            </w:r>
            <w:r>
              <w:rPr>
                <w:rStyle w:val="77"/>
                <w:rFonts w:hint="default" w:ascii="Times New Roman" w:hAnsi="Times New Roman" w:eastAsia="宋体" w:cs="Times New Roman"/>
                <w:b w:val="0"/>
                <w:bCs w:val="0"/>
                <w:color w:val="auto"/>
                <w:sz w:val="21"/>
                <w:szCs w:val="21"/>
                <w:lang w:val="en-US" w:eastAsia="zh-CN" w:bidi="ar"/>
              </w:rPr>
              <w:t>3</w:t>
            </w:r>
            <w:r>
              <w:rPr>
                <w:rStyle w:val="83"/>
                <w:rFonts w:hint="default" w:ascii="Times New Roman" w:hAnsi="Times New Roman" w:eastAsia="宋体" w:cs="Times New Roman"/>
                <w:b w:val="0"/>
                <w:bCs w:val="0"/>
                <w:color w:val="auto"/>
                <w:sz w:val="21"/>
                <w:szCs w:val="21"/>
                <w:lang w:val="en-US" w:eastAsia="zh-CN" w:bidi="ar"/>
              </w:rPr>
              <w:t>的挥发性有机液体储罐，应符合下列规定之一：a</w:t>
            </w:r>
            <w:r>
              <w:rPr>
                <w:rStyle w:val="82"/>
                <w:rFonts w:hint="default" w:ascii="Times New Roman" w:hAnsi="Times New Roman" w:cs="Times New Roman"/>
                <w:b w:val="0"/>
                <w:bCs w:val="0"/>
                <w:color w:val="auto"/>
                <w:sz w:val="21"/>
                <w:szCs w:val="21"/>
                <w:lang w:val="en-US" w:eastAsia="zh-CN" w:bidi="ar"/>
              </w:rPr>
              <w:t>）采用浮顶罐。对于内浮顶罐，浮顶与罐壁之间应采用浸液式密封、机械式鞋形密封等高效密封方式；对于外浮顶罐，浮顶与罐壁之间应采用双重密封，且一次密封应采用浸液式密封、机械式鞋形密封等高效密封方式。</w:t>
            </w:r>
            <w:r>
              <w:rPr>
                <w:rStyle w:val="83"/>
                <w:rFonts w:hint="default" w:ascii="Times New Roman" w:hAnsi="Times New Roman" w:eastAsia="宋体" w:cs="Times New Roman"/>
                <w:b w:val="0"/>
                <w:bCs w:val="0"/>
                <w:color w:val="auto"/>
                <w:sz w:val="21"/>
                <w:szCs w:val="21"/>
                <w:lang w:val="en-US" w:eastAsia="zh-CN" w:bidi="ar"/>
              </w:rPr>
              <w:t>b</w:t>
            </w:r>
            <w:r>
              <w:rPr>
                <w:rStyle w:val="82"/>
                <w:rFonts w:hint="default" w:ascii="Times New Roman" w:hAnsi="Times New Roman" w:cs="Times New Roman"/>
                <w:b w:val="0"/>
                <w:bCs w:val="0"/>
                <w:color w:val="auto"/>
                <w:sz w:val="21"/>
                <w:szCs w:val="21"/>
                <w:lang w:val="en-US" w:eastAsia="zh-CN" w:bidi="ar"/>
              </w:rPr>
              <w:t>）采用固定顶罐，排放的废气应收集处理并满足相关行业排放标准的要求（无行业排放标准的应满足</w:t>
            </w:r>
            <w:r>
              <w:rPr>
                <w:rStyle w:val="83"/>
                <w:rFonts w:hint="default" w:ascii="Times New Roman" w:hAnsi="Times New Roman" w:eastAsia="宋体" w:cs="Times New Roman"/>
                <w:b w:val="0"/>
                <w:bCs w:val="0"/>
                <w:color w:val="auto"/>
                <w:sz w:val="21"/>
                <w:szCs w:val="21"/>
                <w:lang w:val="en-US" w:eastAsia="zh-CN" w:bidi="ar"/>
              </w:rPr>
              <w:t>GB 16297</w:t>
            </w:r>
            <w:r>
              <w:rPr>
                <w:rStyle w:val="82"/>
                <w:rFonts w:hint="default" w:ascii="Times New Roman" w:hAnsi="Times New Roman" w:cs="Times New Roman"/>
                <w:b w:val="0"/>
                <w:bCs w:val="0"/>
                <w:color w:val="auto"/>
                <w:sz w:val="21"/>
                <w:szCs w:val="21"/>
                <w:lang w:val="en-US" w:eastAsia="zh-CN" w:bidi="ar"/>
              </w:rPr>
              <w:t>的要求），或者处理效率不低于</w:t>
            </w:r>
            <w:r>
              <w:rPr>
                <w:rStyle w:val="83"/>
                <w:rFonts w:hint="default" w:ascii="Times New Roman" w:hAnsi="Times New Roman" w:eastAsia="宋体" w:cs="Times New Roman"/>
                <w:b w:val="0"/>
                <w:bCs w:val="0"/>
                <w:color w:val="auto"/>
                <w:sz w:val="21"/>
                <w:szCs w:val="21"/>
                <w:lang w:val="en-US" w:eastAsia="zh-CN" w:bidi="ar"/>
              </w:rPr>
              <w:t>90%</w:t>
            </w:r>
            <w:r>
              <w:rPr>
                <w:rStyle w:val="82"/>
                <w:rFonts w:hint="default" w:ascii="Times New Roman" w:hAnsi="Times New Roman" w:cs="Times New Roman"/>
                <w:b w:val="0"/>
                <w:bCs w:val="0"/>
                <w:color w:val="auto"/>
                <w:sz w:val="21"/>
                <w:szCs w:val="21"/>
                <w:lang w:val="en-US" w:eastAsia="zh-CN" w:bidi="ar"/>
              </w:rPr>
              <w:t>。</w:t>
            </w:r>
            <w:r>
              <w:rPr>
                <w:rStyle w:val="83"/>
                <w:rFonts w:hint="default" w:ascii="Times New Roman" w:hAnsi="Times New Roman" w:eastAsia="宋体" w:cs="Times New Roman"/>
                <w:b w:val="0"/>
                <w:bCs w:val="0"/>
                <w:color w:val="auto"/>
                <w:sz w:val="21"/>
                <w:szCs w:val="21"/>
                <w:lang w:val="en-US" w:eastAsia="zh-CN" w:bidi="ar"/>
              </w:rPr>
              <w:t>c</w:t>
            </w:r>
            <w:r>
              <w:rPr>
                <w:rStyle w:val="82"/>
                <w:rFonts w:hint="default" w:ascii="Times New Roman" w:hAnsi="Times New Roman" w:cs="Times New Roman"/>
                <w:b w:val="0"/>
                <w:bCs w:val="0"/>
                <w:color w:val="auto"/>
                <w:sz w:val="21"/>
                <w:szCs w:val="21"/>
                <w:lang w:val="en-US" w:eastAsia="zh-CN" w:bidi="ar"/>
              </w:rPr>
              <w:t>）采用气相平衡系统。</w:t>
            </w:r>
            <w:r>
              <w:rPr>
                <w:rStyle w:val="83"/>
                <w:rFonts w:hint="default" w:ascii="Times New Roman" w:hAnsi="Times New Roman" w:eastAsia="宋体" w:cs="Times New Roman"/>
                <w:b w:val="0"/>
                <w:bCs w:val="0"/>
                <w:color w:val="auto"/>
                <w:sz w:val="21"/>
                <w:szCs w:val="21"/>
                <w:lang w:val="en-US" w:eastAsia="zh-CN" w:bidi="ar"/>
              </w:rPr>
              <w:t>d</w:t>
            </w:r>
            <w:r>
              <w:rPr>
                <w:rStyle w:val="82"/>
                <w:rFonts w:hint="default" w:ascii="Times New Roman" w:hAnsi="Times New Roman" w:cs="Times New Roman"/>
                <w:b w:val="0"/>
                <w:bCs w:val="0"/>
                <w:color w:val="auto"/>
                <w:sz w:val="21"/>
                <w:szCs w:val="21"/>
                <w:lang w:val="en-US" w:eastAsia="zh-CN" w:bidi="ar"/>
              </w:rPr>
              <w:t>）采取其他等效措施。</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本项目</w:t>
            </w:r>
            <w:r>
              <w:rPr>
                <w:rStyle w:val="83"/>
                <w:rFonts w:hint="default" w:ascii="Times New Roman" w:hAnsi="Times New Roman" w:eastAsia="宋体" w:cs="Times New Roman"/>
                <w:b w:val="0"/>
                <w:bCs w:val="0"/>
                <w:color w:val="auto"/>
                <w:sz w:val="21"/>
                <w:szCs w:val="21"/>
                <w:lang w:val="en-US" w:eastAsia="zh-CN" w:bidi="ar"/>
              </w:rPr>
              <w:t>采用固定顶罐，排放的废气</w:t>
            </w:r>
            <w:r>
              <w:rPr>
                <w:rStyle w:val="82"/>
                <w:rFonts w:hint="default" w:ascii="Times New Roman" w:hAnsi="Times New Roman" w:cs="Times New Roman"/>
                <w:b w:val="0"/>
                <w:bCs w:val="0"/>
                <w:color w:val="auto"/>
                <w:sz w:val="21"/>
                <w:szCs w:val="21"/>
                <w:lang w:val="en-US" w:eastAsia="zh-CN" w:bidi="ar"/>
              </w:rPr>
              <w:t>采用收集管道＋喷淋塔＋</w:t>
            </w:r>
            <w:r>
              <w:rPr>
                <w:rStyle w:val="83"/>
                <w:rFonts w:hint="default" w:ascii="Times New Roman" w:hAnsi="Times New Roman" w:eastAsia="宋体" w:cs="Times New Roman"/>
                <w:b w:val="0"/>
                <w:bCs w:val="0"/>
                <w:color w:val="auto"/>
                <w:sz w:val="21"/>
                <w:szCs w:val="21"/>
                <w:lang w:val="en-US" w:eastAsia="zh-CN" w:bidi="ar"/>
              </w:rPr>
              <w:t>UV</w:t>
            </w:r>
            <w:r>
              <w:rPr>
                <w:rStyle w:val="82"/>
                <w:rFonts w:hint="default" w:ascii="Times New Roman" w:hAnsi="Times New Roman" w:cs="Times New Roman"/>
                <w:b w:val="0"/>
                <w:bCs w:val="0"/>
                <w:color w:val="auto"/>
                <w:sz w:val="21"/>
                <w:szCs w:val="21"/>
                <w:lang w:val="en-US" w:eastAsia="zh-CN" w:bidi="ar"/>
              </w:rPr>
              <w:t>光解＋两级活性炭吸附＋</w:t>
            </w:r>
            <w:r>
              <w:rPr>
                <w:rStyle w:val="83"/>
                <w:rFonts w:hint="default" w:ascii="Times New Roman" w:hAnsi="Times New Roman" w:eastAsia="宋体" w:cs="Times New Roman"/>
                <w:b w:val="0"/>
                <w:bCs w:val="0"/>
                <w:color w:val="auto"/>
                <w:sz w:val="21"/>
                <w:szCs w:val="21"/>
                <w:lang w:val="en-US" w:eastAsia="zh-CN" w:bidi="ar"/>
              </w:rPr>
              <w:t>15</w:t>
            </w:r>
            <w:r>
              <w:rPr>
                <w:rStyle w:val="82"/>
                <w:rFonts w:hint="default" w:ascii="Times New Roman" w:hAnsi="Times New Roman" w:cs="Times New Roman"/>
                <w:b w:val="0"/>
                <w:bCs w:val="0"/>
                <w:color w:val="auto"/>
                <w:sz w:val="21"/>
                <w:szCs w:val="21"/>
                <w:lang w:val="en-US" w:eastAsia="zh-CN" w:bidi="ar"/>
              </w:rPr>
              <w:t>米排气筒排放</w:t>
            </w:r>
            <w:r>
              <w:rPr>
                <w:rStyle w:val="83"/>
                <w:rFonts w:hint="default" w:ascii="Times New Roman" w:hAnsi="Times New Roman" w:eastAsia="宋体" w:cs="Times New Roman"/>
                <w:b w:val="0"/>
                <w:bCs w:val="0"/>
                <w:color w:val="auto"/>
                <w:sz w:val="21"/>
                <w:szCs w:val="21"/>
                <w:lang w:val="en-US" w:eastAsia="zh-CN" w:bidi="ar"/>
              </w:rPr>
              <w:t>，</w:t>
            </w:r>
            <w:r>
              <w:rPr>
                <w:rStyle w:val="82"/>
                <w:rFonts w:hint="default" w:ascii="Times New Roman" w:hAnsi="Times New Roman" w:cs="Times New Roman"/>
                <w:b w:val="0"/>
                <w:bCs w:val="0"/>
                <w:color w:val="auto"/>
                <w:sz w:val="21"/>
                <w:szCs w:val="21"/>
                <w:lang w:val="en-US" w:eastAsia="zh-CN" w:bidi="ar"/>
              </w:rPr>
              <w:t>满足行业标准，</w:t>
            </w:r>
            <w:r>
              <w:rPr>
                <w:rStyle w:val="83"/>
                <w:rFonts w:hint="default" w:ascii="Times New Roman" w:hAnsi="Times New Roman" w:eastAsia="宋体" w:cs="Times New Roman"/>
                <w:b w:val="0"/>
                <w:bCs w:val="0"/>
                <w:color w:val="auto"/>
                <w:sz w:val="21"/>
                <w:szCs w:val="21"/>
                <w:lang w:val="en-US" w:eastAsia="zh-CN" w:bidi="ar"/>
              </w:rPr>
              <w:t>处理效率</w:t>
            </w:r>
            <w:r>
              <w:rPr>
                <w:rStyle w:val="82"/>
                <w:rFonts w:hint="default" w:ascii="Times New Roman" w:hAnsi="Times New Roman" w:cs="Times New Roman"/>
                <w:b w:val="0"/>
                <w:bCs w:val="0"/>
                <w:color w:val="auto"/>
                <w:sz w:val="21"/>
                <w:szCs w:val="21"/>
                <w:lang w:val="en-US" w:eastAsia="zh-CN" w:bidi="ar"/>
              </w:rPr>
              <w:t>高于</w:t>
            </w:r>
            <w:r>
              <w:rPr>
                <w:rStyle w:val="83"/>
                <w:rFonts w:hint="default" w:ascii="Times New Roman" w:hAnsi="Times New Roman" w:eastAsia="宋体" w:cs="Times New Roman"/>
                <w:b w:val="0"/>
                <w:bCs w:val="0"/>
                <w:color w:val="auto"/>
                <w:sz w:val="21"/>
                <w:szCs w:val="21"/>
                <w:lang w:val="en-US" w:eastAsia="zh-CN" w:bidi="ar"/>
              </w:rPr>
              <w:t>90%。</w:t>
            </w:r>
          </w:p>
        </w:tc>
      </w:tr>
      <w:tr>
        <w:tblPrEx>
          <w:shd w:val="clear" w:color="auto" w:fill="auto"/>
        </w:tblPrEx>
        <w:trPr>
          <w:trHeight w:val="1892" w:hRule="atLeast"/>
          <w:jc w:val="center"/>
        </w:trPr>
        <w:tc>
          <w:tcPr>
            <w:tcW w:w="783" w:type="pct"/>
            <w:vMerge w:val="continue"/>
            <w:tcBorders>
              <w:tl2br w:val="nil"/>
              <w:tr2bl w:val="nil"/>
            </w:tcBorders>
            <w:shd w:val="clear" w:color="auto" w:fill="auto"/>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a</w:t>
            </w:r>
            <w:r>
              <w:rPr>
                <w:rStyle w:val="82"/>
                <w:rFonts w:hint="default" w:ascii="Times New Roman" w:hAnsi="Times New Roman" w:cs="Times New Roman"/>
                <w:b w:val="0"/>
                <w:bCs w:val="0"/>
                <w:color w:val="auto"/>
                <w:sz w:val="21"/>
                <w:szCs w:val="21"/>
                <w:lang w:val="en-US" w:eastAsia="zh-CN" w:bidi="ar"/>
              </w:rPr>
              <w:t>）固定顶罐罐体应保持完好，不应有孔洞、缝隙。</w:t>
            </w:r>
            <w:r>
              <w:rPr>
                <w:rFonts w:hint="default" w:ascii="Times New Roman" w:hAnsi="Times New Roman" w:eastAsia="宋体" w:cs="Times New Roman"/>
                <w:b w:val="0"/>
                <w:bCs w:val="0"/>
                <w:i w:val="0"/>
                <w:iCs w:val="0"/>
                <w:color w:val="auto"/>
                <w:kern w:val="0"/>
                <w:sz w:val="21"/>
                <w:szCs w:val="21"/>
                <w:u w:val="none"/>
                <w:lang w:val="en-US" w:eastAsia="zh-CN" w:bidi="ar"/>
              </w:rPr>
              <w:t>b</w:t>
            </w:r>
            <w:r>
              <w:rPr>
                <w:rStyle w:val="82"/>
                <w:rFonts w:hint="default" w:ascii="Times New Roman" w:hAnsi="Times New Roman" w:cs="Times New Roman"/>
                <w:b w:val="0"/>
                <w:bCs w:val="0"/>
                <w:color w:val="auto"/>
                <w:sz w:val="21"/>
                <w:szCs w:val="21"/>
                <w:lang w:val="en-US" w:eastAsia="zh-CN" w:bidi="ar"/>
              </w:rPr>
              <w:t>）储罐附件开口（孔），除采样、计量、例行检查、维护和其他正常活动外，应密闭。</w:t>
            </w:r>
            <w:r>
              <w:rPr>
                <w:rFonts w:hint="default" w:ascii="Times New Roman" w:hAnsi="Times New Roman" w:eastAsia="宋体" w:cs="Times New Roman"/>
                <w:b w:val="0"/>
                <w:bCs w:val="0"/>
                <w:i w:val="0"/>
                <w:iCs w:val="0"/>
                <w:color w:val="auto"/>
                <w:kern w:val="0"/>
                <w:sz w:val="21"/>
                <w:szCs w:val="21"/>
                <w:u w:val="none"/>
                <w:lang w:val="en-US" w:eastAsia="zh-CN" w:bidi="ar"/>
              </w:rPr>
              <w:t>c</w:t>
            </w:r>
            <w:r>
              <w:rPr>
                <w:rStyle w:val="82"/>
                <w:rFonts w:hint="default" w:ascii="Times New Roman" w:hAnsi="Times New Roman" w:cs="Times New Roman"/>
                <w:b w:val="0"/>
                <w:bCs w:val="0"/>
                <w:color w:val="auto"/>
                <w:sz w:val="21"/>
                <w:szCs w:val="21"/>
                <w:lang w:val="en-US" w:eastAsia="zh-CN" w:bidi="ar"/>
              </w:rPr>
              <w:t>）定期检查呼吸阀的定压是否符合设定要求。</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a</w:t>
            </w:r>
            <w:r>
              <w:rPr>
                <w:rStyle w:val="82"/>
                <w:rFonts w:hint="default" w:ascii="Times New Roman" w:hAnsi="Times New Roman" w:cs="Times New Roman"/>
                <w:b w:val="0"/>
                <w:bCs w:val="0"/>
                <w:color w:val="auto"/>
                <w:sz w:val="21"/>
                <w:szCs w:val="21"/>
                <w:lang w:val="en-US" w:eastAsia="zh-CN" w:bidi="ar"/>
              </w:rPr>
              <w:t>）项目</w:t>
            </w:r>
            <w:r>
              <w:rPr>
                <w:rStyle w:val="83"/>
                <w:rFonts w:hint="default" w:ascii="Times New Roman" w:hAnsi="Times New Roman" w:eastAsia="宋体" w:cs="Times New Roman"/>
                <w:b w:val="0"/>
                <w:bCs w:val="0"/>
                <w:color w:val="auto"/>
                <w:sz w:val="21"/>
                <w:szCs w:val="21"/>
                <w:lang w:val="en-US" w:eastAsia="zh-CN" w:bidi="ar"/>
              </w:rPr>
              <w:t>固定顶罐罐体保持完好，</w:t>
            </w:r>
            <w:r>
              <w:rPr>
                <w:rStyle w:val="82"/>
                <w:rFonts w:hint="default" w:ascii="Times New Roman" w:hAnsi="Times New Roman" w:cs="Times New Roman"/>
                <w:b w:val="0"/>
                <w:bCs w:val="0"/>
                <w:color w:val="auto"/>
                <w:sz w:val="21"/>
                <w:szCs w:val="21"/>
                <w:lang w:val="en-US" w:eastAsia="zh-CN" w:bidi="ar"/>
              </w:rPr>
              <w:t>无</w:t>
            </w:r>
            <w:r>
              <w:rPr>
                <w:rStyle w:val="83"/>
                <w:rFonts w:hint="default" w:ascii="Times New Roman" w:hAnsi="Times New Roman" w:eastAsia="宋体" w:cs="Times New Roman"/>
                <w:b w:val="0"/>
                <w:bCs w:val="0"/>
                <w:color w:val="auto"/>
                <w:sz w:val="21"/>
                <w:szCs w:val="21"/>
                <w:lang w:val="en-US" w:eastAsia="zh-CN" w:bidi="ar"/>
              </w:rPr>
              <w:t>有孔洞、缝隙。</w:t>
            </w:r>
            <w:r>
              <w:rPr>
                <w:rFonts w:hint="default" w:ascii="Times New Roman" w:hAnsi="Times New Roman" w:eastAsia="宋体" w:cs="Times New Roman"/>
                <w:b w:val="0"/>
                <w:bCs w:val="0"/>
                <w:i w:val="0"/>
                <w:iCs w:val="0"/>
                <w:color w:val="auto"/>
                <w:kern w:val="0"/>
                <w:sz w:val="21"/>
                <w:szCs w:val="21"/>
                <w:u w:val="none"/>
                <w:lang w:val="en-US" w:eastAsia="zh-CN" w:bidi="ar"/>
              </w:rPr>
              <w:t>b</w:t>
            </w:r>
            <w:r>
              <w:rPr>
                <w:rStyle w:val="82"/>
                <w:rFonts w:hint="default" w:ascii="Times New Roman" w:hAnsi="Times New Roman" w:cs="Times New Roman"/>
                <w:b w:val="0"/>
                <w:bCs w:val="0"/>
                <w:color w:val="auto"/>
                <w:sz w:val="21"/>
                <w:szCs w:val="21"/>
                <w:lang w:val="en-US" w:eastAsia="zh-CN" w:bidi="ar"/>
              </w:rPr>
              <w:t>）储罐附件开口（孔），除采样、计量、例行检查、维护和其他正常活动外，均为</w:t>
            </w:r>
            <w:r>
              <w:rPr>
                <w:rStyle w:val="83"/>
                <w:rFonts w:hint="default" w:ascii="Times New Roman" w:hAnsi="Times New Roman" w:eastAsia="宋体" w:cs="Times New Roman"/>
                <w:b w:val="0"/>
                <w:bCs w:val="0"/>
                <w:color w:val="auto"/>
                <w:sz w:val="21"/>
                <w:szCs w:val="21"/>
                <w:lang w:val="en-US" w:eastAsia="zh-CN" w:bidi="ar"/>
              </w:rPr>
              <w:t>密闭。</w:t>
            </w:r>
            <w:r>
              <w:rPr>
                <w:rFonts w:hint="default" w:ascii="Times New Roman" w:hAnsi="Times New Roman" w:eastAsia="宋体" w:cs="Times New Roman"/>
                <w:b w:val="0"/>
                <w:bCs w:val="0"/>
                <w:i w:val="0"/>
                <w:iCs w:val="0"/>
                <w:color w:val="auto"/>
                <w:kern w:val="0"/>
                <w:sz w:val="21"/>
                <w:szCs w:val="21"/>
                <w:u w:val="none"/>
                <w:lang w:val="en-US" w:eastAsia="zh-CN" w:bidi="ar"/>
              </w:rPr>
              <w:t>c</w:t>
            </w:r>
            <w:r>
              <w:rPr>
                <w:rStyle w:val="82"/>
                <w:rFonts w:hint="default" w:ascii="Times New Roman" w:hAnsi="Times New Roman" w:cs="Times New Roman"/>
                <w:b w:val="0"/>
                <w:bCs w:val="0"/>
                <w:color w:val="auto"/>
                <w:sz w:val="21"/>
                <w:szCs w:val="21"/>
                <w:lang w:val="en-US" w:eastAsia="zh-CN" w:bidi="ar"/>
              </w:rPr>
              <w:t>）项目</w:t>
            </w:r>
            <w:r>
              <w:rPr>
                <w:rStyle w:val="83"/>
                <w:rFonts w:hint="default" w:ascii="Times New Roman" w:hAnsi="Times New Roman" w:eastAsia="宋体" w:cs="Times New Roman"/>
                <w:b w:val="0"/>
                <w:bCs w:val="0"/>
                <w:color w:val="auto"/>
                <w:sz w:val="21"/>
                <w:szCs w:val="21"/>
                <w:lang w:val="en-US" w:eastAsia="zh-CN" w:bidi="ar"/>
              </w:rPr>
              <w:t>定期检查呼吸阀的定压是否符合设定要求。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1930" w:hRule="atLeast"/>
          <w:jc w:val="center"/>
        </w:trPr>
        <w:tc>
          <w:tcPr>
            <w:tcW w:w="78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VOCS</w:t>
            </w:r>
            <w:r>
              <w:rPr>
                <w:rStyle w:val="82"/>
                <w:rFonts w:hint="default" w:ascii="Times New Roman" w:hAnsi="Times New Roman" w:cs="Times New Roman"/>
                <w:b w:val="0"/>
                <w:bCs w:val="0"/>
                <w:color w:val="auto"/>
                <w:sz w:val="21"/>
                <w:szCs w:val="21"/>
                <w:lang w:val="en-US" w:eastAsia="zh-CN" w:bidi="ar"/>
              </w:rPr>
              <w:t xml:space="preserve">物料转移和输送无组织 </w:t>
            </w:r>
            <w:r>
              <w:rPr>
                <w:rStyle w:val="83"/>
                <w:rFonts w:hint="default" w:ascii="Times New Roman" w:hAnsi="Times New Roman" w:eastAsia="宋体" w:cs="Times New Roman"/>
                <w:b w:val="0"/>
                <w:bCs w:val="0"/>
                <w:color w:val="auto"/>
                <w:sz w:val="21"/>
                <w:szCs w:val="21"/>
                <w:lang w:val="en-US" w:eastAsia="zh-CN" w:bidi="ar"/>
              </w:rPr>
              <w:t>排放控 制要求</w:t>
            </w: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液态VOCs</w:t>
            </w:r>
            <w:r>
              <w:rPr>
                <w:rStyle w:val="82"/>
                <w:rFonts w:hint="default" w:ascii="Times New Roman" w:hAnsi="Times New Roman" w:cs="Times New Roman"/>
                <w:b w:val="0"/>
                <w:bCs w:val="0"/>
                <w:color w:val="auto"/>
                <w:sz w:val="21"/>
                <w:szCs w:val="21"/>
                <w:lang w:val="en-US" w:eastAsia="zh-CN" w:bidi="ar"/>
              </w:rPr>
              <w:t>物料应采用密闭管道输送。采用非管道输送方式转移液态</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物料时，应采用密闭容器、罐车挥发性有机液体应采用底部装载方式；若采用顶部浸没式装载，出料管口距离槽（罐）底部高度应小于</w:t>
            </w:r>
            <w:r>
              <w:rPr>
                <w:rStyle w:val="83"/>
                <w:rFonts w:hint="default" w:ascii="Times New Roman" w:hAnsi="Times New Roman" w:eastAsia="宋体" w:cs="Times New Roman"/>
                <w:b w:val="0"/>
                <w:bCs w:val="0"/>
                <w:color w:val="auto"/>
                <w:sz w:val="21"/>
                <w:szCs w:val="21"/>
                <w:lang w:val="en-US" w:eastAsia="zh-CN" w:bidi="ar"/>
              </w:rPr>
              <w:t>200mm</w:t>
            </w:r>
            <w:r>
              <w:rPr>
                <w:rStyle w:val="82"/>
                <w:rFonts w:hint="default" w:ascii="Times New Roman" w:hAnsi="Times New Roman" w:cs="Times New Roman"/>
                <w:b w:val="0"/>
                <w:bCs w:val="0"/>
                <w:color w:val="auto"/>
                <w:sz w:val="21"/>
                <w:szCs w:val="21"/>
                <w:lang w:val="en-US" w:eastAsia="zh-CN" w:bidi="ar"/>
              </w:rPr>
              <w:t>。</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本项目</w:t>
            </w:r>
            <w:r>
              <w:rPr>
                <w:rStyle w:val="83"/>
                <w:rFonts w:hint="default" w:ascii="Times New Roman" w:hAnsi="Times New Roman" w:eastAsia="宋体" w:cs="Times New Roman"/>
                <w:b w:val="0"/>
                <w:bCs w:val="0"/>
                <w:color w:val="auto"/>
                <w:sz w:val="21"/>
                <w:szCs w:val="21"/>
                <w:lang w:val="en-US" w:eastAsia="zh-CN" w:bidi="ar"/>
              </w:rPr>
              <w:t>液态VOCs</w:t>
            </w:r>
            <w:r>
              <w:rPr>
                <w:rStyle w:val="82"/>
                <w:rFonts w:hint="default" w:ascii="Times New Roman" w:hAnsi="Times New Roman" w:cs="Times New Roman"/>
                <w:b w:val="0"/>
                <w:bCs w:val="0"/>
                <w:color w:val="auto"/>
                <w:sz w:val="21"/>
                <w:szCs w:val="21"/>
                <w:lang w:val="en-US" w:eastAsia="zh-CN" w:bidi="ar"/>
              </w:rPr>
              <w:t>物料均</w:t>
            </w:r>
            <w:r>
              <w:rPr>
                <w:rStyle w:val="83"/>
                <w:rFonts w:hint="default" w:ascii="Times New Roman" w:hAnsi="Times New Roman" w:eastAsia="宋体" w:cs="Times New Roman"/>
                <w:b w:val="0"/>
                <w:bCs w:val="0"/>
                <w:color w:val="auto"/>
                <w:sz w:val="21"/>
                <w:szCs w:val="21"/>
                <w:lang w:val="en-US" w:eastAsia="zh-CN" w:bidi="ar"/>
              </w:rPr>
              <w:t>采用密闭管道输送。</w:t>
            </w:r>
          </w:p>
        </w:tc>
      </w:tr>
      <w:tr>
        <w:tblPrEx>
          <w:shd w:val="clear" w:color="auto" w:fill="auto"/>
        </w:tblPrEx>
        <w:trPr>
          <w:trHeight w:val="90" w:hRule="atLeast"/>
          <w:jc w:val="center"/>
        </w:trPr>
        <w:tc>
          <w:tcPr>
            <w:tcW w:w="783" w:type="pct"/>
            <w:vMerge w:val="continue"/>
            <w:tcBorders>
              <w:tl2br w:val="nil"/>
              <w:tr2bl w:val="nil"/>
            </w:tcBorders>
            <w:shd w:val="clear" w:color="auto" w:fill="auto"/>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装载物料真实蒸气压≥27.6kPa</w:t>
            </w:r>
            <w:r>
              <w:rPr>
                <w:rStyle w:val="82"/>
                <w:rFonts w:hint="default" w:ascii="Times New Roman" w:hAnsi="Times New Roman" w:cs="Times New Roman"/>
                <w:b w:val="0"/>
                <w:bCs w:val="0"/>
                <w:color w:val="auto"/>
                <w:sz w:val="21"/>
                <w:szCs w:val="21"/>
                <w:lang w:val="en-US" w:eastAsia="zh-CN" w:bidi="ar"/>
              </w:rPr>
              <w:t>且单一装载设施的年装载量</w:t>
            </w:r>
            <w:r>
              <w:rPr>
                <w:rStyle w:val="83"/>
                <w:rFonts w:hint="default" w:ascii="Times New Roman" w:hAnsi="Times New Roman" w:eastAsia="宋体" w:cs="Times New Roman"/>
                <w:b w:val="0"/>
                <w:bCs w:val="0"/>
                <w:color w:val="auto"/>
                <w:sz w:val="21"/>
                <w:szCs w:val="21"/>
                <w:lang w:val="en-US" w:eastAsia="zh-CN" w:bidi="ar"/>
              </w:rPr>
              <w:t>≥500m</w:t>
            </w:r>
            <w:r>
              <w:rPr>
                <w:rStyle w:val="77"/>
                <w:rFonts w:hint="default" w:ascii="Times New Roman" w:hAnsi="Times New Roman" w:eastAsia="宋体" w:cs="Times New Roman"/>
                <w:b w:val="0"/>
                <w:bCs w:val="0"/>
                <w:color w:val="auto"/>
                <w:sz w:val="21"/>
                <w:szCs w:val="21"/>
                <w:vertAlign w:val="superscript"/>
                <w:lang w:val="en-US" w:eastAsia="zh-CN" w:bidi="ar"/>
              </w:rPr>
              <w:t>3</w:t>
            </w:r>
            <w:r>
              <w:rPr>
                <w:rStyle w:val="83"/>
                <w:rFonts w:hint="default" w:ascii="Times New Roman" w:hAnsi="Times New Roman" w:eastAsia="宋体" w:cs="Times New Roman"/>
                <w:b w:val="0"/>
                <w:bCs w:val="0"/>
                <w:color w:val="auto"/>
                <w:sz w:val="21"/>
                <w:szCs w:val="21"/>
                <w:lang w:val="en-US" w:eastAsia="zh-CN" w:bidi="ar"/>
              </w:rPr>
              <w:t>，以及装载物料真实蒸气压≥5.2kPa</w:t>
            </w:r>
            <w:r>
              <w:rPr>
                <w:rStyle w:val="82"/>
                <w:rFonts w:hint="default" w:ascii="Times New Roman" w:hAnsi="Times New Roman" w:cs="Times New Roman"/>
                <w:b w:val="0"/>
                <w:bCs w:val="0"/>
                <w:color w:val="auto"/>
                <w:sz w:val="21"/>
                <w:szCs w:val="21"/>
                <w:lang w:val="en-US" w:eastAsia="zh-CN" w:bidi="ar"/>
              </w:rPr>
              <w:t>但＜</w:t>
            </w:r>
            <w:r>
              <w:rPr>
                <w:rStyle w:val="83"/>
                <w:rFonts w:hint="default" w:ascii="Times New Roman" w:hAnsi="Times New Roman" w:eastAsia="宋体" w:cs="Times New Roman"/>
                <w:b w:val="0"/>
                <w:bCs w:val="0"/>
                <w:color w:val="auto"/>
                <w:sz w:val="21"/>
                <w:szCs w:val="21"/>
                <w:lang w:val="en-US" w:eastAsia="zh-CN" w:bidi="ar"/>
              </w:rPr>
              <w:t>27.6kPa</w:t>
            </w:r>
            <w:r>
              <w:rPr>
                <w:rStyle w:val="82"/>
                <w:rFonts w:hint="default" w:ascii="Times New Roman" w:hAnsi="Times New Roman" w:cs="Times New Roman"/>
                <w:b w:val="0"/>
                <w:bCs w:val="0"/>
                <w:color w:val="auto"/>
                <w:sz w:val="21"/>
                <w:szCs w:val="21"/>
                <w:lang w:val="en-US" w:eastAsia="zh-CN" w:bidi="ar"/>
              </w:rPr>
              <w:t>且单一装载设施的年装载量</w:t>
            </w:r>
            <w:r>
              <w:rPr>
                <w:rStyle w:val="83"/>
                <w:rFonts w:hint="default" w:ascii="Times New Roman" w:hAnsi="Times New Roman" w:eastAsia="宋体" w:cs="Times New Roman"/>
                <w:b w:val="0"/>
                <w:bCs w:val="0"/>
                <w:color w:val="auto"/>
                <w:sz w:val="21"/>
                <w:szCs w:val="21"/>
                <w:lang w:val="en-US" w:eastAsia="zh-CN" w:bidi="ar"/>
              </w:rPr>
              <w:t>≥2500m</w:t>
            </w:r>
            <w:r>
              <w:rPr>
                <w:rStyle w:val="77"/>
                <w:rFonts w:hint="default" w:ascii="Times New Roman" w:hAnsi="Times New Roman" w:eastAsia="宋体" w:cs="Times New Roman"/>
                <w:b w:val="0"/>
                <w:bCs w:val="0"/>
                <w:color w:val="auto"/>
                <w:sz w:val="21"/>
                <w:szCs w:val="21"/>
                <w:vertAlign w:val="superscript"/>
                <w:lang w:val="en-US" w:eastAsia="zh-CN" w:bidi="ar"/>
              </w:rPr>
              <w:t>3</w:t>
            </w:r>
            <w:r>
              <w:rPr>
                <w:rStyle w:val="83"/>
                <w:rFonts w:hint="default" w:ascii="Times New Roman" w:hAnsi="Times New Roman" w:eastAsia="宋体" w:cs="Times New Roman"/>
                <w:b w:val="0"/>
                <w:bCs w:val="0"/>
                <w:color w:val="auto"/>
                <w:sz w:val="21"/>
                <w:szCs w:val="21"/>
                <w:lang w:val="en-US" w:eastAsia="zh-CN" w:bidi="ar"/>
              </w:rPr>
              <w:t>的，装载过程应符合下列规定之一：a</w:t>
            </w:r>
            <w:r>
              <w:rPr>
                <w:rStyle w:val="82"/>
                <w:rFonts w:hint="default" w:ascii="Times New Roman" w:hAnsi="Times New Roman" w:cs="Times New Roman"/>
                <w:b w:val="0"/>
                <w:bCs w:val="0"/>
                <w:color w:val="auto"/>
                <w:sz w:val="21"/>
                <w:szCs w:val="21"/>
                <w:lang w:val="en-US" w:eastAsia="zh-CN" w:bidi="ar"/>
              </w:rPr>
              <w:t>）排放的废气应收集处理并满足相关行业排放标准的要求（无行业排放标准的应满足</w:t>
            </w:r>
            <w:r>
              <w:rPr>
                <w:rStyle w:val="83"/>
                <w:rFonts w:hint="default" w:ascii="Times New Roman" w:hAnsi="Times New Roman" w:eastAsia="宋体" w:cs="Times New Roman"/>
                <w:b w:val="0"/>
                <w:bCs w:val="0"/>
                <w:color w:val="auto"/>
                <w:sz w:val="21"/>
                <w:szCs w:val="21"/>
                <w:lang w:val="en-US" w:eastAsia="zh-CN" w:bidi="ar"/>
              </w:rPr>
              <w:t>GB16297</w:t>
            </w:r>
            <w:r>
              <w:rPr>
                <w:rStyle w:val="82"/>
                <w:rFonts w:hint="default" w:ascii="Times New Roman" w:hAnsi="Times New Roman" w:cs="Times New Roman"/>
                <w:b w:val="0"/>
                <w:bCs w:val="0"/>
                <w:color w:val="auto"/>
                <w:sz w:val="21"/>
                <w:szCs w:val="21"/>
                <w:lang w:val="en-US" w:eastAsia="zh-CN" w:bidi="ar"/>
              </w:rPr>
              <w:t>的要求），或者处理效率不低于</w:t>
            </w:r>
            <w:r>
              <w:rPr>
                <w:rStyle w:val="83"/>
                <w:rFonts w:hint="default" w:ascii="Times New Roman" w:hAnsi="Times New Roman" w:eastAsia="宋体" w:cs="Times New Roman"/>
                <w:b w:val="0"/>
                <w:bCs w:val="0"/>
                <w:color w:val="auto"/>
                <w:sz w:val="21"/>
                <w:szCs w:val="21"/>
                <w:lang w:val="en-US" w:eastAsia="zh-CN" w:bidi="ar"/>
              </w:rPr>
              <w:t>90%</w:t>
            </w:r>
            <w:r>
              <w:rPr>
                <w:rStyle w:val="82"/>
                <w:rFonts w:hint="default" w:ascii="Times New Roman" w:hAnsi="Times New Roman" w:cs="Times New Roman"/>
                <w:b w:val="0"/>
                <w:bCs w:val="0"/>
                <w:color w:val="auto"/>
                <w:sz w:val="21"/>
                <w:szCs w:val="21"/>
                <w:lang w:val="en-US" w:eastAsia="zh-CN" w:bidi="ar"/>
              </w:rPr>
              <w:t>；</w:t>
            </w:r>
            <w:r>
              <w:rPr>
                <w:rStyle w:val="83"/>
                <w:rFonts w:hint="default" w:ascii="Times New Roman" w:hAnsi="Times New Roman" w:eastAsia="宋体" w:cs="Times New Roman"/>
                <w:b w:val="0"/>
                <w:bCs w:val="0"/>
                <w:color w:val="auto"/>
                <w:sz w:val="21"/>
                <w:szCs w:val="21"/>
                <w:lang w:val="en-US" w:eastAsia="zh-CN" w:bidi="ar"/>
              </w:rPr>
              <w:t>b</w:t>
            </w:r>
            <w:r>
              <w:rPr>
                <w:rStyle w:val="82"/>
                <w:rFonts w:hint="default" w:ascii="Times New Roman" w:hAnsi="Times New Roman" w:cs="Times New Roman"/>
                <w:b w:val="0"/>
                <w:bCs w:val="0"/>
                <w:color w:val="auto"/>
                <w:sz w:val="21"/>
                <w:szCs w:val="21"/>
                <w:lang w:val="en-US" w:eastAsia="zh-CN" w:bidi="ar"/>
              </w:rPr>
              <w:t>）排放的废气连接至气相平衡系统。</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排放的废气</w:t>
            </w:r>
            <w:r>
              <w:rPr>
                <w:rStyle w:val="82"/>
                <w:rFonts w:hint="default" w:ascii="Times New Roman" w:hAnsi="Times New Roman" w:cs="Times New Roman"/>
                <w:b w:val="0"/>
                <w:bCs w:val="0"/>
                <w:color w:val="auto"/>
                <w:sz w:val="21"/>
                <w:szCs w:val="21"/>
                <w:lang w:val="en-US" w:eastAsia="zh-CN" w:bidi="ar"/>
              </w:rPr>
              <w:t>采用集气罩＋收集管道＋喷淋塔＋</w:t>
            </w:r>
            <w:r>
              <w:rPr>
                <w:rStyle w:val="83"/>
                <w:rFonts w:hint="default" w:ascii="Times New Roman" w:hAnsi="Times New Roman" w:eastAsia="宋体" w:cs="Times New Roman"/>
                <w:b w:val="0"/>
                <w:bCs w:val="0"/>
                <w:color w:val="auto"/>
                <w:sz w:val="21"/>
                <w:szCs w:val="21"/>
                <w:lang w:val="en-US" w:eastAsia="zh-CN" w:bidi="ar"/>
              </w:rPr>
              <w:t>UV</w:t>
            </w:r>
            <w:r>
              <w:rPr>
                <w:rStyle w:val="82"/>
                <w:rFonts w:hint="default" w:ascii="Times New Roman" w:hAnsi="Times New Roman" w:cs="Times New Roman"/>
                <w:b w:val="0"/>
                <w:bCs w:val="0"/>
                <w:color w:val="auto"/>
                <w:sz w:val="21"/>
                <w:szCs w:val="21"/>
                <w:lang w:val="en-US" w:eastAsia="zh-CN" w:bidi="ar"/>
              </w:rPr>
              <w:t>光解＋两级活性炭吸附＋</w:t>
            </w:r>
            <w:r>
              <w:rPr>
                <w:rStyle w:val="83"/>
                <w:rFonts w:hint="default" w:ascii="Times New Roman" w:hAnsi="Times New Roman" w:eastAsia="宋体" w:cs="Times New Roman"/>
                <w:b w:val="0"/>
                <w:bCs w:val="0"/>
                <w:color w:val="auto"/>
                <w:sz w:val="21"/>
                <w:szCs w:val="21"/>
                <w:lang w:val="en-US" w:eastAsia="zh-CN" w:bidi="ar"/>
              </w:rPr>
              <w:t>15</w:t>
            </w:r>
            <w:r>
              <w:rPr>
                <w:rStyle w:val="82"/>
                <w:rFonts w:hint="default" w:ascii="Times New Roman" w:hAnsi="Times New Roman" w:cs="Times New Roman"/>
                <w:b w:val="0"/>
                <w:bCs w:val="0"/>
                <w:color w:val="auto"/>
                <w:sz w:val="21"/>
                <w:szCs w:val="21"/>
                <w:lang w:val="en-US" w:eastAsia="zh-CN" w:bidi="ar"/>
              </w:rPr>
              <w:t>米排气筒排放</w:t>
            </w:r>
            <w:r>
              <w:rPr>
                <w:rStyle w:val="83"/>
                <w:rFonts w:hint="default" w:ascii="Times New Roman" w:hAnsi="Times New Roman" w:eastAsia="宋体" w:cs="Times New Roman"/>
                <w:b w:val="0"/>
                <w:bCs w:val="0"/>
                <w:color w:val="auto"/>
                <w:sz w:val="21"/>
                <w:szCs w:val="21"/>
                <w:lang w:val="en-US" w:eastAsia="zh-CN" w:bidi="ar"/>
              </w:rPr>
              <w:t>，</w:t>
            </w:r>
            <w:r>
              <w:rPr>
                <w:rStyle w:val="82"/>
                <w:rFonts w:hint="default" w:ascii="Times New Roman" w:hAnsi="Times New Roman" w:cs="Times New Roman"/>
                <w:b w:val="0"/>
                <w:bCs w:val="0"/>
                <w:color w:val="auto"/>
                <w:sz w:val="21"/>
                <w:szCs w:val="21"/>
                <w:lang w:val="en-US" w:eastAsia="zh-CN" w:bidi="ar"/>
              </w:rPr>
              <w:t>满足行业标准，</w:t>
            </w:r>
            <w:r>
              <w:rPr>
                <w:rStyle w:val="83"/>
                <w:rFonts w:hint="default" w:ascii="Times New Roman" w:hAnsi="Times New Roman" w:eastAsia="宋体" w:cs="Times New Roman"/>
                <w:b w:val="0"/>
                <w:bCs w:val="0"/>
                <w:color w:val="auto"/>
                <w:sz w:val="21"/>
                <w:szCs w:val="21"/>
                <w:lang w:val="en-US" w:eastAsia="zh-CN" w:bidi="ar"/>
              </w:rPr>
              <w:t>处理效率</w:t>
            </w:r>
            <w:r>
              <w:rPr>
                <w:rStyle w:val="82"/>
                <w:rFonts w:hint="default" w:ascii="Times New Roman" w:hAnsi="Times New Roman" w:cs="Times New Roman"/>
                <w:b w:val="0"/>
                <w:bCs w:val="0"/>
                <w:color w:val="auto"/>
                <w:sz w:val="21"/>
                <w:szCs w:val="21"/>
                <w:lang w:val="en-US" w:eastAsia="zh-CN" w:bidi="ar"/>
              </w:rPr>
              <w:t>高于</w:t>
            </w:r>
            <w:r>
              <w:rPr>
                <w:rStyle w:val="83"/>
                <w:rFonts w:hint="default" w:ascii="Times New Roman" w:hAnsi="Times New Roman" w:eastAsia="宋体" w:cs="Times New Roman"/>
                <w:b w:val="0"/>
                <w:bCs w:val="0"/>
                <w:color w:val="auto"/>
                <w:sz w:val="21"/>
                <w:szCs w:val="21"/>
                <w:lang w:val="en-US" w:eastAsia="zh-CN" w:bidi="ar"/>
              </w:rPr>
              <w:t>90%</w:t>
            </w:r>
          </w:p>
        </w:tc>
      </w:tr>
      <w:tr>
        <w:tblPrEx>
          <w:shd w:val="clear" w:color="auto" w:fill="auto"/>
        </w:tblPrEx>
        <w:trPr>
          <w:trHeight w:val="90" w:hRule="atLeast"/>
          <w:jc w:val="center"/>
        </w:trPr>
        <w:tc>
          <w:tcPr>
            <w:tcW w:w="783" w:type="pct"/>
            <w:vMerge w:val="restart"/>
            <w:tcBorders>
              <w:tl2br w:val="nil"/>
              <w:tr2bl w:val="nil"/>
            </w:tcBorders>
            <w:shd w:val="clear" w:color="auto" w:fill="auto"/>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工艺过程VOC</w:t>
            </w:r>
            <w:r>
              <w:rPr>
                <w:rStyle w:val="84"/>
                <w:rFonts w:hint="default" w:ascii="Times New Roman" w:hAnsi="Times New Roman" w:eastAsia="宋体" w:cs="Times New Roman"/>
                <w:b w:val="0"/>
                <w:bCs w:val="0"/>
                <w:color w:val="auto"/>
                <w:sz w:val="21"/>
                <w:szCs w:val="21"/>
                <w:lang w:val="en-US" w:eastAsia="zh-CN" w:bidi="ar"/>
              </w:rPr>
              <w:t>S</w:t>
            </w:r>
            <w:r>
              <w:rPr>
                <w:rStyle w:val="83"/>
                <w:rFonts w:hint="default" w:ascii="Times New Roman" w:hAnsi="Times New Roman" w:eastAsia="宋体" w:cs="Times New Roman"/>
                <w:b w:val="0"/>
                <w:bCs w:val="0"/>
                <w:color w:val="auto"/>
                <w:sz w:val="21"/>
                <w:szCs w:val="21"/>
                <w:lang w:val="en-US" w:eastAsia="zh-CN" w:bidi="ar"/>
              </w:rPr>
              <w:t>无组织排放控制要求</w:t>
            </w: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物料投加和卸放：液态VOCs</w:t>
            </w:r>
            <w:r>
              <w:rPr>
                <w:rStyle w:val="82"/>
                <w:rFonts w:hint="default" w:ascii="Times New Roman" w:hAnsi="Times New Roman" w:cs="Times New Roman"/>
                <w:b w:val="0"/>
                <w:bCs w:val="0"/>
                <w:color w:val="auto"/>
                <w:sz w:val="21"/>
                <w:szCs w:val="21"/>
                <w:lang w:val="en-US" w:eastAsia="zh-CN" w:bidi="ar"/>
              </w:rPr>
              <w:t>物料应采用密闭管道输送方式或采用高位槽（罐）、桶泵等给料方式密闭投加。无法密闭投加的，应在密闭空间内操作，或进行局部气 体收集，废气应排至</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废气收集处理系统；</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物料卸（出、放）料过程应密闭，卸料废气应排至</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废气收集处理系统；无法密闭的，应采取局部气体收集措施，废气应排至</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废气收集处理系统。</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本项目</w:t>
            </w:r>
            <w:r>
              <w:rPr>
                <w:rStyle w:val="83"/>
                <w:rFonts w:hint="default" w:ascii="Times New Roman" w:hAnsi="Times New Roman" w:eastAsia="宋体" w:cs="Times New Roman"/>
                <w:b w:val="0"/>
                <w:bCs w:val="0"/>
                <w:color w:val="auto"/>
                <w:sz w:val="21"/>
                <w:szCs w:val="21"/>
                <w:lang w:val="en-US" w:eastAsia="zh-CN" w:bidi="ar"/>
              </w:rPr>
              <w:t>液态VOCs</w:t>
            </w:r>
            <w:r>
              <w:rPr>
                <w:rStyle w:val="82"/>
                <w:rFonts w:hint="default" w:ascii="Times New Roman" w:hAnsi="Times New Roman" w:cs="Times New Roman"/>
                <w:b w:val="0"/>
                <w:bCs w:val="0"/>
                <w:color w:val="auto"/>
                <w:sz w:val="21"/>
                <w:szCs w:val="21"/>
                <w:lang w:val="en-US" w:eastAsia="zh-CN" w:bidi="ar"/>
              </w:rPr>
              <w:t>物料采用密闭管道输送方式给料方式密闭投加。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90" w:hRule="atLeast"/>
          <w:jc w:val="center"/>
        </w:trPr>
        <w:tc>
          <w:tcPr>
            <w:tcW w:w="783" w:type="pct"/>
            <w:vMerge w:val="continue"/>
            <w:tcBorders>
              <w:tl2br w:val="nil"/>
              <w:tr2bl w:val="nil"/>
            </w:tcBorders>
            <w:shd w:val="clear" w:color="auto" w:fill="auto"/>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吸收、洗涤、蒸馏/</w:t>
            </w:r>
            <w:r>
              <w:rPr>
                <w:rStyle w:val="82"/>
                <w:rFonts w:hint="default" w:ascii="Times New Roman" w:hAnsi="Times New Roman" w:cs="Times New Roman"/>
                <w:b w:val="0"/>
                <w:bCs w:val="0"/>
                <w:color w:val="auto"/>
                <w:sz w:val="21"/>
                <w:szCs w:val="21"/>
                <w:lang w:val="en-US" w:eastAsia="zh-CN" w:bidi="ar"/>
              </w:rPr>
              <w:t>精馏、萃取、结晶等单元操作排放的废气，冷凝单元操作排放的不凝尾气，吸附单元操作的脱附尾气等应排至</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废气收集处理系统。</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蒸馏/</w:t>
            </w:r>
            <w:r>
              <w:rPr>
                <w:rStyle w:val="82"/>
                <w:rFonts w:hint="default" w:ascii="Times New Roman" w:hAnsi="Times New Roman" w:cs="Times New Roman"/>
                <w:b w:val="0"/>
                <w:bCs w:val="0"/>
                <w:color w:val="auto"/>
                <w:sz w:val="21"/>
                <w:szCs w:val="21"/>
                <w:lang w:val="en-US" w:eastAsia="zh-CN" w:bidi="ar"/>
              </w:rPr>
              <w:t>精馏、萃取、等单元操作排放的废气，冷凝单元操作排放的不凝尾气，吸附单元操作的脱附尾气等均</w:t>
            </w:r>
            <w:r>
              <w:rPr>
                <w:rStyle w:val="83"/>
                <w:rFonts w:hint="default" w:ascii="Times New Roman" w:hAnsi="Times New Roman" w:eastAsia="宋体" w:cs="Times New Roman"/>
                <w:b w:val="0"/>
                <w:bCs w:val="0"/>
                <w:color w:val="auto"/>
                <w:sz w:val="21"/>
                <w:szCs w:val="21"/>
                <w:lang w:val="en-US" w:eastAsia="zh-CN" w:bidi="ar"/>
              </w:rPr>
              <w:t>排至VOCs</w:t>
            </w:r>
            <w:r>
              <w:rPr>
                <w:rStyle w:val="82"/>
                <w:rFonts w:hint="default" w:ascii="Times New Roman" w:hAnsi="Times New Roman" w:cs="Times New Roman"/>
                <w:b w:val="0"/>
                <w:bCs w:val="0"/>
                <w:color w:val="auto"/>
                <w:sz w:val="21"/>
                <w:szCs w:val="21"/>
                <w:lang w:val="en-US" w:eastAsia="zh-CN" w:bidi="ar"/>
              </w:rPr>
              <w:t>废气收集处理系统。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90" w:hRule="atLeast"/>
          <w:jc w:val="center"/>
        </w:trPr>
        <w:tc>
          <w:tcPr>
            <w:tcW w:w="783" w:type="pct"/>
            <w:vMerge w:val="continue"/>
            <w:tcBorders>
              <w:tl2br w:val="nil"/>
              <w:tr2bl w:val="nil"/>
            </w:tcBorders>
            <w:shd w:val="clear" w:color="auto" w:fill="auto"/>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真空系统应采用干式真空泵，真空排气应排至VOCs</w:t>
            </w:r>
            <w:r>
              <w:rPr>
                <w:rStyle w:val="82"/>
                <w:rFonts w:hint="default" w:ascii="Times New Roman" w:hAnsi="Times New Roman" w:cs="Times New Roman"/>
                <w:b w:val="0"/>
                <w:bCs w:val="0"/>
                <w:color w:val="auto"/>
                <w:sz w:val="21"/>
                <w:szCs w:val="21"/>
                <w:lang w:val="en-US" w:eastAsia="zh-CN" w:bidi="ar"/>
              </w:rPr>
              <w:t>废气收集处理系统。若使用液环（水环）真空泵、水（水蒸气）喷射真空泵等，工作介质的循环槽（罐）应密闭，真空排气、循环槽（罐）排气应排至</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废气收集处理系统。</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r>
        <w:tblPrEx>
          <w:shd w:val="clear" w:color="auto" w:fill="auto"/>
        </w:tblPrEx>
        <w:trPr>
          <w:trHeight w:val="90" w:hRule="atLeast"/>
          <w:jc w:val="center"/>
        </w:trPr>
        <w:tc>
          <w:tcPr>
            <w:tcW w:w="783" w:type="pct"/>
            <w:vMerge w:val="continue"/>
            <w:tcBorders>
              <w:tl2br w:val="nil"/>
              <w:tr2bl w:val="nil"/>
            </w:tcBorders>
            <w:shd w:val="clear" w:color="auto" w:fill="auto"/>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企业应建立台账，记录含VOCs</w:t>
            </w:r>
            <w:r>
              <w:rPr>
                <w:rStyle w:val="82"/>
                <w:rFonts w:hint="default" w:ascii="Times New Roman" w:hAnsi="Times New Roman" w:cs="Times New Roman"/>
                <w:b w:val="0"/>
                <w:bCs w:val="0"/>
                <w:color w:val="auto"/>
                <w:sz w:val="21"/>
                <w:szCs w:val="21"/>
                <w:lang w:val="en-US" w:eastAsia="zh-CN" w:bidi="ar"/>
              </w:rPr>
              <w:t>原辅材料和含</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产品的名称、使用量、回收量、废弃量、去向以及</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含量等信息。台账保存期限不少于</w:t>
            </w:r>
            <w:r>
              <w:rPr>
                <w:rStyle w:val="83"/>
                <w:rFonts w:hint="default" w:ascii="Times New Roman" w:hAnsi="Times New Roman" w:eastAsia="宋体" w:cs="Times New Roman"/>
                <w:b w:val="0"/>
                <w:bCs w:val="0"/>
                <w:color w:val="auto"/>
                <w:sz w:val="21"/>
                <w:szCs w:val="21"/>
                <w:lang w:val="en-US" w:eastAsia="zh-CN" w:bidi="ar"/>
              </w:rPr>
              <w:t>3</w:t>
            </w:r>
            <w:r>
              <w:rPr>
                <w:rStyle w:val="82"/>
                <w:rFonts w:hint="default" w:ascii="Times New Roman" w:hAnsi="Times New Roman" w:cs="Times New Roman"/>
                <w:b w:val="0"/>
                <w:bCs w:val="0"/>
                <w:color w:val="auto"/>
                <w:sz w:val="21"/>
                <w:szCs w:val="21"/>
                <w:lang w:val="en-US" w:eastAsia="zh-CN" w:bidi="ar"/>
              </w:rPr>
              <w:t>年。</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企业</w:t>
            </w:r>
            <w:r>
              <w:rPr>
                <w:rStyle w:val="82"/>
                <w:rFonts w:hint="default" w:ascii="Times New Roman" w:hAnsi="Times New Roman" w:cs="Times New Roman"/>
                <w:b w:val="0"/>
                <w:bCs w:val="0"/>
                <w:color w:val="auto"/>
                <w:sz w:val="21"/>
                <w:szCs w:val="21"/>
                <w:lang w:val="en-US" w:eastAsia="zh-CN" w:bidi="ar"/>
              </w:rPr>
              <w:t>已</w:t>
            </w:r>
            <w:r>
              <w:rPr>
                <w:rStyle w:val="83"/>
                <w:rFonts w:hint="default" w:ascii="Times New Roman" w:hAnsi="Times New Roman" w:eastAsia="宋体" w:cs="Times New Roman"/>
                <w:b w:val="0"/>
                <w:bCs w:val="0"/>
                <w:color w:val="auto"/>
                <w:sz w:val="21"/>
                <w:szCs w:val="21"/>
                <w:lang w:val="en-US" w:eastAsia="zh-CN" w:bidi="ar"/>
              </w:rPr>
              <w:t>建立台账，记录含VOCs</w:t>
            </w:r>
            <w:r>
              <w:rPr>
                <w:rStyle w:val="82"/>
                <w:rFonts w:hint="default" w:ascii="Times New Roman" w:hAnsi="Times New Roman" w:cs="Times New Roman"/>
                <w:b w:val="0"/>
                <w:bCs w:val="0"/>
                <w:color w:val="auto"/>
                <w:sz w:val="21"/>
                <w:szCs w:val="21"/>
                <w:lang w:val="en-US" w:eastAsia="zh-CN" w:bidi="ar"/>
              </w:rPr>
              <w:t>原辅材料和含</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产品的名称、使用量、回收量、废弃量、去向以及</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含量等信息。台账保存期限不少于</w:t>
            </w:r>
            <w:r>
              <w:rPr>
                <w:rStyle w:val="83"/>
                <w:rFonts w:hint="default" w:ascii="Times New Roman" w:hAnsi="Times New Roman" w:eastAsia="宋体" w:cs="Times New Roman"/>
                <w:b w:val="0"/>
                <w:bCs w:val="0"/>
                <w:color w:val="auto"/>
                <w:sz w:val="21"/>
                <w:szCs w:val="21"/>
                <w:lang w:val="en-US" w:eastAsia="zh-CN" w:bidi="ar"/>
              </w:rPr>
              <w:t>3</w:t>
            </w:r>
            <w:r>
              <w:rPr>
                <w:rStyle w:val="82"/>
                <w:rFonts w:hint="default" w:ascii="Times New Roman" w:hAnsi="Times New Roman" w:cs="Times New Roman"/>
                <w:b w:val="0"/>
                <w:bCs w:val="0"/>
                <w:color w:val="auto"/>
                <w:sz w:val="21"/>
                <w:szCs w:val="21"/>
                <w:lang w:val="en-US" w:eastAsia="zh-CN" w:bidi="ar"/>
              </w:rPr>
              <w:t>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90" w:hRule="atLeast"/>
          <w:jc w:val="center"/>
        </w:trPr>
        <w:tc>
          <w:tcPr>
            <w:tcW w:w="783" w:type="pct"/>
            <w:vMerge w:val="continue"/>
            <w:tcBorders>
              <w:tl2br w:val="nil"/>
              <w:tr2bl w:val="nil"/>
            </w:tcBorders>
            <w:shd w:val="clear" w:color="auto" w:fill="auto"/>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载有VOCs</w:t>
            </w:r>
            <w:r>
              <w:rPr>
                <w:rStyle w:val="82"/>
                <w:rFonts w:hint="default" w:ascii="Times New Roman" w:hAnsi="Times New Roman" w:cs="Times New Roman"/>
                <w:b w:val="0"/>
                <w:bCs w:val="0"/>
                <w:color w:val="auto"/>
                <w:sz w:val="21"/>
                <w:szCs w:val="21"/>
                <w:lang w:val="en-US" w:eastAsia="zh-CN" w:bidi="ar"/>
              </w:rPr>
              <w:t>物料的设备及其管道在开停工（车）、检维修和清洗时，应在退料阶段将残存物料退净，并用密闭容器盛装，退料过程废气应排至</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废气收集处理系统；清洗及吹扫过程排气应排至</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废气收集处理系统。</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本项目</w:t>
            </w:r>
            <w:r>
              <w:rPr>
                <w:rStyle w:val="83"/>
                <w:rFonts w:hint="default" w:ascii="Times New Roman" w:hAnsi="Times New Roman" w:eastAsia="宋体" w:cs="Times New Roman"/>
                <w:b w:val="0"/>
                <w:bCs w:val="0"/>
                <w:color w:val="auto"/>
                <w:sz w:val="21"/>
                <w:szCs w:val="21"/>
                <w:lang w:val="en-US" w:eastAsia="zh-CN" w:bidi="ar"/>
              </w:rPr>
              <w:t>载有VOCs</w:t>
            </w:r>
            <w:r>
              <w:rPr>
                <w:rStyle w:val="82"/>
                <w:rFonts w:hint="default" w:ascii="Times New Roman" w:hAnsi="Times New Roman" w:cs="Times New Roman"/>
                <w:b w:val="0"/>
                <w:bCs w:val="0"/>
                <w:color w:val="auto"/>
                <w:sz w:val="21"/>
                <w:szCs w:val="21"/>
                <w:lang w:val="en-US" w:eastAsia="zh-CN" w:bidi="ar"/>
              </w:rPr>
              <w:t>物料的设备及其管道在开停工（车）、检维修和清洗时，在退料阶段将残存物料退净，并用密闭容器盛装，退料过程废气应排至</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废气收集处理系统；清洗及吹扫过程排气排至</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废气收集处理系统。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1183" w:hRule="atLeast"/>
          <w:jc w:val="center"/>
        </w:trPr>
        <w:tc>
          <w:tcPr>
            <w:tcW w:w="78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设备与管线VOC</w:t>
            </w:r>
            <w:r>
              <w:rPr>
                <w:rStyle w:val="84"/>
                <w:rFonts w:hint="default" w:ascii="Times New Roman" w:hAnsi="Times New Roman" w:eastAsia="宋体" w:cs="Times New Roman"/>
                <w:b w:val="0"/>
                <w:bCs w:val="0"/>
                <w:color w:val="auto"/>
                <w:sz w:val="21"/>
                <w:szCs w:val="21"/>
                <w:lang w:val="en-US" w:eastAsia="zh-CN" w:bidi="ar"/>
              </w:rPr>
              <w:t>S</w:t>
            </w:r>
            <w:r>
              <w:rPr>
                <w:rStyle w:val="83"/>
                <w:rFonts w:hint="default" w:ascii="Times New Roman" w:hAnsi="Times New Roman" w:eastAsia="宋体" w:cs="Times New Roman"/>
                <w:b w:val="0"/>
                <w:bCs w:val="0"/>
                <w:color w:val="auto"/>
                <w:sz w:val="21"/>
                <w:szCs w:val="21"/>
                <w:lang w:val="en-US" w:eastAsia="zh-CN" w:bidi="ar"/>
              </w:rPr>
              <w:t>泄漏控制要求</w:t>
            </w: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企业中载有气态VOCs</w:t>
            </w:r>
            <w:r>
              <w:rPr>
                <w:rStyle w:val="82"/>
                <w:rFonts w:hint="default" w:ascii="Times New Roman" w:hAnsi="Times New Roman" w:cs="Times New Roman"/>
                <w:b w:val="0"/>
                <w:bCs w:val="0"/>
                <w:color w:val="auto"/>
                <w:sz w:val="21"/>
                <w:szCs w:val="21"/>
                <w:lang w:val="en-US" w:eastAsia="zh-CN" w:bidi="ar"/>
              </w:rPr>
              <w:t>物料、液态</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物料的设备与管线组件的密封点</w:t>
            </w:r>
            <w:r>
              <w:rPr>
                <w:rStyle w:val="83"/>
                <w:rFonts w:hint="default" w:ascii="Times New Roman" w:hAnsi="Times New Roman" w:eastAsia="宋体" w:cs="Times New Roman"/>
                <w:b w:val="0"/>
                <w:bCs w:val="0"/>
                <w:color w:val="auto"/>
                <w:sz w:val="21"/>
                <w:szCs w:val="21"/>
                <w:lang w:val="en-US" w:eastAsia="zh-CN" w:bidi="ar"/>
              </w:rPr>
              <w:t>≥2000</w:t>
            </w:r>
            <w:r>
              <w:rPr>
                <w:rStyle w:val="82"/>
                <w:rFonts w:hint="default" w:ascii="Times New Roman" w:hAnsi="Times New Roman" w:cs="Times New Roman"/>
                <w:b w:val="0"/>
                <w:bCs w:val="0"/>
                <w:color w:val="auto"/>
                <w:sz w:val="21"/>
                <w:szCs w:val="21"/>
                <w:lang w:val="en-US" w:eastAsia="zh-CN" w:bidi="ar"/>
              </w:rPr>
              <w:t>个，应开展泄漏检测与修复工作。</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企业中载有气态VOCs</w:t>
            </w:r>
            <w:r>
              <w:rPr>
                <w:rStyle w:val="82"/>
                <w:rFonts w:hint="default" w:ascii="Times New Roman" w:hAnsi="Times New Roman" w:cs="Times New Roman"/>
                <w:b w:val="0"/>
                <w:bCs w:val="0"/>
                <w:color w:val="auto"/>
                <w:sz w:val="21"/>
                <w:szCs w:val="21"/>
                <w:lang w:val="en-US" w:eastAsia="zh-CN" w:bidi="ar"/>
              </w:rPr>
              <w:t>物料、液态</w:t>
            </w:r>
            <w:r>
              <w:rPr>
                <w:rStyle w:val="83"/>
                <w:rFonts w:hint="default" w:ascii="Times New Roman" w:hAnsi="Times New Roman" w:eastAsia="宋体" w:cs="Times New Roman"/>
                <w:b w:val="0"/>
                <w:bCs w:val="0"/>
                <w:color w:val="auto"/>
                <w:sz w:val="21"/>
                <w:szCs w:val="21"/>
                <w:lang w:val="en-US" w:eastAsia="zh-CN" w:bidi="ar"/>
              </w:rPr>
              <w:t>VOCs</w:t>
            </w:r>
            <w:r>
              <w:rPr>
                <w:rStyle w:val="82"/>
                <w:rFonts w:hint="default" w:ascii="Times New Roman" w:hAnsi="Times New Roman" w:cs="Times New Roman"/>
                <w:b w:val="0"/>
                <w:bCs w:val="0"/>
                <w:color w:val="auto"/>
                <w:sz w:val="21"/>
                <w:szCs w:val="21"/>
                <w:lang w:val="en-US" w:eastAsia="zh-CN" w:bidi="ar"/>
              </w:rPr>
              <w:t>物料的设备与管线组件的密封点</w:t>
            </w:r>
            <w:r>
              <w:rPr>
                <w:rStyle w:val="83"/>
                <w:rFonts w:hint="default" w:ascii="Times New Roman" w:hAnsi="Times New Roman" w:eastAsia="宋体" w:cs="Times New Roman"/>
                <w:b w:val="0"/>
                <w:bCs w:val="0"/>
                <w:color w:val="auto"/>
                <w:sz w:val="21"/>
                <w:szCs w:val="21"/>
                <w:lang w:val="en-US" w:eastAsia="zh-CN" w:bidi="ar"/>
              </w:rPr>
              <w:t>≥2000</w:t>
            </w:r>
            <w:r>
              <w:rPr>
                <w:rStyle w:val="82"/>
                <w:rFonts w:hint="default" w:ascii="Times New Roman" w:hAnsi="Times New Roman" w:cs="Times New Roman"/>
                <w:b w:val="0"/>
                <w:bCs w:val="0"/>
                <w:color w:val="auto"/>
                <w:sz w:val="21"/>
                <w:szCs w:val="21"/>
                <w:lang w:val="en-US" w:eastAsia="zh-CN" w:bidi="ar"/>
              </w:rPr>
              <w:t>个，已委托</w:t>
            </w:r>
            <w:r>
              <w:rPr>
                <w:rStyle w:val="83"/>
                <w:rFonts w:hint="default" w:ascii="Times New Roman" w:hAnsi="Times New Roman" w:eastAsia="宋体" w:cs="Times New Roman"/>
                <w:b w:val="0"/>
                <w:bCs w:val="0"/>
                <w:color w:val="auto"/>
                <w:sz w:val="21"/>
                <w:szCs w:val="21"/>
                <w:lang w:val="en-US" w:eastAsia="zh-CN" w:bidi="ar"/>
              </w:rPr>
              <w:t>开展泄漏检测与修复工作。</w:t>
            </w:r>
          </w:p>
        </w:tc>
      </w:tr>
      <w:tr>
        <w:tblPrEx>
          <w:shd w:val="clear" w:color="auto" w:fill="auto"/>
        </w:tblPrEx>
        <w:trPr>
          <w:trHeight w:val="4218" w:hRule="atLeast"/>
          <w:jc w:val="center"/>
        </w:trPr>
        <w:tc>
          <w:tcPr>
            <w:tcW w:w="783" w:type="pct"/>
            <w:vMerge w:val="continue"/>
            <w:tcBorders>
              <w:tl2br w:val="nil"/>
              <w:tr2bl w:val="nil"/>
            </w:tcBorders>
            <w:shd w:val="clear" w:color="auto" w:fill="auto"/>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a)</w:t>
            </w:r>
            <w:r>
              <w:rPr>
                <w:rStyle w:val="82"/>
                <w:rFonts w:hint="default" w:ascii="Times New Roman" w:hAnsi="Times New Roman" w:cs="Times New Roman"/>
                <w:b w:val="0"/>
                <w:bCs w:val="0"/>
                <w:color w:val="auto"/>
                <w:sz w:val="21"/>
                <w:szCs w:val="21"/>
                <w:lang w:val="en-US" w:eastAsia="zh-CN" w:bidi="ar"/>
              </w:rPr>
              <w:t>对设备与管线组件的密封点每周进行目视观察，检查其密封处是否出现可见泄漏现象。</w:t>
            </w:r>
            <w:r>
              <w:rPr>
                <w:rStyle w:val="83"/>
                <w:rFonts w:hint="default" w:ascii="Times New Roman" w:hAnsi="Times New Roman" w:eastAsia="宋体" w:cs="Times New Roman"/>
                <w:b w:val="0"/>
                <w:bCs w:val="0"/>
                <w:color w:val="auto"/>
                <w:sz w:val="21"/>
                <w:szCs w:val="21"/>
                <w:lang w:val="en-US" w:eastAsia="zh-CN" w:bidi="ar"/>
              </w:rPr>
              <w:t>b</w:t>
            </w:r>
            <w:r>
              <w:rPr>
                <w:rStyle w:val="82"/>
                <w:rFonts w:hint="default" w:ascii="Times New Roman" w:hAnsi="Times New Roman" w:cs="Times New Roman"/>
                <w:b w:val="0"/>
                <w:bCs w:val="0"/>
                <w:color w:val="auto"/>
                <w:sz w:val="21"/>
                <w:szCs w:val="21"/>
                <w:lang w:val="en-US" w:eastAsia="zh-CN" w:bidi="ar"/>
              </w:rPr>
              <w:t>）泵、压缩机、搅拌器（机）、阀门、开口阀或开口管线、泄压设备、取样连接系统至少每</w:t>
            </w:r>
            <w:r>
              <w:rPr>
                <w:rStyle w:val="83"/>
                <w:rFonts w:hint="default" w:ascii="Times New Roman" w:hAnsi="Times New Roman" w:eastAsia="宋体" w:cs="Times New Roman"/>
                <w:b w:val="0"/>
                <w:bCs w:val="0"/>
                <w:color w:val="auto"/>
                <w:sz w:val="21"/>
                <w:szCs w:val="21"/>
                <w:lang w:val="en-US" w:eastAsia="zh-CN" w:bidi="ar"/>
              </w:rPr>
              <w:t>6</w:t>
            </w:r>
            <w:r>
              <w:rPr>
                <w:rStyle w:val="82"/>
                <w:rFonts w:hint="default" w:ascii="Times New Roman" w:hAnsi="Times New Roman" w:cs="Times New Roman"/>
                <w:b w:val="0"/>
                <w:bCs w:val="0"/>
                <w:color w:val="auto"/>
                <w:sz w:val="21"/>
                <w:szCs w:val="21"/>
                <w:lang w:val="en-US" w:eastAsia="zh-CN" w:bidi="ar"/>
              </w:rPr>
              <w:t>个月检测一次。</w:t>
            </w:r>
            <w:r>
              <w:rPr>
                <w:rStyle w:val="83"/>
                <w:rFonts w:hint="default" w:ascii="Times New Roman" w:hAnsi="Times New Roman" w:eastAsia="宋体" w:cs="Times New Roman"/>
                <w:b w:val="0"/>
                <w:bCs w:val="0"/>
                <w:color w:val="auto"/>
                <w:sz w:val="21"/>
                <w:szCs w:val="21"/>
                <w:lang w:val="en-US" w:eastAsia="zh-CN" w:bidi="ar"/>
              </w:rPr>
              <w:t>c</w:t>
            </w:r>
            <w:r>
              <w:rPr>
                <w:rStyle w:val="82"/>
                <w:rFonts w:hint="default" w:ascii="Times New Roman" w:hAnsi="Times New Roman" w:cs="Times New Roman"/>
                <w:b w:val="0"/>
                <w:bCs w:val="0"/>
                <w:color w:val="auto"/>
                <w:sz w:val="21"/>
                <w:szCs w:val="21"/>
                <w:lang w:val="en-US" w:eastAsia="zh-CN" w:bidi="ar"/>
              </w:rPr>
              <w:t>）法兰及其他连接件、其他密封设备至少每</w:t>
            </w:r>
            <w:r>
              <w:rPr>
                <w:rStyle w:val="83"/>
                <w:rFonts w:hint="default" w:ascii="Times New Roman" w:hAnsi="Times New Roman" w:eastAsia="宋体" w:cs="Times New Roman"/>
                <w:b w:val="0"/>
                <w:bCs w:val="0"/>
                <w:color w:val="auto"/>
                <w:sz w:val="21"/>
                <w:szCs w:val="21"/>
                <w:lang w:val="en-US" w:eastAsia="zh-CN" w:bidi="ar"/>
              </w:rPr>
              <w:t>12</w:t>
            </w:r>
            <w:r>
              <w:rPr>
                <w:rStyle w:val="82"/>
                <w:rFonts w:hint="default" w:ascii="Times New Roman" w:hAnsi="Times New Roman" w:cs="Times New Roman"/>
                <w:b w:val="0"/>
                <w:bCs w:val="0"/>
                <w:color w:val="auto"/>
                <w:sz w:val="21"/>
                <w:szCs w:val="21"/>
                <w:lang w:val="en-US" w:eastAsia="zh-CN" w:bidi="ar"/>
              </w:rPr>
              <w:t>个月检测一次。</w:t>
            </w:r>
            <w:r>
              <w:rPr>
                <w:rStyle w:val="83"/>
                <w:rFonts w:hint="default" w:ascii="Times New Roman" w:hAnsi="Times New Roman" w:eastAsia="宋体" w:cs="Times New Roman"/>
                <w:b w:val="0"/>
                <w:bCs w:val="0"/>
                <w:color w:val="auto"/>
                <w:sz w:val="21"/>
                <w:szCs w:val="21"/>
                <w:lang w:val="en-US" w:eastAsia="zh-CN" w:bidi="ar"/>
              </w:rPr>
              <w:t>d</w:t>
            </w:r>
            <w:r>
              <w:rPr>
                <w:rStyle w:val="82"/>
                <w:rFonts w:hint="default" w:ascii="Times New Roman" w:hAnsi="Times New Roman" w:cs="Times New Roman"/>
                <w:b w:val="0"/>
                <w:bCs w:val="0"/>
                <w:color w:val="auto"/>
                <w:sz w:val="21"/>
                <w:szCs w:val="21"/>
                <w:lang w:val="en-US" w:eastAsia="zh-CN" w:bidi="ar"/>
              </w:rPr>
              <w:t>）对于直接排放的泄压设备，在非泄压状态下进行泄漏检测。直接排放的泄压设备泄压后，应在泄压之日起</w:t>
            </w:r>
            <w:r>
              <w:rPr>
                <w:rStyle w:val="83"/>
                <w:rFonts w:hint="default" w:ascii="Times New Roman" w:hAnsi="Times New Roman" w:eastAsia="宋体" w:cs="Times New Roman"/>
                <w:b w:val="0"/>
                <w:bCs w:val="0"/>
                <w:color w:val="auto"/>
                <w:sz w:val="21"/>
                <w:szCs w:val="21"/>
                <w:lang w:val="en-US" w:eastAsia="zh-CN" w:bidi="ar"/>
              </w:rPr>
              <w:t>5</w:t>
            </w:r>
            <w:r>
              <w:rPr>
                <w:rStyle w:val="82"/>
                <w:rFonts w:hint="default" w:ascii="Times New Roman" w:hAnsi="Times New Roman" w:cs="Times New Roman"/>
                <w:b w:val="0"/>
                <w:bCs w:val="0"/>
                <w:color w:val="auto"/>
                <w:sz w:val="21"/>
                <w:szCs w:val="21"/>
                <w:lang w:val="en-US" w:eastAsia="zh-CN" w:bidi="ar"/>
              </w:rPr>
              <w:t>个工作日之内，对泄压设备进行泄漏检测。</w:t>
            </w:r>
            <w:r>
              <w:rPr>
                <w:rStyle w:val="83"/>
                <w:rFonts w:hint="default" w:ascii="Times New Roman" w:hAnsi="Times New Roman" w:eastAsia="宋体" w:cs="Times New Roman"/>
                <w:b w:val="0"/>
                <w:bCs w:val="0"/>
                <w:color w:val="auto"/>
                <w:sz w:val="21"/>
                <w:szCs w:val="21"/>
                <w:lang w:val="en-US" w:eastAsia="zh-CN" w:bidi="ar"/>
              </w:rPr>
              <w:t>e</w:t>
            </w:r>
            <w:r>
              <w:rPr>
                <w:rStyle w:val="82"/>
                <w:rFonts w:hint="default" w:ascii="Times New Roman" w:hAnsi="Times New Roman" w:cs="Times New Roman"/>
                <w:b w:val="0"/>
                <w:bCs w:val="0"/>
                <w:color w:val="auto"/>
                <w:sz w:val="21"/>
                <w:szCs w:val="21"/>
                <w:lang w:val="en-US" w:eastAsia="zh-CN" w:bidi="ar"/>
              </w:rPr>
              <w:t>）设备与管线组件初次启用或检维修后，应在</w:t>
            </w:r>
            <w:r>
              <w:rPr>
                <w:rStyle w:val="83"/>
                <w:rFonts w:hint="default" w:ascii="Times New Roman" w:hAnsi="Times New Roman" w:eastAsia="宋体" w:cs="Times New Roman"/>
                <w:b w:val="0"/>
                <w:bCs w:val="0"/>
                <w:color w:val="auto"/>
                <w:sz w:val="21"/>
                <w:szCs w:val="21"/>
                <w:lang w:val="en-US" w:eastAsia="zh-CN" w:bidi="ar"/>
              </w:rPr>
              <w:t>90d</w:t>
            </w:r>
            <w:r>
              <w:rPr>
                <w:rStyle w:val="82"/>
                <w:rFonts w:hint="default" w:ascii="Times New Roman" w:hAnsi="Times New Roman" w:cs="Times New Roman"/>
                <w:b w:val="0"/>
                <w:bCs w:val="0"/>
                <w:color w:val="auto"/>
                <w:sz w:val="21"/>
                <w:szCs w:val="21"/>
                <w:lang w:val="en-US" w:eastAsia="zh-CN" w:bidi="ar"/>
              </w:rPr>
              <w:t>内进行泄漏检测。</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a</w:t>
            </w:r>
            <w:r>
              <w:rPr>
                <w:rStyle w:val="83"/>
                <w:rFonts w:hint="default" w:ascii="Times New Roman" w:hAnsi="Times New Roman" w:eastAsia="宋体" w:cs="Times New Roman"/>
                <w:b w:val="0"/>
                <w:bCs w:val="0"/>
                <w:color w:val="auto"/>
                <w:sz w:val="21"/>
                <w:szCs w:val="21"/>
                <w:lang w:val="en-US" w:eastAsia="zh-CN" w:bidi="ar"/>
              </w:rPr>
              <w:t>)</w:t>
            </w:r>
            <w:r>
              <w:rPr>
                <w:rStyle w:val="82"/>
                <w:rFonts w:hint="default" w:ascii="Times New Roman" w:hAnsi="Times New Roman" w:cs="Times New Roman"/>
                <w:b w:val="0"/>
                <w:bCs w:val="0"/>
                <w:color w:val="auto"/>
                <w:sz w:val="21"/>
                <w:szCs w:val="21"/>
                <w:lang w:val="en-US" w:eastAsia="zh-CN" w:bidi="ar"/>
              </w:rPr>
              <w:t>企业以安排专人</w:t>
            </w:r>
            <w:r>
              <w:rPr>
                <w:rStyle w:val="83"/>
                <w:rFonts w:hint="default" w:ascii="Times New Roman" w:hAnsi="Times New Roman" w:eastAsia="宋体" w:cs="Times New Roman"/>
                <w:b w:val="0"/>
                <w:bCs w:val="0"/>
                <w:color w:val="auto"/>
                <w:sz w:val="21"/>
                <w:szCs w:val="21"/>
                <w:lang w:val="en-US" w:eastAsia="zh-CN" w:bidi="ar"/>
              </w:rPr>
              <w:t>对设备与管线组件的密封点每周进行目视观察，检查其密封处是否出现可见泄漏现象。b</w:t>
            </w:r>
            <w:r>
              <w:rPr>
                <w:rStyle w:val="82"/>
                <w:rFonts w:hint="default" w:ascii="Times New Roman" w:hAnsi="Times New Roman" w:cs="Times New Roman"/>
                <w:b w:val="0"/>
                <w:bCs w:val="0"/>
                <w:color w:val="auto"/>
                <w:sz w:val="21"/>
                <w:szCs w:val="21"/>
                <w:lang w:val="en-US" w:eastAsia="zh-CN" w:bidi="ar"/>
              </w:rPr>
              <w:t>）泵、压缩机、搅拌器（机）、阀门、开口阀或开口管线、泄压设备、取样连接系统每</w:t>
            </w:r>
            <w:r>
              <w:rPr>
                <w:rStyle w:val="83"/>
                <w:rFonts w:hint="default" w:ascii="Times New Roman" w:hAnsi="Times New Roman" w:eastAsia="宋体" w:cs="Times New Roman"/>
                <w:b w:val="0"/>
                <w:bCs w:val="0"/>
                <w:color w:val="auto"/>
                <w:sz w:val="21"/>
                <w:szCs w:val="21"/>
                <w:lang w:val="en-US" w:eastAsia="zh-CN" w:bidi="ar"/>
              </w:rPr>
              <w:t>3个月检测一次。c</w:t>
            </w:r>
            <w:r>
              <w:rPr>
                <w:rStyle w:val="82"/>
                <w:rFonts w:hint="default" w:ascii="Times New Roman" w:hAnsi="Times New Roman" w:cs="Times New Roman"/>
                <w:b w:val="0"/>
                <w:bCs w:val="0"/>
                <w:color w:val="auto"/>
                <w:sz w:val="21"/>
                <w:szCs w:val="21"/>
                <w:lang w:val="en-US" w:eastAsia="zh-CN" w:bidi="ar"/>
              </w:rPr>
              <w:t>）法兰及其他连接件、其他密封设备每</w:t>
            </w:r>
            <w:r>
              <w:rPr>
                <w:rStyle w:val="83"/>
                <w:rFonts w:hint="default" w:ascii="Times New Roman" w:hAnsi="Times New Roman" w:eastAsia="宋体" w:cs="Times New Roman"/>
                <w:b w:val="0"/>
                <w:bCs w:val="0"/>
                <w:color w:val="auto"/>
                <w:sz w:val="21"/>
                <w:szCs w:val="21"/>
                <w:lang w:val="en-US" w:eastAsia="zh-CN" w:bidi="ar"/>
              </w:rPr>
              <w:t>12</w:t>
            </w:r>
            <w:r>
              <w:rPr>
                <w:rStyle w:val="82"/>
                <w:rFonts w:hint="default" w:ascii="Times New Roman" w:hAnsi="Times New Roman" w:cs="Times New Roman"/>
                <w:b w:val="0"/>
                <w:bCs w:val="0"/>
                <w:color w:val="auto"/>
                <w:sz w:val="21"/>
                <w:szCs w:val="21"/>
                <w:lang w:val="en-US" w:eastAsia="zh-CN" w:bidi="ar"/>
              </w:rPr>
              <w:t>个月检测一次。</w:t>
            </w:r>
            <w:r>
              <w:rPr>
                <w:rStyle w:val="83"/>
                <w:rFonts w:hint="default" w:ascii="Times New Roman" w:hAnsi="Times New Roman" w:eastAsia="宋体" w:cs="Times New Roman"/>
                <w:b w:val="0"/>
                <w:bCs w:val="0"/>
                <w:color w:val="auto"/>
                <w:sz w:val="21"/>
                <w:szCs w:val="21"/>
                <w:lang w:val="en-US" w:eastAsia="zh-CN" w:bidi="ar"/>
              </w:rPr>
              <w:t>d</w:t>
            </w:r>
            <w:r>
              <w:rPr>
                <w:rStyle w:val="82"/>
                <w:rFonts w:hint="default" w:ascii="Times New Roman" w:hAnsi="Times New Roman" w:cs="Times New Roman"/>
                <w:b w:val="0"/>
                <w:bCs w:val="0"/>
                <w:color w:val="auto"/>
                <w:sz w:val="21"/>
                <w:szCs w:val="21"/>
                <w:lang w:val="en-US" w:eastAsia="zh-CN" w:bidi="ar"/>
              </w:rPr>
              <w:t>）对于直接排放的泄压设备，在非泄压状态下进行泄漏检测。直接排放的泄压设备泄压后，在泄压之日起</w:t>
            </w:r>
            <w:r>
              <w:rPr>
                <w:rStyle w:val="83"/>
                <w:rFonts w:hint="default" w:ascii="Times New Roman" w:hAnsi="Times New Roman" w:eastAsia="宋体" w:cs="Times New Roman"/>
                <w:b w:val="0"/>
                <w:bCs w:val="0"/>
                <w:color w:val="auto"/>
                <w:sz w:val="21"/>
                <w:szCs w:val="21"/>
                <w:lang w:val="en-US" w:eastAsia="zh-CN" w:bidi="ar"/>
              </w:rPr>
              <w:t>5</w:t>
            </w:r>
            <w:r>
              <w:rPr>
                <w:rStyle w:val="82"/>
                <w:rFonts w:hint="default" w:ascii="Times New Roman" w:hAnsi="Times New Roman" w:cs="Times New Roman"/>
                <w:b w:val="0"/>
                <w:bCs w:val="0"/>
                <w:color w:val="auto"/>
                <w:sz w:val="21"/>
                <w:szCs w:val="21"/>
                <w:lang w:val="en-US" w:eastAsia="zh-CN" w:bidi="ar"/>
              </w:rPr>
              <w:t>个工作日之内，对泄压设备进行泄漏检测。</w:t>
            </w:r>
            <w:r>
              <w:rPr>
                <w:rStyle w:val="83"/>
                <w:rFonts w:hint="default" w:ascii="Times New Roman" w:hAnsi="Times New Roman" w:eastAsia="宋体" w:cs="Times New Roman"/>
                <w:b w:val="0"/>
                <w:bCs w:val="0"/>
                <w:color w:val="auto"/>
                <w:sz w:val="21"/>
                <w:szCs w:val="21"/>
                <w:lang w:val="en-US" w:eastAsia="zh-CN" w:bidi="ar"/>
              </w:rPr>
              <w:t>e</w:t>
            </w:r>
            <w:r>
              <w:rPr>
                <w:rStyle w:val="82"/>
                <w:rFonts w:hint="default" w:ascii="Times New Roman" w:hAnsi="Times New Roman" w:cs="Times New Roman"/>
                <w:b w:val="0"/>
                <w:bCs w:val="0"/>
                <w:color w:val="auto"/>
                <w:sz w:val="21"/>
                <w:szCs w:val="21"/>
                <w:lang w:val="en-US" w:eastAsia="zh-CN" w:bidi="ar"/>
              </w:rPr>
              <w:t>）设备与管线组件初次启用或检维修后，在</w:t>
            </w:r>
            <w:r>
              <w:rPr>
                <w:rStyle w:val="83"/>
                <w:rFonts w:hint="default" w:ascii="Times New Roman" w:hAnsi="Times New Roman" w:eastAsia="宋体" w:cs="Times New Roman"/>
                <w:b w:val="0"/>
                <w:bCs w:val="0"/>
                <w:color w:val="auto"/>
                <w:sz w:val="21"/>
                <w:szCs w:val="21"/>
                <w:lang w:val="en-US" w:eastAsia="zh-CN" w:bidi="ar"/>
              </w:rPr>
              <w:t>90d</w:t>
            </w:r>
            <w:r>
              <w:rPr>
                <w:rStyle w:val="82"/>
                <w:rFonts w:hint="default" w:ascii="Times New Roman" w:hAnsi="Times New Roman" w:cs="Times New Roman"/>
                <w:b w:val="0"/>
                <w:bCs w:val="0"/>
                <w:color w:val="auto"/>
                <w:sz w:val="21"/>
                <w:szCs w:val="21"/>
                <w:lang w:val="en-US" w:eastAsia="zh-CN" w:bidi="ar"/>
              </w:rPr>
              <w:t>内进行泄漏检测。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90" w:hRule="atLeast"/>
          <w:jc w:val="center"/>
        </w:trPr>
        <w:tc>
          <w:tcPr>
            <w:tcW w:w="783" w:type="pct"/>
            <w:vMerge w:val="continue"/>
            <w:tcBorders>
              <w:tl2br w:val="nil"/>
              <w:tr2bl w:val="nil"/>
            </w:tcBorders>
            <w:shd w:val="clear" w:color="auto" w:fill="auto"/>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当检测到泄漏时，对泄漏源应予以标识并及时修复。发现泄漏之日起5d</w:t>
            </w:r>
            <w:r>
              <w:rPr>
                <w:rStyle w:val="82"/>
                <w:rFonts w:hint="default" w:ascii="Times New Roman" w:hAnsi="Times New Roman" w:cs="Times New Roman"/>
                <w:b w:val="0"/>
                <w:bCs w:val="0"/>
                <w:color w:val="auto"/>
                <w:sz w:val="21"/>
                <w:szCs w:val="21"/>
                <w:lang w:val="en-US" w:eastAsia="zh-CN" w:bidi="ar"/>
              </w:rPr>
              <w:t>内应进行首次修复，除装置停车（工）条件下才能修复</w:t>
            </w:r>
            <w:r>
              <w:rPr>
                <w:rStyle w:val="83"/>
                <w:rFonts w:hint="default" w:ascii="Times New Roman" w:hAnsi="Times New Roman" w:eastAsia="宋体" w:cs="Times New Roman"/>
                <w:b w:val="0"/>
                <w:bCs w:val="0"/>
                <w:color w:val="auto"/>
                <w:sz w:val="21"/>
                <w:szCs w:val="21"/>
                <w:lang w:val="en-US" w:eastAsia="zh-CN" w:bidi="ar"/>
              </w:rPr>
              <w:t>\</w:t>
            </w:r>
            <w:r>
              <w:rPr>
                <w:rStyle w:val="82"/>
                <w:rFonts w:hint="default" w:ascii="Times New Roman" w:hAnsi="Times New Roman" w:cs="Times New Roman"/>
                <w:b w:val="0"/>
                <w:bCs w:val="0"/>
                <w:color w:val="auto"/>
                <w:sz w:val="21"/>
                <w:szCs w:val="21"/>
                <w:lang w:val="en-US" w:eastAsia="zh-CN" w:bidi="ar"/>
              </w:rPr>
              <w:t>立即修复存在安全风险</w:t>
            </w:r>
            <w:r>
              <w:rPr>
                <w:rStyle w:val="83"/>
                <w:rFonts w:hint="default" w:ascii="Times New Roman" w:hAnsi="Times New Roman" w:eastAsia="宋体" w:cs="Times New Roman"/>
                <w:b w:val="0"/>
                <w:bCs w:val="0"/>
                <w:color w:val="auto"/>
                <w:sz w:val="21"/>
                <w:szCs w:val="21"/>
                <w:lang w:val="en-US" w:eastAsia="zh-CN" w:bidi="ar"/>
              </w:rPr>
              <w:t>\</w:t>
            </w:r>
            <w:r>
              <w:rPr>
                <w:rStyle w:val="82"/>
                <w:rFonts w:hint="default" w:ascii="Times New Roman" w:hAnsi="Times New Roman" w:cs="Times New Roman"/>
                <w:b w:val="0"/>
                <w:bCs w:val="0"/>
                <w:color w:val="auto"/>
                <w:sz w:val="21"/>
                <w:szCs w:val="21"/>
                <w:lang w:val="en-US" w:eastAsia="zh-CN" w:bidi="ar"/>
              </w:rPr>
              <w:t>其他特殊情况外，应在发现泄漏之日起</w:t>
            </w:r>
            <w:r>
              <w:rPr>
                <w:rStyle w:val="83"/>
                <w:rFonts w:hint="default" w:ascii="Times New Roman" w:hAnsi="Times New Roman" w:eastAsia="宋体" w:cs="Times New Roman"/>
                <w:b w:val="0"/>
                <w:bCs w:val="0"/>
                <w:color w:val="auto"/>
                <w:sz w:val="21"/>
                <w:szCs w:val="21"/>
                <w:lang w:val="en-US" w:eastAsia="zh-CN" w:bidi="ar"/>
              </w:rPr>
              <w:t>15d</w:t>
            </w:r>
            <w:r>
              <w:rPr>
                <w:rStyle w:val="82"/>
                <w:rFonts w:hint="default" w:ascii="Times New Roman" w:hAnsi="Times New Roman" w:cs="Times New Roman"/>
                <w:b w:val="0"/>
                <w:bCs w:val="0"/>
                <w:color w:val="auto"/>
                <w:sz w:val="21"/>
                <w:szCs w:val="21"/>
                <w:lang w:val="en-US" w:eastAsia="zh-CN" w:bidi="ar"/>
              </w:rPr>
              <w:t>内完成修复。</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当</w:t>
            </w:r>
            <w:r>
              <w:rPr>
                <w:rStyle w:val="82"/>
                <w:rFonts w:hint="default" w:ascii="Times New Roman" w:hAnsi="Times New Roman" w:cs="Times New Roman"/>
                <w:b w:val="0"/>
                <w:bCs w:val="0"/>
                <w:color w:val="auto"/>
                <w:sz w:val="21"/>
                <w:szCs w:val="21"/>
                <w:lang w:val="en-US" w:eastAsia="zh-CN" w:bidi="ar"/>
              </w:rPr>
              <w:t>企业</w:t>
            </w:r>
            <w:r>
              <w:rPr>
                <w:rStyle w:val="83"/>
                <w:rFonts w:hint="default" w:ascii="Times New Roman" w:hAnsi="Times New Roman" w:eastAsia="宋体" w:cs="Times New Roman"/>
                <w:b w:val="0"/>
                <w:bCs w:val="0"/>
                <w:color w:val="auto"/>
                <w:sz w:val="21"/>
                <w:szCs w:val="21"/>
                <w:lang w:val="en-US" w:eastAsia="zh-CN" w:bidi="ar"/>
              </w:rPr>
              <w:t>检测到泄漏时，</w:t>
            </w:r>
            <w:r>
              <w:rPr>
                <w:rStyle w:val="82"/>
                <w:rFonts w:hint="default" w:ascii="Times New Roman" w:hAnsi="Times New Roman" w:cs="Times New Roman"/>
                <w:b w:val="0"/>
                <w:bCs w:val="0"/>
                <w:color w:val="auto"/>
                <w:sz w:val="21"/>
                <w:szCs w:val="21"/>
                <w:lang w:val="en-US" w:eastAsia="zh-CN" w:bidi="ar"/>
              </w:rPr>
              <w:t>会对</w:t>
            </w:r>
            <w:r>
              <w:rPr>
                <w:rStyle w:val="83"/>
                <w:rFonts w:hint="default" w:ascii="Times New Roman" w:hAnsi="Times New Roman" w:eastAsia="宋体" w:cs="Times New Roman"/>
                <w:b w:val="0"/>
                <w:bCs w:val="0"/>
                <w:color w:val="auto"/>
                <w:sz w:val="21"/>
                <w:szCs w:val="21"/>
                <w:lang w:val="en-US" w:eastAsia="zh-CN" w:bidi="ar"/>
              </w:rPr>
              <w:t>泄漏源予以标识并及时修复。发现泄漏之日起5d</w:t>
            </w:r>
            <w:r>
              <w:rPr>
                <w:rStyle w:val="82"/>
                <w:rFonts w:hint="default" w:ascii="Times New Roman" w:hAnsi="Times New Roman" w:cs="Times New Roman"/>
                <w:b w:val="0"/>
                <w:bCs w:val="0"/>
                <w:color w:val="auto"/>
                <w:sz w:val="21"/>
                <w:szCs w:val="21"/>
                <w:lang w:val="en-US" w:eastAsia="zh-CN" w:bidi="ar"/>
              </w:rPr>
              <w:t>内进行首次修复，除装置停车（工）条件下才能修复</w:t>
            </w:r>
            <w:r>
              <w:rPr>
                <w:rStyle w:val="83"/>
                <w:rFonts w:hint="default" w:ascii="Times New Roman" w:hAnsi="Times New Roman" w:eastAsia="宋体" w:cs="Times New Roman"/>
                <w:b w:val="0"/>
                <w:bCs w:val="0"/>
                <w:color w:val="auto"/>
                <w:sz w:val="21"/>
                <w:szCs w:val="21"/>
                <w:lang w:val="en-US" w:eastAsia="zh-CN" w:bidi="ar"/>
              </w:rPr>
              <w:t>\</w:t>
            </w:r>
            <w:r>
              <w:rPr>
                <w:rStyle w:val="82"/>
                <w:rFonts w:hint="default" w:ascii="Times New Roman" w:hAnsi="Times New Roman" w:cs="Times New Roman"/>
                <w:b w:val="0"/>
                <w:bCs w:val="0"/>
                <w:color w:val="auto"/>
                <w:sz w:val="21"/>
                <w:szCs w:val="21"/>
                <w:lang w:val="en-US" w:eastAsia="zh-CN" w:bidi="ar"/>
              </w:rPr>
              <w:t>立即修复存在安全风险</w:t>
            </w:r>
            <w:r>
              <w:rPr>
                <w:rStyle w:val="83"/>
                <w:rFonts w:hint="default" w:ascii="Times New Roman" w:hAnsi="Times New Roman" w:eastAsia="宋体" w:cs="Times New Roman"/>
                <w:b w:val="0"/>
                <w:bCs w:val="0"/>
                <w:color w:val="auto"/>
                <w:sz w:val="21"/>
                <w:szCs w:val="21"/>
                <w:lang w:val="en-US" w:eastAsia="zh-CN" w:bidi="ar"/>
              </w:rPr>
              <w:t>\</w:t>
            </w:r>
            <w:r>
              <w:rPr>
                <w:rStyle w:val="82"/>
                <w:rFonts w:hint="default" w:ascii="Times New Roman" w:hAnsi="Times New Roman" w:cs="Times New Roman"/>
                <w:b w:val="0"/>
                <w:bCs w:val="0"/>
                <w:color w:val="auto"/>
                <w:sz w:val="21"/>
                <w:szCs w:val="21"/>
                <w:lang w:val="en-US" w:eastAsia="zh-CN" w:bidi="ar"/>
              </w:rPr>
              <w:t>其他特殊情况外，在发现泄漏之日起</w:t>
            </w:r>
            <w:r>
              <w:rPr>
                <w:rStyle w:val="83"/>
                <w:rFonts w:hint="default" w:ascii="Times New Roman" w:hAnsi="Times New Roman" w:eastAsia="宋体" w:cs="Times New Roman"/>
                <w:b w:val="0"/>
                <w:bCs w:val="0"/>
                <w:color w:val="auto"/>
                <w:sz w:val="21"/>
                <w:szCs w:val="21"/>
                <w:lang w:val="en-US" w:eastAsia="zh-CN" w:bidi="ar"/>
              </w:rPr>
              <w:t>15d</w:t>
            </w:r>
            <w:r>
              <w:rPr>
                <w:rStyle w:val="82"/>
                <w:rFonts w:hint="default" w:ascii="Times New Roman" w:hAnsi="Times New Roman" w:cs="Times New Roman"/>
                <w:b w:val="0"/>
                <w:bCs w:val="0"/>
                <w:color w:val="auto"/>
                <w:sz w:val="21"/>
                <w:szCs w:val="21"/>
                <w:lang w:val="en-US" w:eastAsia="zh-CN" w:bidi="ar"/>
              </w:rPr>
              <w:t>内完成修复。</w:t>
            </w:r>
          </w:p>
        </w:tc>
      </w:tr>
      <w:tr>
        <w:tblPrEx>
          <w:shd w:val="clear" w:color="auto" w:fill="auto"/>
        </w:tblPrEx>
        <w:trPr>
          <w:trHeight w:val="1413" w:hRule="atLeast"/>
          <w:jc w:val="center"/>
        </w:trPr>
        <w:tc>
          <w:tcPr>
            <w:tcW w:w="783" w:type="pct"/>
            <w:vMerge w:val="continue"/>
            <w:tcBorders>
              <w:tl2br w:val="nil"/>
              <w:tr2bl w:val="nil"/>
            </w:tcBorders>
            <w:shd w:val="clear" w:color="auto" w:fill="auto"/>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217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泄漏检测应建立台账，记录检测时间、检测仪器读数、修复时间、采取的修复措施、修复后检测仪器读数等。台账保存期限不少于3</w:t>
            </w:r>
            <w:r>
              <w:rPr>
                <w:rStyle w:val="82"/>
                <w:rFonts w:hint="default" w:ascii="Times New Roman" w:hAnsi="Times New Roman" w:cs="Times New Roman"/>
                <w:b w:val="0"/>
                <w:bCs w:val="0"/>
                <w:color w:val="auto"/>
                <w:sz w:val="21"/>
                <w:szCs w:val="21"/>
                <w:lang w:val="en-US" w:eastAsia="zh-CN" w:bidi="ar"/>
              </w:rPr>
              <w:t>年。</w:t>
            </w:r>
          </w:p>
        </w:tc>
        <w:tc>
          <w:tcPr>
            <w:tcW w:w="20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企业将对</w:t>
            </w:r>
            <w:r>
              <w:rPr>
                <w:rStyle w:val="83"/>
                <w:rFonts w:hint="default" w:ascii="Times New Roman" w:hAnsi="Times New Roman" w:eastAsia="宋体" w:cs="Times New Roman"/>
                <w:b w:val="0"/>
                <w:bCs w:val="0"/>
                <w:color w:val="auto"/>
                <w:sz w:val="21"/>
                <w:szCs w:val="21"/>
                <w:lang w:val="en-US" w:eastAsia="zh-CN" w:bidi="ar"/>
              </w:rPr>
              <w:t>泄漏检测建立台账，记录检测时间、检测仪器读数、修复时间、采取的修复措施、修复后检测仪器读数等。台账保存期限不少于3</w:t>
            </w:r>
            <w:r>
              <w:rPr>
                <w:rStyle w:val="82"/>
                <w:rFonts w:hint="default" w:ascii="Times New Roman" w:hAnsi="Times New Roman" w:cs="Times New Roman"/>
                <w:b w:val="0"/>
                <w:bCs w:val="0"/>
                <w:color w:val="auto"/>
                <w:sz w:val="21"/>
                <w:szCs w:val="21"/>
                <w:lang w:val="en-US" w:eastAsia="zh-CN" w:bidi="ar"/>
              </w:rPr>
              <w:t>年。</w:t>
            </w:r>
          </w:p>
        </w:tc>
      </w:tr>
    </w:tbl>
    <w:p>
      <w:pPr>
        <w:pStyle w:val="33"/>
        <w:bidi w:val="0"/>
        <w:rPr>
          <w:rFonts w:hint="eastAsia"/>
          <w:color w:val="auto"/>
          <w:lang w:val="en-US" w:eastAsia="zh-CN"/>
        </w:rPr>
      </w:pPr>
      <w:r>
        <w:rPr>
          <w:rFonts w:hint="eastAsia"/>
          <w:color w:val="auto"/>
          <w:lang w:val="en-US" w:eastAsia="zh-CN"/>
        </w:rPr>
        <w:t>综上所述，本项目针对不同废气特点，对主要废气产生环节均采取了相应的废气净化措施，所采取的废气控制措施均为同行业已被证实的可行方案，另外，为满足日益严格的环保要求，本项目环保设计过程中均从严考虑，相应污染物排放指标均远低于现行标准要求，措施可行，企业可承受。</w:t>
      </w:r>
    </w:p>
    <w:p>
      <w:pPr>
        <w:pStyle w:val="31"/>
        <w:bidi w:val="0"/>
        <w:rPr>
          <w:rFonts w:hint="eastAsia"/>
          <w:color w:val="auto"/>
          <w:lang w:val="en-US" w:eastAsia="zh-CN"/>
        </w:rPr>
      </w:pPr>
      <w:bookmarkStart w:id="214" w:name="_Toc25031"/>
      <w:bookmarkStart w:id="215" w:name="_Toc19875"/>
      <w:r>
        <w:rPr>
          <w:rFonts w:hint="eastAsia"/>
          <w:color w:val="auto"/>
          <w:lang w:val="en-US" w:eastAsia="zh-CN"/>
        </w:rPr>
        <w:t>8.2运营期废水污染防治措施</w:t>
      </w:r>
      <w:bookmarkEnd w:id="214"/>
      <w:bookmarkEnd w:id="215"/>
    </w:p>
    <w:p>
      <w:pPr>
        <w:pStyle w:val="32"/>
        <w:bidi w:val="0"/>
        <w:rPr>
          <w:color w:val="auto"/>
        </w:rPr>
      </w:pPr>
      <w:bookmarkStart w:id="216" w:name="_Toc1702"/>
      <w:r>
        <w:rPr>
          <w:rFonts w:hint="eastAsia"/>
          <w:color w:val="auto"/>
          <w:lang w:val="en-US" w:eastAsia="zh-CN"/>
        </w:rPr>
        <w:t>8</w:t>
      </w:r>
      <w:r>
        <w:rPr>
          <w:rFonts w:hint="eastAsia"/>
          <w:color w:val="auto"/>
        </w:rPr>
        <w:t>.2.1废水来源及处理方式</w:t>
      </w:r>
      <w:bookmarkEnd w:id="216"/>
    </w:p>
    <w:p>
      <w:pPr>
        <w:pStyle w:val="33"/>
        <w:bidi w:val="0"/>
        <w:rPr>
          <w:rFonts w:hint="eastAsia" w:ascii="Times New Roman" w:hAnsi="Times New Roman"/>
          <w:caps w:val="0"/>
          <w:smallCaps w:val="0"/>
          <w:color w:val="auto"/>
          <w:sz w:val="24"/>
          <w:szCs w:val="24"/>
          <w:u w:val="none"/>
        </w:rPr>
      </w:pPr>
      <w:r>
        <w:rPr>
          <w:rFonts w:hint="eastAsia" w:ascii="Times New Roman" w:hAnsi="Times New Roman"/>
          <w:caps w:val="0"/>
          <w:smallCaps w:val="0"/>
          <w:color w:val="auto"/>
          <w:sz w:val="24"/>
          <w:szCs w:val="24"/>
          <w:u w:val="none"/>
        </w:rPr>
        <w:t>本项目废水</w:t>
      </w:r>
      <w:r>
        <w:rPr>
          <w:rFonts w:hint="eastAsia" w:ascii="Times New Roman" w:hAnsi="Times New Roman"/>
          <w:caps w:val="0"/>
          <w:smallCaps w:val="0"/>
          <w:color w:val="auto"/>
          <w:sz w:val="24"/>
          <w:szCs w:val="24"/>
          <w:u w:val="none"/>
          <w:lang w:eastAsia="zh-CN"/>
        </w:rPr>
        <w:t>采取“雨污分流、污污分流、分质处理”措施。</w:t>
      </w:r>
      <w:r>
        <w:rPr>
          <w:rFonts w:hint="eastAsia" w:ascii="Times New Roman" w:hAnsi="Times New Roman"/>
          <w:caps w:val="0"/>
          <w:smallCaps w:val="0"/>
          <w:color w:val="auto"/>
          <w:sz w:val="24"/>
          <w:szCs w:val="24"/>
          <w:u w:val="none"/>
        </w:rPr>
        <w:t>根据工程分析和物料平衡，工艺废水</w:t>
      </w:r>
      <w:r>
        <w:rPr>
          <w:rFonts w:hint="eastAsia"/>
          <w:caps w:val="0"/>
          <w:smallCaps w:val="0"/>
          <w:color w:val="auto"/>
          <w:sz w:val="24"/>
          <w:szCs w:val="24"/>
          <w:u w:val="none"/>
          <w:lang w:val="en-US" w:eastAsia="zh-CN"/>
        </w:rPr>
        <w:t>主要为酯化反应废水，废水</w:t>
      </w:r>
      <w:r>
        <w:rPr>
          <w:rFonts w:hint="eastAsia" w:ascii="Times New Roman" w:hAnsi="Times New Roman"/>
          <w:caps w:val="0"/>
          <w:smallCaps w:val="0"/>
          <w:color w:val="auto"/>
          <w:sz w:val="24"/>
          <w:szCs w:val="24"/>
          <w:u w:val="none"/>
        </w:rPr>
        <w:t>产生量为</w:t>
      </w:r>
      <w:r>
        <w:rPr>
          <w:rFonts w:hint="eastAsia"/>
          <w:caps w:val="0"/>
          <w:smallCaps w:val="0"/>
          <w:color w:val="auto"/>
          <w:sz w:val="24"/>
          <w:szCs w:val="24"/>
          <w:u w:val="none"/>
          <w:lang w:val="en-US" w:eastAsia="zh-CN"/>
        </w:rPr>
        <w:t>3.55</w:t>
      </w:r>
      <w:r>
        <w:rPr>
          <w:rFonts w:ascii="Times New Roman" w:hAnsi="Times New Roman"/>
          <w:caps w:val="0"/>
          <w:smallCaps w:val="0"/>
          <w:color w:val="auto"/>
          <w:sz w:val="24"/>
          <w:szCs w:val="24"/>
          <w:u w:val="none"/>
        </w:rPr>
        <w:t>m</w:t>
      </w:r>
      <w:r>
        <w:rPr>
          <w:rFonts w:ascii="Times New Roman" w:hAnsi="Times New Roman"/>
          <w:caps w:val="0"/>
          <w:smallCaps w:val="0"/>
          <w:color w:val="auto"/>
          <w:sz w:val="24"/>
          <w:szCs w:val="24"/>
          <w:u w:val="none"/>
          <w:vertAlign w:val="superscript"/>
        </w:rPr>
        <w:t>3</w:t>
      </w:r>
      <w:r>
        <w:rPr>
          <w:rFonts w:ascii="Times New Roman" w:hAnsi="Times New Roman"/>
          <w:caps w:val="0"/>
          <w:smallCaps w:val="0"/>
          <w:color w:val="auto"/>
          <w:sz w:val="24"/>
          <w:szCs w:val="24"/>
          <w:u w:val="none"/>
        </w:rPr>
        <w:t>/d</w:t>
      </w:r>
      <w:r>
        <w:rPr>
          <w:rFonts w:hint="eastAsia" w:ascii="Times New Roman" w:hAnsi="Times New Roman"/>
          <w:caps w:val="0"/>
          <w:smallCaps w:val="0"/>
          <w:color w:val="auto"/>
          <w:sz w:val="24"/>
          <w:szCs w:val="24"/>
          <w:u w:val="none"/>
        </w:rPr>
        <w:t>，主要含有机类（高沸点有机杂质），</w:t>
      </w:r>
      <w:r>
        <w:rPr>
          <w:rFonts w:hint="eastAsia"/>
          <w:caps w:val="0"/>
          <w:smallCaps w:val="0"/>
          <w:color w:val="auto"/>
          <w:sz w:val="24"/>
          <w:szCs w:val="24"/>
          <w:u w:val="none"/>
          <w:lang w:val="en-US" w:eastAsia="zh-CN"/>
        </w:rPr>
        <w:t>COD含量约60547mg/L，与清洗废水和喷淋废水混合后，废水产生量为9.79</w:t>
      </w:r>
      <w:r>
        <w:rPr>
          <w:rFonts w:ascii="Times New Roman" w:hAnsi="Times New Roman"/>
          <w:caps w:val="0"/>
          <w:smallCaps w:val="0"/>
          <w:color w:val="auto"/>
          <w:sz w:val="24"/>
          <w:szCs w:val="24"/>
          <w:u w:val="none"/>
        </w:rPr>
        <w:t>m</w:t>
      </w:r>
      <w:r>
        <w:rPr>
          <w:rFonts w:ascii="Times New Roman" w:hAnsi="Times New Roman"/>
          <w:caps w:val="0"/>
          <w:smallCaps w:val="0"/>
          <w:color w:val="auto"/>
          <w:sz w:val="24"/>
          <w:szCs w:val="24"/>
          <w:u w:val="none"/>
          <w:vertAlign w:val="superscript"/>
        </w:rPr>
        <w:t>3</w:t>
      </w:r>
      <w:r>
        <w:rPr>
          <w:rFonts w:ascii="Times New Roman" w:hAnsi="Times New Roman"/>
          <w:caps w:val="0"/>
          <w:smallCaps w:val="0"/>
          <w:color w:val="auto"/>
          <w:sz w:val="24"/>
          <w:szCs w:val="24"/>
          <w:u w:val="none"/>
        </w:rPr>
        <w:t>/d</w:t>
      </w:r>
      <w:r>
        <w:rPr>
          <w:rFonts w:hint="eastAsia"/>
          <w:caps w:val="0"/>
          <w:smallCaps w:val="0"/>
          <w:color w:val="auto"/>
          <w:sz w:val="24"/>
          <w:szCs w:val="24"/>
          <w:u w:val="none"/>
          <w:lang w:eastAsia="zh-CN"/>
        </w:rPr>
        <w:t>，</w:t>
      </w:r>
      <w:r>
        <w:rPr>
          <w:rFonts w:hint="eastAsia"/>
          <w:caps w:val="0"/>
          <w:smallCaps w:val="0"/>
          <w:color w:val="auto"/>
          <w:sz w:val="24"/>
          <w:szCs w:val="24"/>
          <w:u w:val="none"/>
          <w:lang w:val="en-US" w:eastAsia="zh-CN"/>
        </w:rPr>
        <w:t>COD含量约26309.3mg/L</w:t>
      </w:r>
      <w:r>
        <w:rPr>
          <w:rFonts w:hint="eastAsia" w:ascii="Times New Roman" w:hAnsi="Times New Roman"/>
          <w:caps w:val="0"/>
          <w:smallCaps w:val="0"/>
          <w:color w:val="auto"/>
          <w:sz w:val="24"/>
          <w:szCs w:val="24"/>
          <w:u w:val="none"/>
          <w:lang w:val="en-US" w:eastAsia="zh-CN"/>
        </w:rPr>
        <w:t>；</w:t>
      </w:r>
      <w:r>
        <w:rPr>
          <w:rFonts w:hint="eastAsia"/>
          <w:caps w:val="0"/>
          <w:smallCaps w:val="0"/>
          <w:color w:val="auto"/>
          <w:sz w:val="24"/>
          <w:szCs w:val="24"/>
          <w:u w:val="none"/>
          <w:lang w:val="en-US" w:eastAsia="zh-CN"/>
        </w:rPr>
        <w:t>另外新增员工生活污水1.44m</w:t>
      </w:r>
      <w:r>
        <w:rPr>
          <w:rFonts w:hint="eastAsia"/>
          <w:caps w:val="0"/>
          <w:smallCaps w:val="0"/>
          <w:color w:val="auto"/>
          <w:sz w:val="24"/>
          <w:szCs w:val="24"/>
          <w:u w:val="none"/>
          <w:vertAlign w:val="superscript"/>
          <w:lang w:val="en-US" w:eastAsia="zh-CN"/>
        </w:rPr>
        <w:t>3</w:t>
      </w:r>
      <w:r>
        <w:rPr>
          <w:rFonts w:hint="eastAsia"/>
          <w:caps w:val="0"/>
          <w:smallCaps w:val="0"/>
          <w:color w:val="auto"/>
          <w:sz w:val="24"/>
          <w:szCs w:val="24"/>
          <w:u w:val="none"/>
          <w:lang w:val="en-US" w:eastAsia="zh-CN"/>
        </w:rPr>
        <w:t>/d</w:t>
      </w:r>
      <w:r>
        <w:rPr>
          <w:rFonts w:hint="eastAsia" w:ascii="Times New Roman" w:hAnsi="Times New Roman"/>
          <w:caps w:val="0"/>
          <w:smallCaps w:val="0"/>
          <w:color w:val="auto"/>
          <w:sz w:val="24"/>
          <w:szCs w:val="24"/>
          <w:u w:val="none"/>
        </w:rPr>
        <w:t>。</w:t>
      </w:r>
    </w:p>
    <w:p>
      <w:pPr>
        <w:pStyle w:val="33"/>
        <w:bidi w:val="0"/>
        <w:rPr>
          <w:rFonts w:hint="eastAsia"/>
          <w:caps w:val="0"/>
          <w:smallCaps w:val="0"/>
          <w:color w:val="auto"/>
          <w:sz w:val="24"/>
          <w:szCs w:val="24"/>
          <w:u w:val="none"/>
          <w:lang w:val="en-US" w:eastAsia="zh-CN"/>
        </w:rPr>
      </w:pPr>
      <w:r>
        <w:rPr>
          <w:rFonts w:hint="eastAsia"/>
          <w:caps w:val="0"/>
          <w:smallCaps w:val="0"/>
          <w:color w:val="auto"/>
          <w:sz w:val="24"/>
          <w:szCs w:val="24"/>
          <w:u w:val="none"/>
          <w:lang w:val="en-US" w:eastAsia="zh-CN"/>
        </w:rPr>
        <w:t>生产废水拟依托厂区二期项目新建污水处理站进行处理后，污染物浓度达到《石油化学工业污染物排放标准》（GB31571-2015）、《合成树脂工业污染物排放标准》（GB31572-2015）及云溪区工业污水处理厂进水水质要求云溪区污水处理厂接管标准中严格标准值后，进入云溪区污水处理厂集中处理后达标排放。</w:t>
      </w:r>
    </w:p>
    <w:p>
      <w:pPr>
        <w:pStyle w:val="32"/>
        <w:bidi w:val="0"/>
        <w:rPr>
          <w:rFonts w:hint="eastAsia"/>
          <w:b/>
          <w:bCs/>
          <w:color w:val="auto"/>
          <w:lang w:val="en-US" w:eastAsia="zh-CN"/>
        </w:rPr>
      </w:pPr>
      <w:bookmarkStart w:id="217" w:name="_Toc23018"/>
      <w:r>
        <w:rPr>
          <w:rFonts w:hint="eastAsia"/>
          <w:b/>
          <w:bCs/>
          <w:color w:val="auto"/>
          <w:lang w:val="en-US" w:eastAsia="zh-CN"/>
        </w:rPr>
        <w:t>8.2.2生活污水达标排放可行性</w:t>
      </w:r>
    </w:p>
    <w:p>
      <w:pPr>
        <w:pStyle w:val="33"/>
        <w:bidi w:val="0"/>
        <w:rPr>
          <w:rFonts w:hint="eastAsia"/>
          <w:color w:val="auto"/>
          <w:lang w:val="en-US" w:eastAsia="zh-CN"/>
        </w:rPr>
      </w:pPr>
      <w:r>
        <w:rPr>
          <w:rFonts w:hint="eastAsia"/>
          <w:color w:val="auto"/>
          <w:lang w:val="en-US" w:eastAsia="zh-CN"/>
        </w:rPr>
        <w:t>本项目位于湖南岳阳绿色化工产业园云溪片区。生活污水主要为职工办公生活产生的废水。项目生活污水经化粪池处理后排入园区污水管网。</w:t>
      </w:r>
    </w:p>
    <w:p>
      <w:pPr>
        <w:pStyle w:val="33"/>
        <w:bidi w:val="0"/>
        <w:rPr>
          <w:rFonts w:hint="eastAsia"/>
          <w:color w:val="auto"/>
          <w:lang w:val="en-US" w:eastAsia="zh-CN"/>
        </w:rPr>
      </w:pPr>
      <w:r>
        <w:rPr>
          <w:rFonts w:hint="eastAsia"/>
          <w:color w:val="auto"/>
          <w:lang w:val="en-US" w:eastAsia="zh-CN"/>
        </w:rPr>
        <w:t>项目生活污水中主要污染物为COD、BOD</w:t>
      </w:r>
      <w:r>
        <w:rPr>
          <w:rFonts w:hint="eastAsia"/>
          <w:color w:val="auto"/>
          <w:vertAlign w:val="subscript"/>
          <w:lang w:val="en-US" w:eastAsia="zh-CN"/>
        </w:rPr>
        <w:t>5</w:t>
      </w:r>
      <w:r>
        <w:rPr>
          <w:rFonts w:hint="eastAsia"/>
          <w:color w:val="auto"/>
          <w:lang w:val="en-US" w:eastAsia="zh-CN"/>
        </w:rPr>
        <w:t>、SS和氨氮，其污染物浓度低。因此经化粪池处理后能够满足《污水综合排放标准》（GB8978-1996）表4中的三级标准后排入园区污水管网。</w:t>
      </w:r>
    </w:p>
    <w:p>
      <w:pPr>
        <w:pStyle w:val="33"/>
        <w:bidi w:val="0"/>
        <w:rPr>
          <w:rFonts w:hint="eastAsia"/>
          <w:color w:val="auto"/>
          <w:lang w:val="en-US" w:eastAsia="zh-CN"/>
        </w:rPr>
      </w:pPr>
      <w:r>
        <w:rPr>
          <w:rFonts w:hint="eastAsia"/>
          <w:color w:val="auto"/>
          <w:lang w:val="en-US" w:eastAsia="zh-CN"/>
        </w:rPr>
        <w:t>因此，本项目生活污水处理措施可行。</w:t>
      </w:r>
    </w:p>
    <w:p>
      <w:pPr>
        <w:pStyle w:val="32"/>
        <w:bidi w:val="0"/>
        <w:rPr>
          <w:color w:val="auto"/>
        </w:rPr>
      </w:pPr>
      <w:r>
        <w:rPr>
          <w:rFonts w:hint="eastAsia"/>
          <w:color w:val="auto"/>
          <w:lang w:val="en-US" w:eastAsia="zh-CN"/>
        </w:rPr>
        <w:t>8</w:t>
      </w:r>
      <w:r>
        <w:rPr>
          <w:rFonts w:hint="eastAsia"/>
          <w:color w:val="auto"/>
        </w:rPr>
        <w:t>.2.</w:t>
      </w:r>
      <w:r>
        <w:rPr>
          <w:rFonts w:hint="eastAsia"/>
          <w:color w:val="auto"/>
          <w:lang w:val="en-US" w:eastAsia="zh-CN"/>
        </w:rPr>
        <w:t>3</w:t>
      </w:r>
      <w:r>
        <w:rPr>
          <w:rFonts w:hint="eastAsia"/>
          <w:color w:val="auto"/>
        </w:rPr>
        <w:t>废水进公司废水处理站可行性分析</w:t>
      </w:r>
      <w:bookmarkEnd w:id="217"/>
    </w:p>
    <w:p>
      <w:pPr>
        <w:pStyle w:val="33"/>
        <w:bidi w:val="0"/>
        <w:rPr>
          <w:rFonts w:hint="eastAsia"/>
          <w:b/>
          <w:bCs/>
          <w:color w:val="auto"/>
          <w:u w:val="single"/>
          <w:lang w:val="en-US" w:eastAsia="zh-CN"/>
        </w:rPr>
      </w:pPr>
      <w:r>
        <w:rPr>
          <w:rFonts w:hint="eastAsia"/>
          <w:b/>
          <w:bCs/>
          <w:color w:val="auto"/>
          <w:u w:val="single"/>
          <w:lang w:eastAsia="zh-CN"/>
        </w:rPr>
        <w:t>（</w:t>
      </w:r>
      <w:r>
        <w:rPr>
          <w:rFonts w:hint="eastAsia"/>
          <w:b/>
          <w:bCs/>
          <w:color w:val="auto"/>
          <w:u w:val="single"/>
          <w:lang w:val="en-US" w:eastAsia="zh-CN"/>
        </w:rPr>
        <w:t>1</w:t>
      </w:r>
      <w:r>
        <w:rPr>
          <w:rFonts w:hint="eastAsia"/>
          <w:b/>
          <w:bCs/>
          <w:color w:val="auto"/>
          <w:u w:val="single"/>
          <w:lang w:eastAsia="zh-CN"/>
        </w:rPr>
        <w:t>）</w:t>
      </w:r>
      <w:r>
        <w:rPr>
          <w:rFonts w:hint="eastAsia"/>
          <w:b/>
          <w:bCs/>
          <w:color w:val="auto"/>
          <w:u w:val="single"/>
          <w:lang w:val="en-US" w:eastAsia="zh-CN"/>
        </w:rPr>
        <w:t>厂区现有污水处理站情况</w:t>
      </w:r>
    </w:p>
    <w:p>
      <w:pPr>
        <w:pStyle w:val="33"/>
        <w:bidi w:val="0"/>
        <w:rPr>
          <w:rFonts w:hint="eastAsia"/>
          <w:caps w:val="0"/>
          <w:smallCaps w:val="0"/>
          <w:color w:val="auto"/>
          <w:sz w:val="24"/>
          <w:szCs w:val="24"/>
          <w:u w:val="single"/>
          <w:lang w:val="en-US" w:eastAsia="zh-CN"/>
        </w:rPr>
      </w:pPr>
      <w:r>
        <w:rPr>
          <w:rFonts w:hint="eastAsia"/>
          <w:caps w:val="0"/>
          <w:smallCaps w:val="0"/>
          <w:color w:val="auto"/>
          <w:sz w:val="24"/>
          <w:szCs w:val="24"/>
          <w:u w:val="single"/>
          <w:lang w:val="en-US" w:eastAsia="zh-CN"/>
        </w:rPr>
        <w:t>岳阳市凌峰化工有限公司现有污水处理站是由湖南湘汇机械科技有限公司为岳阳市凌峰化工有限公司设计的“自动化污水处理系统”，污水处理站采用MVR蒸发浓缩和二甲胺回收处理工艺来进行分解，根据物料性质先采用蒸发器蒸发，把二甲胺、甲醇和有机物容易挥发，先把二甲胺甲醇和有机物蒸发分离，经过蒸发分离后冷却到储存罐存储，MVR蒸发不断继续蒸发，物料里含的树脂苯芬和混合物浓缩浓度达到70%即可出料。蒸发出来的蒸馏水水在经过加热输送到二甲胺回收塔继续加热回收，二甲胺、甲醇和有机物浓度浓缩到30-40%浓度，即可回收利用。回收塔排除的水COD保持在500mg/L以下，氨氮在30mg/L以下。</w:t>
      </w:r>
    </w:p>
    <w:p>
      <w:pPr>
        <w:pStyle w:val="33"/>
        <w:bidi w:val="0"/>
        <w:rPr>
          <w:rFonts w:hint="default"/>
          <w:caps w:val="0"/>
          <w:smallCaps w:val="0"/>
          <w:color w:val="auto"/>
          <w:sz w:val="24"/>
          <w:szCs w:val="24"/>
          <w:u w:val="single"/>
          <w:lang w:val="en-US" w:eastAsia="zh-CN"/>
        </w:rPr>
      </w:pPr>
      <w:r>
        <w:rPr>
          <w:rFonts w:hint="eastAsia"/>
          <w:caps w:val="0"/>
          <w:smallCaps w:val="0"/>
          <w:color w:val="auto"/>
          <w:sz w:val="24"/>
          <w:szCs w:val="24"/>
          <w:u w:val="single"/>
          <w:lang w:val="en-US" w:eastAsia="zh-CN"/>
        </w:rPr>
        <w:t>污水处理站设计处理能力50m</w:t>
      </w:r>
      <w:r>
        <w:rPr>
          <w:rFonts w:hint="eastAsia"/>
          <w:caps w:val="0"/>
          <w:smallCaps w:val="0"/>
          <w:color w:val="auto"/>
          <w:sz w:val="24"/>
          <w:szCs w:val="24"/>
          <w:u w:val="single"/>
          <w:vertAlign w:val="superscript"/>
          <w:lang w:val="en-US" w:eastAsia="zh-CN"/>
        </w:rPr>
        <w:t>3</w:t>
      </w:r>
      <w:r>
        <w:rPr>
          <w:rFonts w:hint="eastAsia"/>
          <w:caps w:val="0"/>
          <w:smallCaps w:val="0"/>
          <w:color w:val="auto"/>
          <w:sz w:val="24"/>
          <w:szCs w:val="24"/>
          <w:u w:val="single"/>
          <w:lang w:val="en-US" w:eastAsia="zh-CN"/>
        </w:rPr>
        <w:t>/d，目前污水处理站正在进行调试，设备试运行状态良好，根据日常监测数据。出水能够满足标准要求。</w:t>
      </w:r>
    </w:p>
    <w:p>
      <w:pPr>
        <w:pStyle w:val="33"/>
        <w:bidi w:val="0"/>
        <w:rPr>
          <w:rFonts w:hint="eastAsia"/>
          <w:color w:val="auto"/>
          <w:u w:val="single"/>
          <w:lang w:val="en-US" w:eastAsia="zh-CN"/>
        </w:rPr>
      </w:pPr>
      <w:r>
        <w:rPr>
          <w:rFonts w:hint="eastAsia"/>
          <w:color w:val="auto"/>
          <w:u w:val="single"/>
          <w:lang w:val="en-US" w:eastAsia="zh-CN"/>
        </w:rPr>
        <w:t>厂区污水处理站设计进水浓度为COD80000mg/L，出水浓度设计为小于500mg/L，处理能力为50m</w:t>
      </w:r>
      <w:r>
        <w:rPr>
          <w:rFonts w:hint="eastAsia"/>
          <w:color w:val="auto"/>
          <w:u w:val="single"/>
          <w:vertAlign w:val="superscript"/>
          <w:lang w:val="en-US" w:eastAsia="zh-CN"/>
        </w:rPr>
        <w:t>3</w:t>
      </w:r>
      <w:r>
        <w:rPr>
          <w:rFonts w:hint="eastAsia"/>
          <w:color w:val="auto"/>
          <w:u w:val="single"/>
          <w:lang w:val="en-US" w:eastAsia="zh-CN"/>
        </w:rPr>
        <w:t>/d，现有项目废水为量为14.77</w:t>
      </w:r>
      <w:r>
        <w:rPr>
          <w:rFonts w:hint="default"/>
          <w:color w:val="auto"/>
          <w:u w:val="single"/>
          <w:lang w:val="en-US" w:eastAsia="zh-CN"/>
        </w:rPr>
        <w:t>m</w:t>
      </w:r>
      <w:r>
        <w:rPr>
          <w:rFonts w:hint="eastAsia"/>
          <w:color w:val="auto"/>
          <w:u w:val="single"/>
          <w:vertAlign w:val="superscript"/>
          <w:lang w:val="en-US" w:eastAsia="zh-CN"/>
        </w:rPr>
        <w:t>3</w:t>
      </w:r>
      <w:r>
        <w:rPr>
          <w:rFonts w:hint="default"/>
          <w:color w:val="auto"/>
          <w:u w:val="single"/>
          <w:lang w:val="en-US" w:eastAsia="zh-CN"/>
        </w:rPr>
        <w:t>/d</w:t>
      </w:r>
      <w:r>
        <w:rPr>
          <w:rFonts w:hint="eastAsia"/>
          <w:color w:val="auto"/>
          <w:u w:val="single"/>
          <w:lang w:val="en-US" w:eastAsia="zh-CN"/>
        </w:rPr>
        <w:t>，本次技改项目</w:t>
      </w:r>
      <w:r>
        <w:rPr>
          <w:rFonts w:hint="default"/>
          <w:color w:val="auto"/>
          <w:u w:val="single"/>
          <w:lang w:val="en-US" w:eastAsia="zh-CN"/>
        </w:rPr>
        <w:t>生产废水排水量约为目</w:t>
      </w:r>
      <w:r>
        <w:rPr>
          <w:rFonts w:hint="eastAsia"/>
          <w:caps w:val="0"/>
          <w:smallCaps w:val="0"/>
          <w:color w:val="auto"/>
          <w:sz w:val="24"/>
          <w:szCs w:val="24"/>
          <w:u w:val="single"/>
          <w:lang w:val="en-US" w:eastAsia="zh-CN"/>
        </w:rPr>
        <w:t>9.79</w:t>
      </w:r>
      <w:r>
        <w:rPr>
          <w:rFonts w:hint="default"/>
          <w:color w:val="auto"/>
          <w:u w:val="single"/>
          <w:lang w:val="en-US" w:eastAsia="zh-CN"/>
        </w:rPr>
        <w:t>m</w:t>
      </w:r>
      <w:r>
        <w:rPr>
          <w:rFonts w:hint="default"/>
          <w:color w:val="auto"/>
          <w:u w:val="single"/>
          <w:vertAlign w:val="superscript"/>
          <w:lang w:val="en-US" w:eastAsia="zh-CN"/>
        </w:rPr>
        <w:t>3</w:t>
      </w:r>
      <w:r>
        <w:rPr>
          <w:rFonts w:hint="default"/>
          <w:color w:val="auto"/>
          <w:u w:val="single"/>
          <w:lang w:val="en-US" w:eastAsia="zh-CN"/>
        </w:rPr>
        <w:t>/d</w:t>
      </w:r>
      <w:r>
        <w:rPr>
          <w:rFonts w:hint="eastAsia"/>
          <w:color w:val="auto"/>
          <w:u w:val="single"/>
          <w:lang w:val="en-US" w:eastAsia="zh-CN"/>
        </w:rPr>
        <w:t>，COD浓度为26309.3</w:t>
      </w:r>
      <w:r>
        <w:rPr>
          <w:rFonts w:hint="eastAsia"/>
          <w:caps w:val="0"/>
          <w:smallCaps w:val="0"/>
          <w:color w:val="auto"/>
          <w:sz w:val="24"/>
          <w:szCs w:val="24"/>
          <w:u w:val="single"/>
          <w:lang w:val="en-US" w:eastAsia="zh-CN"/>
        </w:rPr>
        <w:t>mg/L，本项目水量和污染物浓度不超过污水处理站设计值，</w:t>
      </w:r>
      <w:r>
        <w:rPr>
          <w:rFonts w:hint="eastAsia"/>
          <w:color w:val="auto"/>
          <w:u w:val="single"/>
          <w:lang w:val="en-US" w:eastAsia="zh-CN"/>
        </w:rPr>
        <w:t>本项目废水依托公司现有污水处理站处理可行。</w:t>
      </w:r>
    </w:p>
    <w:p>
      <w:pPr>
        <w:pStyle w:val="32"/>
        <w:bidi w:val="0"/>
        <w:rPr>
          <w:color w:val="auto"/>
        </w:rPr>
      </w:pPr>
      <w:bookmarkStart w:id="218" w:name="_Toc22881"/>
      <w:r>
        <w:rPr>
          <w:rFonts w:hint="eastAsia"/>
          <w:color w:val="auto"/>
          <w:lang w:val="en-US" w:eastAsia="zh-CN"/>
        </w:rPr>
        <w:t>8</w:t>
      </w:r>
      <w:r>
        <w:rPr>
          <w:rFonts w:hint="eastAsia"/>
          <w:color w:val="auto"/>
        </w:rPr>
        <w:t>.2.</w:t>
      </w:r>
      <w:r>
        <w:rPr>
          <w:rFonts w:hint="eastAsia"/>
          <w:color w:val="auto"/>
          <w:lang w:val="en-US" w:eastAsia="zh-CN"/>
        </w:rPr>
        <w:t>4</w:t>
      </w:r>
      <w:r>
        <w:rPr>
          <w:rFonts w:hint="eastAsia"/>
          <w:color w:val="auto"/>
        </w:rPr>
        <w:t>废水排入云溪工业园污水处理厂可行性分析</w:t>
      </w:r>
      <w:bookmarkEnd w:id="218"/>
    </w:p>
    <w:p>
      <w:pPr>
        <w:pStyle w:val="33"/>
        <w:tabs>
          <w:tab w:val="left" w:pos="616"/>
        </w:tabs>
        <w:bidi w:val="0"/>
        <w:rPr>
          <w:rFonts w:hint="default"/>
          <w:color w:val="auto"/>
          <w:lang w:val="en-US" w:eastAsia="zh-CN"/>
        </w:rPr>
      </w:pPr>
      <w:r>
        <w:rPr>
          <w:rFonts w:hint="eastAsia"/>
          <w:color w:val="auto"/>
          <w:lang w:val="en-US" w:eastAsia="zh-CN"/>
        </w:rPr>
        <w:t>根据《云溪区污水处理厂提标改造项目（2.5万m³/d）环境影响报告书》中水量调研分析，园区现有工业废水规模约3500m</w:t>
      </w:r>
      <w:r>
        <w:rPr>
          <w:rFonts w:hint="eastAsia"/>
          <w:color w:val="auto"/>
          <w:vertAlign w:val="superscript"/>
          <w:lang w:val="en-US" w:eastAsia="zh-CN"/>
        </w:rPr>
        <w:t>3</w:t>
      </w:r>
      <w:r>
        <w:rPr>
          <w:rFonts w:hint="eastAsia"/>
          <w:color w:val="auto"/>
          <w:lang w:val="en-US" w:eastAsia="zh-CN"/>
        </w:rPr>
        <w:t>/d，剩余处理能力约1500m</w:t>
      </w:r>
      <w:r>
        <w:rPr>
          <w:rFonts w:hint="eastAsia"/>
          <w:color w:val="auto"/>
          <w:vertAlign w:val="superscript"/>
          <w:lang w:val="en-US" w:eastAsia="zh-CN"/>
        </w:rPr>
        <w:t>3</w:t>
      </w:r>
      <w:r>
        <w:rPr>
          <w:rFonts w:hint="eastAsia"/>
          <w:color w:val="auto"/>
          <w:lang w:val="en-US" w:eastAsia="zh-CN"/>
        </w:rPr>
        <w:t>/d。</w:t>
      </w:r>
    </w:p>
    <w:p>
      <w:pPr>
        <w:spacing w:line="440" w:lineRule="exact"/>
        <w:ind w:firstLine="480" w:firstLineChars="200"/>
        <w:rPr>
          <w:rFonts w:ascii="Times New Roman" w:hAnsi="Times New Roman"/>
          <w:caps w:val="0"/>
          <w:smallCaps w:val="0"/>
          <w:color w:val="auto"/>
          <w:sz w:val="24"/>
          <w:szCs w:val="24"/>
        </w:rPr>
      </w:pPr>
      <w:r>
        <w:rPr>
          <w:rFonts w:hint="eastAsia" w:ascii="Times New Roman" w:hAnsi="Times New Roman"/>
          <w:caps w:val="0"/>
          <w:smallCaps w:val="0"/>
          <w:color w:val="auto"/>
          <w:sz w:val="24"/>
          <w:szCs w:val="24"/>
        </w:rPr>
        <w:t>本次改扩建后，</w:t>
      </w:r>
      <w:r>
        <w:rPr>
          <w:rFonts w:hint="eastAsia" w:ascii="Times New Roman" w:hAnsi="Times New Roman"/>
          <w:caps w:val="0"/>
          <w:smallCaps w:val="0"/>
          <w:color w:val="auto"/>
          <w:sz w:val="24"/>
          <w:szCs w:val="24"/>
          <w:lang w:eastAsia="zh-CN"/>
        </w:rPr>
        <w:t>全厂废</w:t>
      </w:r>
      <w:r>
        <w:rPr>
          <w:rFonts w:ascii="Times New Roman" w:hAnsi="Times New Roman"/>
          <w:caps w:val="0"/>
          <w:smallCaps w:val="0"/>
          <w:color w:val="auto"/>
          <w:sz w:val="24"/>
          <w:szCs w:val="24"/>
        </w:rPr>
        <w:t>水经</w:t>
      </w:r>
      <w:r>
        <w:rPr>
          <w:rFonts w:hint="eastAsia" w:ascii="Times New Roman" w:hAnsi="Times New Roman"/>
          <w:caps w:val="0"/>
          <w:smallCaps w:val="0"/>
          <w:color w:val="auto"/>
          <w:sz w:val="24"/>
          <w:szCs w:val="24"/>
          <w:lang w:eastAsia="zh-CN"/>
        </w:rPr>
        <w:t>厂区内新建污水处理站预</w:t>
      </w:r>
      <w:r>
        <w:rPr>
          <w:rFonts w:ascii="Times New Roman" w:hAnsi="Times New Roman"/>
          <w:caps w:val="0"/>
          <w:smallCaps w:val="0"/>
          <w:color w:val="auto"/>
          <w:sz w:val="24"/>
          <w:szCs w:val="24"/>
        </w:rPr>
        <w:t>处理</w:t>
      </w:r>
      <w:r>
        <w:rPr>
          <w:rFonts w:hint="eastAsia" w:ascii="Times New Roman" w:hAnsi="Times New Roman"/>
          <w:caps w:val="0"/>
          <w:smallCaps w:val="0"/>
          <w:color w:val="auto"/>
          <w:sz w:val="24"/>
          <w:szCs w:val="24"/>
          <w:lang w:eastAsia="zh-CN"/>
        </w:rPr>
        <w:t>后可达云溪工业园污水处理厂纳管水质要求；</w:t>
      </w:r>
      <w:r>
        <w:rPr>
          <w:rFonts w:ascii="Times New Roman" w:hAnsi="Times New Roman"/>
          <w:caps w:val="0"/>
          <w:smallCaps w:val="0"/>
          <w:color w:val="auto"/>
          <w:sz w:val="24"/>
          <w:szCs w:val="24"/>
        </w:rPr>
        <w:t>废水总量约为</w:t>
      </w:r>
      <w:r>
        <w:rPr>
          <w:rFonts w:hint="eastAsia" w:ascii="Times New Roman" w:hAnsi="Times New Roman"/>
          <w:caps w:val="0"/>
          <w:smallCaps w:val="0"/>
          <w:color w:val="auto"/>
          <w:sz w:val="24"/>
          <w:szCs w:val="24"/>
          <w:lang w:val="en-US" w:eastAsia="zh-CN"/>
        </w:rPr>
        <w:t>24.56</w:t>
      </w:r>
      <w:r>
        <w:rPr>
          <w:rFonts w:ascii="Times New Roman" w:hAnsi="Times New Roman"/>
          <w:caps w:val="0"/>
          <w:smallCaps w:val="0"/>
          <w:color w:val="auto"/>
          <w:sz w:val="24"/>
          <w:szCs w:val="24"/>
        </w:rPr>
        <w:t>m</w:t>
      </w:r>
      <w:r>
        <w:rPr>
          <w:rFonts w:ascii="Times New Roman" w:hAnsi="Times New Roman"/>
          <w:caps w:val="0"/>
          <w:smallCaps w:val="0"/>
          <w:color w:val="auto"/>
          <w:sz w:val="24"/>
          <w:szCs w:val="24"/>
          <w:vertAlign w:val="superscript"/>
        </w:rPr>
        <w:t>3</w:t>
      </w:r>
      <w:r>
        <w:rPr>
          <w:rFonts w:ascii="Times New Roman" w:hAnsi="Times New Roman"/>
          <w:caps w:val="0"/>
          <w:smallCaps w:val="0"/>
          <w:color w:val="auto"/>
          <w:sz w:val="24"/>
          <w:szCs w:val="24"/>
        </w:rPr>
        <w:t>/d，</w:t>
      </w:r>
      <w:r>
        <w:rPr>
          <w:rFonts w:hint="eastAsia" w:ascii="Times New Roman" w:hAnsi="Times New Roman"/>
          <w:caps w:val="0"/>
          <w:smallCaps w:val="0"/>
          <w:color w:val="auto"/>
          <w:sz w:val="24"/>
          <w:szCs w:val="24"/>
        </w:rPr>
        <w:t>小于污水处理厂剩余处理能力</w:t>
      </w:r>
      <w:r>
        <w:rPr>
          <w:rFonts w:hint="eastAsia" w:ascii="Times New Roman" w:hAnsi="Times New Roman"/>
          <w:caps w:val="0"/>
          <w:smallCaps w:val="0"/>
          <w:color w:val="auto"/>
          <w:sz w:val="24"/>
          <w:szCs w:val="24"/>
          <w:lang w:val="en-US" w:eastAsia="zh-CN"/>
        </w:rPr>
        <w:t>1500</w:t>
      </w:r>
      <w:r>
        <w:rPr>
          <w:rFonts w:ascii="Times New Roman" w:hAnsi="Times New Roman"/>
          <w:caps w:val="0"/>
          <w:smallCaps w:val="0"/>
          <w:color w:val="auto"/>
          <w:sz w:val="24"/>
          <w:szCs w:val="24"/>
        </w:rPr>
        <w:t>m</w:t>
      </w:r>
      <w:r>
        <w:rPr>
          <w:rFonts w:ascii="Times New Roman" w:hAnsi="Times New Roman"/>
          <w:caps w:val="0"/>
          <w:smallCaps w:val="0"/>
          <w:color w:val="auto"/>
          <w:sz w:val="24"/>
          <w:szCs w:val="24"/>
          <w:vertAlign w:val="superscript"/>
        </w:rPr>
        <w:t>3</w:t>
      </w:r>
      <w:r>
        <w:rPr>
          <w:rFonts w:hint="eastAsia" w:ascii="Times New Roman" w:hAnsi="Times New Roman"/>
          <w:caps w:val="0"/>
          <w:smallCaps w:val="0"/>
          <w:color w:val="auto"/>
          <w:sz w:val="24"/>
          <w:szCs w:val="24"/>
        </w:rPr>
        <w:t>/d；</w:t>
      </w:r>
      <w:r>
        <w:rPr>
          <w:rFonts w:hint="eastAsia" w:ascii="Times New Roman" w:hAnsi="Times New Roman"/>
          <w:caps w:val="0"/>
          <w:smallCaps w:val="0"/>
          <w:color w:val="auto"/>
          <w:sz w:val="24"/>
          <w:szCs w:val="24"/>
          <w:lang w:eastAsia="zh-CN"/>
        </w:rPr>
        <w:t>本项目在园区</w:t>
      </w:r>
      <w:r>
        <w:rPr>
          <w:rFonts w:hint="eastAsia" w:ascii="Times New Roman" w:hAnsi="Times New Roman"/>
          <w:caps w:val="0"/>
          <w:smallCaps w:val="0"/>
          <w:color w:val="auto"/>
          <w:sz w:val="24"/>
          <w:szCs w:val="24"/>
        </w:rPr>
        <w:t>污水处理厂收水范围</w:t>
      </w:r>
      <w:r>
        <w:rPr>
          <w:rFonts w:hint="eastAsia" w:ascii="Times New Roman" w:hAnsi="Times New Roman"/>
          <w:caps w:val="0"/>
          <w:smallCaps w:val="0"/>
          <w:color w:val="auto"/>
          <w:sz w:val="24"/>
          <w:szCs w:val="24"/>
          <w:lang w:eastAsia="zh-CN"/>
        </w:rPr>
        <w:t>内</w:t>
      </w:r>
      <w:r>
        <w:rPr>
          <w:rFonts w:hint="eastAsia" w:ascii="Times New Roman" w:hAnsi="Times New Roman"/>
          <w:caps w:val="0"/>
          <w:smallCaps w:val="0"/>
          <w:color w:val="auto"/>
          <w:sz w:val="24"/>
          <w:szCs w:val="24"/>
        </w:rPr>
        <w:t>，</w:t>
      </w:r>
      <w:r>
        <w:rPr>
          <w:rFonts w:hint="eastAsia" w:ascii="Times New Roman" w:hAnsi="Times New Roman"/>
          <w:caps w:val="0"/>
          <w:smallCaps w:val="0"/>
          <w:color w:val="auto"/>
          <w:sz w:val="24"/>
          <w:szCs w:val="24"/>
          <w:lang w:eastAsia="zh-CN"/>
        </w:rPr>
        <w:t>本项目污水管已经与</w:t>
      </w:r>
      <w:r>
        <w:rPr>
          <w:rFonts w:hint="eastAsia" w:ascii="Times New Roman" w:hAnsi="Times New Roman"/>
          <w:caps w:val="0"/>
          <w:smallCaps w:val="0"/>
          <w:color w:val="auto"/>
          <w:sz w:val="24"/>
          <w:szCs w:val="24"/>
        </w:rPr>
        <w:t>工业园市政污水管网</w:t>
      </w:r>
      <w:r>
        <w:rPr>
          <w:rFonts w:hint="eastAsia" w:ascii="Times New Roman" w:hAnsi="Times New Roman"/>
          <w:caps w:val="0"/>
          <w:smallCaps w:val="0"/>
          <w:color w:val="auto"/>
          <w:sz w:val="24"/>
          <w:szCs w:val="24"/>
          <w:lang w:eastAsia="zh-CN"/>
        </w:rPr>
        <w:t>连通</w:t>
      </w:r>
      <w:r>
        <w:rPr>
          <w:rFonts w:hint="eastAsia" w:ascii="Times New Roman" w:hAnsi="Times New Roman"/>
          <w:caps w:val="0"/>
          <w:smallCaps w:val="0"/>
          <w:color w:val="auto"/>
          <w:sz w:val="24"/>
          <w:szCs w:val="24"/>
        </w:rPr>
        <w:t>。</w:t>
      </w:r>
    </w:p>
    <w:p>
      <w:pPr>
        <w:spacing w:line="480" w:lineRule="exact"/>
        <w:ind w:firstLine="480" w:firstLineChars="200"/>
        <w:rPr>
          <w:rFonts w:ascii="Times New Roman" w:hAnsi="Times New Roman"/>
          <w:caps w:val="0"/>
          <w:smallCaps w:val="0"/>
          <w:color w:val="auto"/>
          <w:sz w:val="24"/>
          <w:szCs w:val="24"/>
        </w:rPr>
      </w:pPr>
      <w:r>
        <w:rPr>
          <w:rFonts w:ascii="Times New Roman" w:hAnsi="Times New Roman"/>
          <w:caps w:val="0"/>
          <w:smallCaps w:val="0"/>
          <w:color w:val="auto"/>
          <w:sz w:val="24"/>
          <w:szCs w:val="24"/>
        </w:rPr>
        <w:t>综上</w:t>
      </w:r>
      <w:r>
        <w:rPr>
          <w:rFonts w:hint="eastAsia" w:ascii="Times New Roman" w:hAnsi="Times New Roman"/>
          <w:caps w:val="0"/>
          <w:smallCaps w:val="0"/>
          <w:color w:val="auto"/>
          <w:sz w:val="24"/>
          <w:szCs w:val="24"/>
          <w:lang w:eastAsia="zh-CN"/>
        </w:rPr>
        <w:t>分析</w:t>
      </w:r>
      <w:r>
        <w:rPr>
          <w:rFonts w:ascii="Times New Roman" w:hAnsi="Times New Roman"/>
          <w:caps w:val="0"/>
          <w:smallCaps w:val="0"/>
          <w:color w:val="auto"/>
          <w:sz w:val="24"/>
          <w:szCs w:val="24"/>
        </w:rPr>
        <w:t>，</w:t>
      </w:r>
      <w:r>
        <w:rPr>
          <w:rFonts w:hint="eastAsia" w:ascii="Times New Roman" w:hAnsi="Times New Roman"/>
          <w:caps w:val="0"/>
          <w:smallCaps w:val="0"/>
          <w:color w:val="auto"/>
          <w:sz w:val="24"/>
          <w:szCs w:val="24"/>
          <w:lang w:eastAsia="zh-CN"/>
        </w:rPr>
        <w:t>改扩建后</w:t>
      </w:r>
      <w:r>
        <w:rPr>
          <w:rFonts w:ascii="Times New Roman" w:hAnsi="Times New Roman"/>
          <w:caps w:val="0"/>
          <w:smallCaps w:val="0"/>
          <w:color w:val="auto"/>
          <w:sz w:val="24"/>
          <w:szCs w:val="24"/>
        </w:rPr>
        <w:t>污水经</w:t>
      </w:r>
      <w:r>
        <w:rPr>
          <w:rFonts w:hint="eastAsia" w:ascii="Times New Roman" w:hAnsi="Times New Roman"/>
          <w:caps w:val="0"/>
          <w:smallCaps w:val="0"/>
          <w:color w:val="auto"/>
          <w:sz w:val="24"/>
          <w:szCs w:val="24"/>
          <w:lang w:eastAsia="zh-CN"/>
        </w:rPr>
        <w:t>厂区内</w:t>
      </w:r>
      <w:r>
        <w:rPr>
          <w:rFonts w:hint="eastAsia" w:ascii="Times New Roman" w:hAnsi="Times New Roman"/>
          <w:caps w:val="0"/>
          <w:smallCaps w:val="0"/>
          <w:color w:val="auto"/>
          <w:sz w:val="24"/>
          <w:szCs w:val="24"/>
          <w:lang w:val="en-US" w:eastAsia="zh-CN"/>
        </w:rPr>
        <w:t>二期</w:t>
      </w:r>
      <w:r>
        <w:rPr>
          <w:rFonts w:hint="eastAsia" w:ascii="Times New Roman" w:hAnsi="Times New Roman"/>
          <w:caps w:val="0"/>
          <w:smallCaps w:val="0"/>
          <w:color w:val="auto"/>
          <w:sz w:val="24"/>
          <w:szCs w:val="24"/>
          <w:lang w:eastAsia="zh-CN"/>
        </w:rPr>
        <w:t>污水处理站预</w:t>
      </w:r>
      <w:r>
        <w:rPr>
          <w:rFonts w:ascii="Times New Roman" w:hAnsi="Times New Roman"/>
          <w:caps w:val="0"/>
          <w:smallCaps w:val="0"/>
          <w:color w:val="auto"/>
          <w:sz w:val="24"/>
          <w:szCs w:val="24"/>
        </w:rPr>
        <w:t>处理达</w:t>
      </w:r>
      <w:r>
        <w:rPr>
          <w:rFonts w:hint="eastAsia" w:ascii="Times New Roman" w:hAnsi="Times New Roman"/>
          <w:caps w:val="0"/>
          <w:smallCaps w:val="0"/>
          <w:color w:val="auto"/>
          <w:sz w:val="24"/>
          <w:szCs w:val="24"/>
        </w:rPr>
        <w:t>《石油化学工业污染物排放标准》（GB31571-2015）</w:t>
      </w:r>
      <w:r>
        <w:rPr>
          <w:rFonts w:hint="eastAsia" w:ascii="Times New Roman" w:hAnsi="Times New Roman"/>
          <w:caps w:val="0"/>
          <w:smallCaps w:val="0"/>
          <w:color w:val="auto"/>
          <w:sz w:val="24"/>
          <w:szCs w:val="24"/>
          <w:lang w:eastAsia="zh-CN"/>
        </w:rPr>
        <w:t>表</w:t>
      </w:r>
      <w:r>
        <w:rPr>
          <w:rFonts w:hint="eastAsia" w:ascii="Times New Roman" w:hAnsi="Times New Roman"/>
          <w:caps w:val="0"/>
          <w:smallCaps w:val="0"/>
          <w:color w:val="auto"/>
          <w:sz w:val="24"/>
          <w:szCs w:val="24"/>
          <w:lang w:val="en-US" w:eastAsia="zh-CN"/>
        </w:rPr>
        <w:t>1间接排放限值</w:t>
      </w:r>
      <w:r>
        <w:rPr>
          <w:rFonts w:hint="eastAsia" w:ascii="Times New Roman" w:hAnsi="Times New Roman"/>
          <w:caps w:val="0"/>
          <w:smallCaps w:val="0"/>
          <w:color w:val="auto"/>
          <w:sz w:val="24"/>
          <w:szCs w:val="24"/>
          <w:lang w:eastAsia="zh-CN"/>
        </w:rPr>
        <w:t>、</w:t>
      </w:r>
      <w:r>
        <w:rPr>
          <w:rFonts w:hint="eastAsia" w:ascii="Times New Roman" w:hAnsi="Times New Roman"/>
          <w:b w:val="0"/>
          <w:bCs w:val="0"/>
          <w:caps w:val="0"/>
          <w:smallCaps w:val="0"/>
          <w:color w:val="auto"/>
          <w:sz w:val="24"/>
          <w:szCs w:val="24"/>
          <w:u w:val="none"/>
        </w:rPr>
        <w:t>《</w:t>
      </w:r>
      <w:r>
        <w:rPr>
          <w:rFonts w:hint="eastAsia" w:ascii="Times New Roman" w:hAnsi="Times New Roman"/>
          <w:b w:val="0"/>
          <w:bCs w:val="0"/>
          <w:caps w:val="0"/>
          <w:smallCaps w:val="0"/>
          <w:color w:val="auto"/>
          <w:sz w:val="24"/>
          <w:szCs w:val="24"/>
          <w:u w:val="none"/>
          <w:lang w:eastAsia="zh-CN"/>
        </w:rPr>
        <w:t>合成树脂</w:t>
      </w:r>
      <w:r>
        <w:rPr>
          <w:rFonts w:hint="eastAsia" w:ascii="Times New Roman" w:hAnsi="Times New Roman"/>
          <w:b w:val="0"/>
          <w:bCs w:val="0"/>
          <w:caps w:val="0"/>
          <w:smallCaps w:val="0"/>
          <w:color w:val="auto"/>
          <w:sz w:val="24"/>
          <w:szCs w:val="24"/>
          <w:u w:val="none"/>
        </w:rPr>
        <w:t>工业污染物排放标准》（</w:t>
      </w:r>
      <w:r>
        <w:rPr>
          <w:rFonts w:ascii="Times New Roman" w:hAnsi="Times New Roman"/>
          <w:b w:val="0"/>
          <w:bCs w:val="0"/>
          <w:caps w:val="0"/>
          <w:smallCaps w:val="0"/>
          <w:color w:val="auto"/>
          <w:sz w:val="24"/>
          <w:szCs w:val="24"/>
          <w:u w:val="none"/>
        </w:rPr>
        <w:t>GB3157</w:t>
      </w:r>
      <w:r>
        <w:rPr>
          <w:rFonts w:hint="eastAsia" w:ascii="Times New Roman" w:hAnsi="Times New Roman"/>
          <w:b w:val="0"/>
          <w:bCs w:val="0"/>
          <w:caps w:val="0"/>
          <w:smallCaps w:val="0"/>
          <w:color w:val="auto"/>
          <w:sz w:val="24"/>
          <w:szCs w:val="24"/>
          <w:u w:val="none"/>
          <w:lang w:val="en-US" w:eastAsia="zh-CN"/>
        </w:rPr>
        <w:t>2</w:t>
      </w:r>
      <w:r>
        <w:rPr>
          <w:rFonts w:ascii="Times New Roman" w:hAnsi="Times New Roman"/>
          <w:b w:val="0"/>
          <w:bCs w:val="0"/>
          <w:caps w:val="0"/>
          <w:smallCaps w:val="0"/>
          <w:color w:val="auto"/>
          <w:sz w:val="24"/>
          <w:szCs w:val="24"/>
          <w:u w:val="none"/>
        </w:rPr>
        <w:t>-2015</w:t>
      </w:r>
      <w:r>
        <w:rPr>
          <w:rFonts w:hint="eastAsia" w:ascii="Times New Roman" w:hAnsi="Times New Roman"/>
          <w:b w:val="0"/>
          <w:bCs w:val="0"/>
          <w:caps w:val="0"/>
          <w:smallCaps w:val="0"/>
          <w:color w:val="auto"/>
          <w:sz w:val="24"/>
          <w:szCs w:val="24"/>
          <w:u w:val="none"/>
        </w:rPr>
        <w:t>）</w:t>
      </w:r>
      <w:r>
        <w:rPr>
          <w:rFonts w:hint="eastAsia" w:ascii="Times New Roman" w:hAnsi="Times New Roman"/>
          <w:b w:val="0"/>
          <w:bCs w:val="0"/>
          <w:caps w:val="0"/>
          <w:smallCaps w:val="0"/>
          <w:color w:val="auto"/>
          <w:sz w:val="24"/>
          <w:szCs w:val="24"/>
          <w:u w:val="none"/>
          <w:lang w:eastAsia="zh-CN"/>
        </w:rPr>
        <w:t>表</w:t>
      </w:r>
      <w:r>
        <w:rPr>
          <w:rFonts w:hint="eastAsia" w:ascii="Times New Roman" w:hAnsi="Times New Roman"/>
          <w:b w:val="0"/>
          <w:bCs w:val="0"/>
          <w:caps w:val="0"/>
          <w:smallCaps w:val="0"/>
          <w:color w:val="auto"/>
          <w:sz w:val="24"/>
          <w:szCs w:val="24"/>
          <w:u w:val="none"/>
          <w:lang w:val="en-US" w:eastAsia="zh-CN"/>
        </w:rPr>
        <w:t>1间接排放限值</w:t>
      </w:r>
      <w:r>
        <w:rPr>
          <w:rFonts w:hint="eastAsia" w:ascii="Times New Roman" w:hAnsi="Times New Roman"/>
          <w:caps w:val="0"/>
          <w:smallCaps w:val="0"/>
          <w:color w:val="auto"/>
          <w:sz w:val="24"/>
          <w:szCs w:val="24"/>
        </w:rPr>
        <w:t>及云溪区污水处理厂进水水质要求</w:t>
      </w:r>
      <w:r>
        <w:rPr>
          <w:rFonts w:ascii="Times New Roman" w:hAnsi="Times New Roman"/>
          <w:caps w:val="0"/>
          <w:smallCaps w:val="0"/>
          <w:color w:val="auto"/>
          <w:sz w:val="24"/>
          <w:szCs w:val="24"/>
        </w:rPr>
        <w:t>后可排入</w:t>
      </w:r>
      <w:r>
        <w:rPr>
          <w:rFonts w:hint="eastAsia" w:ascii="Times New Roman" w:hAnsi="Times New Roman"/>
          <w:caps w:val="0"/>
          <w:smallCaps w:val="0"/>
          <w:color w:val="auto"/>
          <w:sz w:val="24"/>
          <w:szCs w:val="24"/>
        </w:rPr>
        <w:t>云溪</w:t>
      </w:r>
      <w:r>
        <w:rPr>
          <w:rFonts w:ascii="Times New Roman" w:hAnsi="Times New Roman"/>
          <w:caps w:val="0"/>
          <w:smallCaps w:val="0"/>
          <w:color w:val="auto"/>
          <w:sz w:val="24"/>
          <w:szCs w:val="24"/>
        </w:rPr>
        <w:t>区污水处理厂处理。</w:t>
      </w:r>
    </w:p>
    <w:p>
      <w:pPr>
        <w:pStyle w:val="33"/>
        <w:bidi w:val="0"/>
        <w:rPr>
          <w:rFonts w:hint="eastAsia"/>
          <w:color w:val="auto"/>
          <w:lang w:val="en-US" w:eastAsia="zh-CN"/>
        </w:rPr>
      </w:pPr>
      <w:r>
        <w:rPr>
          <w:rFonts w:hint="eastAsia"/>
          <w:color w:val="auto"/>
          <w:lang w:val="en-US" w:eastAsia="zh-CN"/>
        </w:rPr>
        <w:t>综上所述，本项目预处理达标后的废水依托云溪污水处理厂处理是可行的。</w:t>
      </w:r>
    </w:p>
    <w:p>
      <w:pPr>
        <w:pStyle w:val="31"/>
        <w:bidi w:val="0"/>
        <w:rPr>
          <w:rFonts w:hint="eastAsia"/>
          <w:color w:val="auto"/>
          <w:lang w:val="en-US" w:eastAsia="zh-CN"/>
        </w:rPr>
      </w:pPr>
      <w:bookmarkStart w:id="219" w:name="_Toc5512"/>
      <w:bookmarkStart w:id="220" w:name="_Toc29386"/>
      <w:r>
        <w:rPr>
          <w:rFonts w:hint="eastAsia"/>
          <w:color w:val="auto"/>
          <w:lang w:val="en-US" w:eastAsia="zh-CN"/>
        </w:rPr>
        <w:t>8.3地下水防治措施</w:t>
      </w:r>
      <w:bookmarkEnd w:id="219"/>
      <w:bookmarkEnd w:id="220"/>
    </w:p>
    <w:p>
      <w:pPr>
        <w:pStyle w:val="33"/>
        <w:bidi w:val="0"/>
        <w:rPr>
          <w:rFonts w:hint="eastAsia"/>
          <w:color w:val="auto"/>
          <w:lang w:val="en-US" w:eastAsia="zh-CN"/>
        </w:rPr>
      </w:pPr>
      <w:r>
        <w:rPr>
          <w:rFonts w:hint="eastAsia"/>
          <w:color w:val="auto"/>
          <w:lang w:val="en-US" w:eastAsia="zh-CN"/>
        </w:rPr>
        <w:t>企业所处位置位于湖南岳阳绿色化工产业园，工业园区周边无居民饮用水取水点。企业应该采取合理有效的工程措施可防止污染物对地下水的污染。</w:t>
      </w:r>
    </w:p>
    <w:p>
      <w:pPr>
        <w:pStyle w:val="33"/>
        <w:bidi w:val="0"/>
        <w:rPr>
          <w:rFonts w:hint="eastAsia"/>
          <w:color w:val="auto"/>
          <w:lang w:val="en-US" w:eastAsia="zh-CN"/>
        </w:rPr>
      </w:pPr>
      <w:r>
        <w:rPr>
          <w:rFonts w:hint="eastAsia"/>
          <w:color w:val="auto"/>
          <w:lang w:val="en-US" w:eastAsia="zh-CN"/>
        </w:rPr>
        <w:t>正常情况下，地下水的污染主要是由于污染物迁移穿过包气带进入含水层造成。若废水发生渗漏，首先污染所在土壤，同时污染物会较快穿过包气带进入浅层地下水，对浅层地下水造成污染。由于地下水一旦受污染其发现和治理难度都非常难，为了更好地保护地下水资源，将本项目对浅层地下水的影响降至最低限度，建议采取以下的污染防治措施。</w:t>
      </w:r>
    </w:p>
    <w:p>
      <w:pPr>
        <w:pStyle w:val="33"/>
        <w:bidi w:val="0"/>
        <w:rPr>
          <w:rFonts w:hint="eastAsia"/>
          <w:color w:val="auto"/>
          <w:lang w:val="en-US" w:eastAsia="zh-CN"/>
        </w:rPr>
      </w:pPr>
      <w:r>
        <w:rPr>
          <w:rFonts w:hint="eastAsia"/>
          <w:color w:val="auto"/>
          <w:lang w:val="en-US" w:eastAsia="zh-CN"/>
        </w:rPr>
        <w:t>本环评按照“源头控制、分区防控、污染监控、应急响应”提出地下水保护保护措施与对策。</w:t>
      </w:r>
    </w:p>
    <w:p>
      <w:pPr>
        <w:pStyle w:val="33"/>
        <w:bidi w:val="0"/>
        <w:rPr>
          <w:rFonts w:hint="eastAsia"/>
          <w:b/>
          <w:bCs/>
          <w:color w:val="auto"/>
          <w:lang w:val="en-US" w:eastAsia="zh-CN"/>
        </w:rPr>
      </w:pPr>
      <w:r>
        <w:rPr>
          <w:rFonts w:hint="eastAsia"/>
          <w:b/>
          <w:bCs/>
          <w:color w:val="auto"/>
          <w:lang w:val="en-US" w:eastAsia="zh-CN"/>
        </w:rPr>
        <w:t>1、源头控制</w:t>
      </w:r>
    </w:p>
    <w:p>
      <w:pPr>
        <w:pStyle w:val="33"/>
        <w:bidi w:val="0"/>
        <w:rPr>
          <w:rFonts w:hint="eastAsia"/>
          <w:color w:val="auto"/>
          <w:lang w:val="en-US" w:eastAsia="zh-CN"/>
        </w:rPr>
      </w:pPr>
      <w:r>
        <w:rPr>
          <w:rFonts w:hint="eastAsia"/>
          <w:color w:val="auto"/>
          <w:lang w:val="en-US" w:eastAsia="zh-CN"/>
        </w:rPr>
        <w:t>（1）严格按照国家相关规范要求，对厂区内各污水处理设备等采取相应措施，以防止和降低污染物的跑、冒、滴、漏，将污染物泄漏的环境风险事故降到最低程度。</w:t>
      </w:r>
    </w:p>
    <w:p>
      <w:pPr>
        <w:pStyle w:val="33"/>
        <w:bidi w:val="0"/>
        <w:rPr>
          <w:rFonts w:hint="eastAsia"/>
          <w:color w:val="auto"/>
          <w:lang w:val="en-US" w:eastAsia="zh-CN"/>
        </w:rPr>
      </w:pPr>
      <w:r>
        <w:rPr>
          <w:rFonts w:hint="eastAsia"/>
          <w:color w:val="auto"/>
          <w:lang w:val="en-US" w:eastAsia="zh-CN"/>
        </w:rPr>
        <w:t>（2）设备和管线尽量采用“可视化"原则，即尽可能地上敷设和放置，做到污染物“早发现、早处理”，以减少由于埋地泄漏而可能造成的地下水污染。对地下管道、管道内外均采用防腐处理，另建设控制站、截污阀、排污阀、流量、压力在线监测仪，购买超声及磁力检漏设备，定期对管道进行检漏，对出现泄漏处的土壤进行换土。</w:t>
      </w:r>
    </w:p>
    <w:p>
      <w:pPr>
        <w:pStyle w:val="33"/>
        <w:bidi w:val="0"/>
        <w:rPr>
          <w:rFonts w:hint="eastAsia"/>
          <w:color w:val="auto"/>
          <w:lang w:val="en-US" w:eastAsia="zh-CN"/>
        </w:rPr>
      </w:pPr>
      <w:r>
        <w:rPr>
          <w:rFonts w:hint="eastAsia"/>
          <w:color w:val="auto"/>
          <w:lang w:val="en-US" w:eastAsia="zh-CN"/>
        </w:rPr>
        <w:t>（3）堆放污泥等固体废物的场地按照国家相关规范要求，采取防泄漏措施。</w:t>
      </w:r>
    </w:p>
    <w:p>
      <w:pPr>
        <w:pStyle w:val="33"/>
        <w:bidi w:val="0"/>
        <w:rPr>
          <w:rFonts w:hint="eastAsia"/>
          <w:color w:val="auto"/>
          <w:lang w:val="en-US" w:eastAsia="zh-CN"/>
        </w:rPr>
      </w:pPr>
      <w:r>
        <w:rPr>
          <w:rFonts w:hint="eastAsia"/>
          <w:color w:val="auto"/>
          <w:lang w:val="en-US" w:eastAsia="zh-CN"/>
        </w:rPr>
        <w:t>（4）严格固体废物管理，不接触外界降水，使其不产生淋滤液，严防污染物泄漏到地下水中。</w:t>
      </w:r>
    </w:p>
    <w:p>
      <w:pPr>
        <w:pStyle w:val="33"/>
        <w:bidi w:val="0"/>
        <w:rPr>
          <w:rFonts w:hint="eastAsia"/>
          <w:color w:val="auto"/>
          <w:lang w:val="en-US" w:eastAsia="zh-CN"/>
        </w:rPr>
      </w:pPr>
      <w:r>
        <w:rPr>
          <w:rFonts w:hint="eastAsia"/>
          <w:color w:val="auto"/>
          <w:lang w:val="en-US" w:eastAsia="zh-CN"/>
        </w:rPr>
        <w:t>（5）优化排水系统设计，生产废水、生活污水等在厂界内收集后通过管线送至污水处理站处理。废水管道和工艺管道均进入空中管廊，只有生活污水、冲洗排水等走地下管道。</w:t>
      </w:r>
    </w:p>
    <w:p>
      <w:pPr>
        <w:pStyle w:val="33"/>
        <w:bidi w:val="0"/>
        <w:rPr>
          <w:rFonts w:hint="eastAsia"/>
          <w:color w:val="auto"/>
          <w:lang w:val="en-US" w:eastAsia="zh-CN"/>
        </w:rPr>
      </w:pPr>
      <w:r>
        <w:rPr>
          <w:rFonts w:hint="eastAsia"/>
          <w:color w:val="auto"/>
          <w:lang w:val="en-US" w:eastAsia="zh-CN"/>
        </w:rPr>
        <w:t>（6）项目各工段产生的生产废水及生活污水均在厂内处理，达到云溪区污水处理厂的接管标准及《石油化学工业污染物排放标准》(GB31571-2015)后，排入云溪区污水处理厂处理。</w:t>
      </w:r>
    </w:p>
    <w:p>
      <w:pPr>
        <w:pStyle w:val="33"/>
        <w:bidi w:val="0"/>
        <w:rPr>
          <w:rFonts w:hint="eastAsia"/>
          <w:b/>
          <w:bCs/>
          <w:color w:val="auto"/>
          <w:lang w:val="en-US" w:eastAsia="zh-CN"/>
        </w:rPr>
      </w:pPr>
      <w:r>
        <w:rPr>
          <w:rFonts w:hint="eastAsia"/>
          <w:b/>
          <w:bCs/>
          <w:color w:val="auto"/>
          <w:lang w:val="en-US" w:eastAsia="zh-CN"/>
        </w:rPr>
        <w:t>2、分区防控</w:t>
      </w:r>
    </w:p>
    <w:p>
      <w:pPr>
        <w:pStyle w:val="33"/>
        <w:bidi w:val="0"/>
        <w:rPr>
          <w:rFonts w:hint="eastAsia"/>
          <w:color w:val="auto"/>
          <w:lang w:val="en-US" w:eastAsia="zh-CN"/>
        </w:rPr>
      </w:pPr>
      <w:r>
        <w:rPr>
          <w:rFonts w:hint="eastAsia"/>
          <w:color w:val="auto"/>
          <w:lang w:val="en-US" w:eastAsia="zh-CN"/>
        </w:rPr>
        <w:t>（1）防渗分区划分</w:t>
      </w:r>
    </w:p>
    <w:p>
      <w:pPr>
        <w:pStyle w:val="33"/>
        <w:bidi w:val="0"/>
        <w:rPr>
          <w:rFonts w:hint="eastAsia"/>
          <w:color w:val="auto"/>
          <w:lang w:val="en-US" w:eastAsia="zh-CN"/>
        </w:rPr>
      </w:pPr>
      <w:r>
        <w:rPr>
          <w:rFonts w:hint="eastAsia"/>
          <w:color w:val="auto"/>
          <w:lang w:val="en-US" w:eastAsia="zh-CN"/>
        </w:rPr>
        <w:t>根据竣工环保验收报告及现场勘查，现有项目地下管道区、废水管道沟渠等，已采取的防渗措施，满足标准要求。</w:t>
      </w:r>
    </w:p>
    <w:p>
      <w:pPr>
        <w:pStyle w:val="33"/>
        <w:bidi w:val="0"/>
        <w:rPr>
          <w:rFonts w:hint="eastAsia"/>
          <w:color w:val="auto"/>
          <w:lang w:val="en-US" w:eastAsia="zh-CN"/>
        </w:rPr>
      </w:pPr>
      <w:r>
        <w:rPr>
          <w:rFonts w:hint="eastAsia"/>
          <w:color w:val="auto"/>
          <w:lang w:val="en-US" w:eastAsia="zh-CN"/>
        </w:rPr>
        <w:t>本项目针对可能对地下水造成影响的各环节，按照“考虑重点、辐射全面”的防腐防渗原则，参照《一般工业固体废物贮存、处置场污染控制标准》(GB18599-2001)及2013修改清单、《危险废物贮存污染控制标准》(GB18597-2001) 及2013修改清单等标准，将污染防治区划分为：</w:t>
      </w:r>
    </w:p>
    <w:p>
      <w:pPr>
        <w:pStyle w:val="33"/>
        <w:bidi w:val="0"/>
        <w:rPr>
          <w:rFonts w:hint="eastAsia"/>
          <w:color w:val="auto"/>
          <w:lang w:val="en-US" w:eastAsia="zh-CN"/>
        </w:rPr>
      </w:pPr>
      <w:r>
        <w:rPr>
          <w:rFonts w:hint="eastAsia"/>
          <w:color w:val="auto"/>
          <w:lang w:val="en-US" w:eastAsia="zh-CN"/>
        </w:rPr>
        <w:t>①简单防渗区：没有物料或污染物泄漏,不会对地下水环境造成污染的区域或部位；</w:t>
      </w:r>
    </w:p>
    <w:p>
      <w:pPr>
        <w:pStyle w:val="33"/>
        <w:bidi w:val="0"/>
        <w:rPr>
          <w:rFonts w:hint="eastAsia"/>
          <w:color w:val="auto"/>
          <w:lang w:val="en-US" w:eastAsia="zh-CN"/>
        </w:rPr>
      </w:pPr>
      <w:r>
        <w:rPr>
          <w:rFonts w:hint="eastAsia"/>
          <w:color w:val="auto"/>
          <w:lang w:val="en-US" w:eastAsia="zh-CN"/>
        </w:rPr>
        <w:t>②一般防渗区：裸露于地面的生产功能单元，污染地下水环境的物料或污染物泄漏后,可及时发现和处理的区域或部位:③重点防渗区:位于地下或半地下的生产功能单元，污染地下水环境的物料或污染物泄漏后，不易及时发现和处理的区域或部位。本项目防渗分区见表8.3-1。</w:t>
      </w:r>
    </w:p>
    <w:p>
      <w:pPr>
        <w:pStyle w:val="36"/>
        <w:bidi w:val="0"/>
        <w:rPr>
          <w:rFonts w:hint="eastAsia"/>
          <w:color w:val="auto"/>
          <w:lang w:val="en-US" w:eastAsia="zh-CN"/>
        </w:rPr>
      </w:pPr>
      <w:r>
        <w:rPr>
          <w:rFonts w:hint="eastAsia"/>
          <w:color w:val="auto"/>
          <w:lang w:val="en-US" w:eastAsia="zh-CN"/>
        </w:rPr>
        <w:t>表8.3-1本项目地下水污染防渗分区情况</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3944"/>
        <w:gridCol w:w="2380"/>
        <w:gridCol w:w="2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6"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序号</w:t>
            </w:r>
          </w:p>
        </w:tc>
        <w:tc>
          <w:tcPr>
            <w:tcW w:w="207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车间名称</w:t>
            </w:r>
          </w:p>
        </w:tc>
        <w:tc>
          <w:tcPr>
            <w:tcW w:w="1250"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分区类别</w:t>
            </w:r>
          </w:p>
        </w:tc>
        <w:tc>
          <w:tcPr>
            <w:tcW w:w="1250"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防渗要求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8" w:hRule="atLeast"/>
        </w:trPr>
        <w:tc>
          <w:tcPr>
            <w:tcW w:w="426"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1</w:t>
            </w:r>
          </w:p>
        </w:tc>
        <w:tc>
          <w:tcPr>
            <w:tcW w:w="207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办公楼、综合楼</w:t>
            </w:r>
          </w:p>
        </w:tc>
        <w:tc>
          <w:tcPr>
            <w:tcW w:w="1250"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简单防渗区</w:t>
            </w:r>
          </w:p>
        </w:tc>
        <w:tc>
          <w:tcPr>
            <w:tcW w:w="1250"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地面混凝土硬化并作防水处理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6"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2</w:t>
            </w:r>
          </w:p>
        </w:tc>
        <w:tc>
          <w:tcPr>
            <w:tcW w:w="207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机修间、配电房等</w:t>
            </w:r>
          </w:p>
        </w:tc>
        <w:tc>
          <w:tcPr>
            <w:tcW w:w="1250"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一般防渗区</w:t>
            </w:r>
          </w:p>
        </w:tc>
        <w:tc>
          <w:tcPr>
            <w:tcW w:w="1250"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等效黏土防渗层Mb≥1.5m，渗透系数</w:t>
            </w:r>
          </w:p>
          <w:p>
            <w:pPr>
              <w:pStyle w:val="35"/>
              <w:bidi w:val="0"/>
              <w:jc w:val="center"/>
              <w:rPr>
                <w:rFonts w:hint="eastAsia"/>
                <w:color w:val="auto"/>
                <w:lang w:val="en-US" w:eastAsia="zh-CN"/>
              </w:rPr>
            </w:pPr>
            <w:r>
              <w:rPr>
                <w:rFonts w:hint="eastAsia"/>
                <w:color w:val="auto"/>
                <w:lang w:val="en-US" w:eastAsia="zh-CN"/>
              </w:rPr>
              <w:t>K≤1x10</w:t>
            </w:r>
            <w:r>
              <w:rPr>
                <w:rFonts w:hint="eastAsia"/>
                <w:color w:val="auto"/>
                <w:vertAlign w:val="superscript"/>
                <w:lang w:val="en-US" w:eastAsia="zh-CN"/>
              </w:rPr>
              <w:t>-7</w:t>
            </w:r>
            <w:r>
              <w:rPr>
                <w:rFonts w:hint="eastAsia"/>
                <w:color w:val="auto"/>
                <w:lang w:val="en-US" w:eastAsia="zh-CN"/>
              </w:rPr>
              <w:t>cm/s；或参照GB16889执行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6"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3</w:t>
            </w:r>
          </w:p>
        </w:tc>
        <w:tc>
          <w:tcPr>
            <w:tcW w:w="207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生产车间</w:t>
            </w:r>
          </w:p>
        </w:tc>
        <w:tc>
          <w:tcPr>
            <w:tcW w:w="1250" w:type="pct"/>
            <w:vMerge w:val="restar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重点防渗区</w:t>
            </w:r>
          </w:p>
        </w:tc>
        <w:tc>
          <w:tcPr>
            <w:tcW w:w="1250" w:type="pct"/>
            <w:vMerge w:val="restart"/>
            <w:tcBorders>
              <w:tl2br w:val="nil"/>
              <w:tr2bl w:val="nil"/>
            </w:tcBorders>
            <w:noWrap w:val="0"/>
            <w:vAlign w:val="center"/>
          </w:tcPr>
          <w:p>
            <w:pPr>
              <w:pStyle w:val="35"/>
              <w:bidi w:val="0"/>
              <w:jc w:val="center"/>
              <w:rPr>
                <w:rFonts w:hint="eastAsia"/>
                <w:color w:val="auto"/>
              </w:rPr>
            </w:pPr>
            <w:r>
              <w:rPr>
                <w:rFonts w:hint="eastAsia"/>
                <w:color w:val="auto"/>
              </w:rPr>
              <w:t>等效黏土防渗层Mb≥6.0m，渗透系数</w:t>
            </w:r>
          </w:p>
          <w:p>
            <w:pPr>
              <w:pStyle w:val="35"/>
              <w:bidi w:val="0"/>
              <w:jc w:val="center"/>
              <w:rPr>
                <w:rFonts w:hint="eastAsia"/>
                <w:color w:val="auto"/>
                <w:lang w:val="en-US" w:eastAsia="zh-CN"/>
              </w:rPr>
            </w:pPr>
            <w:r>
              <w:rPr>
                <w:rFonts w:hint="eastAsia"/>
                <w:color w:val="auto"/>
              </w:rPr>
              <w:t>Ks1x10</w:t>
            </w:r>
            <w:r>
              <w:rPr>
                <w:rFonts w:hint="eastAsia"/>
                <w:color w:val="auto"/>
                <w:vertAlign w:val="superscript"/>
              </w:rPr>
              <w:t>-7</w:t>
            </w:r>
            <w:r>
              <w:rPr>
                <w:rFonts w:hint="eastAsia"/>
                <w:color w:val="auto"/>
              </w:rPr>
              <w:t>cm/s</w:t>
            </w:r>
            <w:r>
              <w:rPr>
                <w:rFonts w:hint="eastAsia"/>
                <w:color w:val="auto"/>
                <w:lang w:eastAsia="zh-CN"/>
              </w:rPr>
              <w:t>；</w:t>
            </w:r>
            <w:r>
              <w:rPr>
                <w:rFonts w:hint="eastAsia"/>
                <w:color w:val="auto"/>
                <w:lang w:val="en-US" w:eastAsia="zh-CN"/>
              </w:rPr>
              <w:t>或参照GB16889执行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6" w:type="pct"/>
            <w:tcBorders>
              <w:tl2br w:val="nil"/>
              <w:tr2bl w:val="nil"/>
            </w:tcBorders>
            <w:noWrap w:val="0"/>
            <w:vAlign w:val="center"/>
          </w:tcPr>
          <w:p>
            <w:pPr>
              <w:pStyle w:val="35"/>
              <w:bidi w:val="0"/>
              <w:jc w:val="center"/>
              <w:rPr>
                <w:rFonts w:hint="eastAsia"/>
                <w:color w:val="auto"/>
                <w:lang w:val="en-US" w:eastAsia="zh-CN"/>
              </w:rPr>
            </w:pPr>
            <w:r>
              <w:rPr>
                <w:rFonts w:hint="eastAsia"/>
                <w:color w:val="auto"/>
                <w:lang w:val="en-US" w:eastAsia="zh-CN"/>
              </w:rPr>
              <w:t>4</w:t>
            </w:r>
          </w:p>
        </w:tc>
        <w:tc>
          <w:tcPr>
            <w:tcW w:w="207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储罐区</w:t>
            </w:r>
          </w:p>
        </w:tc>
        <w:tc>
          <w:tcPr>
            <w:tcW w:w="1250" w:type="pct"/>
            <w:vMerge w:val="continue"/>
            <w:tcBorders>
              <w:tl2br w:val="nil"/>
              <w:tr2bl w:val="nil"/>
            </w:tcBorders>
            <w:noWrap w:val="0"/>
            <w:vAlign w:val="center"/>
          </w:tcPr>
          <w:p>
            <w:pPr>
              <w:pStyle w:val="35"/>
              <w:bidi w:val="0"/>
              <w:jc w:val="center"/>
              <w:rPr>
                <w:rFonts w:hint="eastAsia"/>
                <w:color w:val="auto"/>
                <w:lang w:val="en-US" w:eastAsia="zh-CN"/>
              </w:rPr>
            </w:pPr>
          </w:p>
        </w:tc>
        <w:tc>
          <w:tcPr>
            <w:tcW w:w="1250" w:type="pct"/>
            <w:vMerge w:val="continue"/>
            <w:tcBorders>
              <w:tl2br w:val="nil"/>
              <w:tr2bl w:val="nil"/>
            </w:tcBorders>
            <w:noWrap w:val="0"/>
            <w:vAlign w:val="center"/>
          </w:tcPr>
          <w:p>
            <w:pPr>
              <w:pStyle w:val="35"/>
              <w:bidi w:val="0"/>
              <w:jc w:val="center"/>
              <w:rPr>
                <w:rFonts w:hint="eastAsia"/>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6"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5</w:t>
            </w:r>
          </w:p>
        </w:tc>
        <w:tc>
          <w:tcPr>
            <w:tcW w:w="207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污水处理站</w:t>
            </w:r>
          </w:p>
        </w:tc>
        <w:tc>
          <w:tcPr>
            <w:tcW w:w="1250" w:type="pct"/>
            <w:vMerge w:val="continue"/>
            <w:tcBorders>
              <w:tl2br w:val="nil"/>
              <w:tr2bl w:val="nil"/>
            </w:tcBorders>
            <w:noWrap w:val="0"/>
            <w:vAlign w:val="center"/>
          </w:tcPr>
          <w:p>
            <w:pPr>
              <w:pStyle w:val="35"/>
              <w:bidi w:val="0"/>
              <w:jc w:val="center"/>
              <w:rPr>
                <w:rFonts w:hint="eastAsia"/>
                <w:color w:val="auto"/>
                <w:lang w:val="en-US" w:eastAsia="zh-CN"/>
              </w:rPr>
            </w:pPr>
          </w:p>
        </w:tc>
        <w:tc>
          <w:tcPr>
            <w:tcW w:w="1250" w:type="pct"/>
            <w:vMerge w:val="continue"/>
            <w:tcBorders>
              <w:tl2br w:val="nil"/>
              <w:tr2bl w:val="nil"/>
            </w:tcBorders>
            <w:noWrap w:val="0"/>
            <w:vAlign w:val="center"/>
          </w:tcPr>
          <w:p>
            <w:pPr>
              <w:pStyle w:val="35"/>
              <w:bidi w:val="0"/>
              <w:jc w:val="center"/>
              <w:rPr>
                <w:rFonts w:hint="eastAsia"/>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6"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6</w:t>
            </w:r>
          </w:p>
        </w:tc>
        <w:tc>
          <w:tcPr>
            <w:tcW w:w="2072" w:type="pct"/>
            <w:tcBorders>
              <w:tl2br w:val="nil"/>
              <w:tr2bl w:val="nil"/>
            </w:tcBorders>
            <w:noWrap w:val="0"/>
            <w:vAlign w:val="center"/>
          </w:tcPr>
          <w:p>
            <w:pPr>
              <w:pStyle w:val="35"/>
              <w:bidi w:val="0"/>
              <w:jc w:val="center"/>
              <w:rPr>
                <w:rFonts w:hint="default"/>
                <w:color w:val="auto"/>
                <w:lang w:val="en-US" w:eastAsia="zh-CN"/>
              </w:rPr>
            </w:pPr>
            <w:r>
              <w:rPr>
                <w:rFonts w:hint="eastAsia"/>
                <w:color w:val="auto"/>
                <w:lang w:val="en-US" w:eastAsia="zh-CN"/>
              </w:rPr>
              <w:t>危险废物暂存间</w:t>
            </w:r>
          </w:p>
        </w:tc>
        <w:tc>
          <w:tcPr>
            <w:tcW w:w="1250" w:type="pct"/>
            <w:vMerge w:val="continue"/>
            <w:tcBorders>
              <w:tl2br w:val="nil"/>
              <w:tr2bl w:val="nil"/>
            </w:tcBorders>
            <w:noWrap w:val="0"/>
            <w:vAlign w:val="center"/>
          </w:tcPr>
          <w:p>
            <w:pPr>
              <w:pStyle w:val="35"/>
              <w:bidi w:val="0"/>
              <w:jc w:val="center"/>
              <w:rPr>
                <w:rFonts w:hint="eastAsia"/>
                <w:color w:val="auto"/>
                <w:lang w:val="en-US" w:eastAsia="zh-CN"/>
              </w:rPr>
            </w:pPr>
          </w:p>
        </w:tc>
        <w:tc>
          <w:tcPr>
            <w:tcW w:w="1250" w:type="pct"/>
            <w:vMerge w:val="continue"/>
            <w:tcBorders>
              <w:tl2br w:val="nil"/>
              <w:tr2bl w:val="nil"/>
            </w:tcBorders>
            <w:noWrap w:val="0"/>
            <w:vAlign w:val="center"/>
          </w:tcPr>
          <w:p>
            <w:pPr>
              <w:pStyle w:val="35"/>
              <w:bidi w:val="0"/>
              <w:jc w:val="center"/>
              <w:rPr>
                <w:rFonts w:hint="eastAsia"/>
                <w:color w:val="auto"/>
                <w:lang w:val="en-US" w:eastAsia="zh-CN"/>
              </w:rPr>
            </w:pPr>
          </w:p>
        </w:tc>
      </w:tr>
    </w:tbl>
    <w:p>
      <w:pPr>
        <w:pStyle w:val="33"/>
        <w:bidi w:val="0"/>
        <w:rPr>
          <w:rFonts w:hint="eastAsia"/>
          <w:color w:val="auto"/>
          <w:lang w:val="en-US" w:eastAsia="zh-CN"/>
        </w:rPr>
      </w:pPr>
      <w:r>
        <w:rPr>
          <w:rFonts w:hint="eastAsia"/>
          <w:color w:val="auto"/>
          <w:lang w:val="en-US" w:eastAsia="zh-CN"/>
        </w:rPr>
        <w:t>（2）分区防控措施</w:t>
      </w:r>
    </w:p>
    <w:p>
      <w:pPr>
        <w:pStyle w:val="33"/>
        <w:bidi w:val="0"/>
        <w:rPr>
          <w:rFonts w:hint="eastAsia"/>
          <w:color w:val="auto"/>
          <w:lang w:val="en-US" w:eastAsia="zh-CN"/>
        </w:rPr>
      </w:pPr>
      <w:r>
        <w:rPr>
          <w:rFonts w:hint="eastAsia"/>
          <w:color w:val="auto"/>
          <w:lang w:val="en-US" w:eastAsia="zh-CN"/>
        </w:rPr>
        <w:t>针对不同的防渗、防腐区域采用下列不同的措施，在具体设计中应根据实际情况在满足标准的前提下做必要的调整。</w:t>
      </w:r>
    </w:p>
    <w:p>
      <w:pPr>
        <w:pStyle w:val="33"/>
        <w:bidi w:val="0"/>
        <w:rPr>
          <w:rFonts w:hint="eastAsia"/>
          <w:color w:val="auto"/>
          <w:lang w:val="en-US" w:eastAsia="zh-CN"/>
        </w:rPr>
      </w:pPr>
      <w:r>
        <w:rPr>
          <w:rFonts w:hint="eastAsia"/>
          <w:color w:val="auto"/>
          <w:lang w:val="en-US" w:eastAsia="zh-CN"/>
        </w:rPr>
        <w:t>防渗工程的设计使用年限宜按50年进行设计。污染防治区应设置防渗层，防渗层的渗透系数不应大于1.0x10</w:t>
      </w:r>
      <w:r>
        <w:rPr>
          <w:rFonts w:hint="eastAsia"/>
          <w:color w:val="auto"/>
          <w:vertAlign w:val="superscript"/>
          <w:lang w:val="en-US" w:eastAsia="zh-CN"/>
        </w:rPr>
        <w:t>-7</w:t>
      </w:r>
      <w:r>
        <w:rPr>
          <w:rFonts w:hint="eastAsia"/>
          <w:color w:val="auto"/>
          <w:lang w:val="en-US" w:eastAsia="zh-CN"/>
        </w:rPr>
        <w:t>cm/s。一般污染防治区的防渗性能应与1.5m厚粘土层(渗透系数1.0x10</w:t>
      </w:r>
      <w:r>
        <w:rPr>
          <w:rFonts w:hint="eastAsia"/>
          <w:color w:val="auto"/>
          <w:vertAlign w:val="superscript"/>
          <w:lang w:val="en-US" w:eastAsia="zh-CN"/>
        </w:rPr>
        <w:t>-7</w:t>
      </w:r>
      <w:r>
        <w:rPr>
          <w:rFonts w:hint="eastAsia"/>
          <w:color w:val="auto"/>
          <w:lang w:val="en-US" w:eastAsia="zh-CN"/>
        </w:rPr>
        <w:t>cm/s)等效；重点污染防治区的防渗性能应与6.0m厚粘土层(渗透系数1.0x10</w:t>
      </w:r>
      <w:r>
        <w:rPr>
          <w:rFonts w:hint="eastAsia"/>
          <w:color w:val="auto"/>
          <w:vertAlign w:val="superscript"/>
          <w:lang w:val="en-US" w:eastAsia="zh-CN"/>
        </w:rPr>
        <w:t>-7</w:t>
      </w:r>
      <w:r>
        <w:rPr>
          <w:rFonts w:hint="eastAsia"/>
          <w:color w:val="auto"/>
          <w:lang w:val="en-US" w:eastAsia="zh-CN"/>
        </w:rPr>
        <w:t>cm/s)等效。地面防渗方案可采用粘土防渗、混凝土防渗、HDPE膜防渗和钠基膨润土防水毯防渗层。地下污水管道防渗宜采用抗渗钢筋混凝土管沟或HDPE膜防渗层，还应设置地下污水管道渗漏液收集系统以收集防渗层上的泄漏液体。</w:t>
      </w:r>
    </w:p>
    <w:p>
      <w:pPr>
        <w:pStyle w:val="33"/>
        <w:bidi w:val="0"/>
        <w:rPr>
          <w:rFonts w:hint="eastAsia"/>
          <w:color w:val="auto"/>
          <w:lang w:val="en-US" w:eastAsia="zh-CN"/>
        </w:rPr>
      </w:pPr>
      <w:r>
        <w:rPr>
          <w:rFonts w:hint="eastAsia"/>
          <w:color w:val="auto"/>
          <w:lang w:val="en-US" w:eastAsia="zh-CN"/>
        </w:rPr>
        <w:t>本项目防渗工程污染防治具体防渗区域及部位建议参考《危险废物贮存污染控制标准》(GB18597-2001)与《一般工业固体废弃物贮存、处置场所污染物控制标准》(GB18599-2001)。本项目危险废物处置过程均必须按照《危险废物贮存污染控制标准》(GB18597-2001)和《危险废物填埋污染控制标准》(GB18598-2001)进行专门处置，避免发生事故污染。</w:t>
      </w:r>
    </w:p>
    <w:p>
      <w:pPr>
        <w:pStyle w:val="31"/>
        <w:bidi w:val="0"/>
        <w:rPr>
          <w:rFonts w:hint="eastAsia"/>
          <w:color w:val="auto"/>
          <w:lang w:val="en-US" w:eastAsia="zh-CN"/>
        </w:rPr>
      </w:pPr>
      <w:bookmarkStart w:id="221" w:name="_Toc16314"/>
      <w:bookmarkStart w:id="222" w:name="_Toc22200"/>
      <w:r>
        <w:rPr>
          <w:rFonts w:hint="eastAsia"/>
          <w:color w:val="auto"/>
          <w:lang w:val="en-US" w:eastAsia="zh-CN"/>
        </w:rPr>
        <w:t>8.4运营期噪声污染防治措施</w:t>
      </w:r>
      <w:bookmarkEnd w:id="221"/>
      <w:bookmarkEnd w:id="222"/>
    </w:p>
    <w:p>
      <w:pPr>
        <w:pStyle w:val="33"/>
        <w:bidi w:val="0"/>
        <w:rPr>
          <w:rFonts w:hint="eastAsia"/>
          <w:color w:val="auto"/>
          <w:lang w:val="en-US" w:eastAsia="zh-CN"/>
        </w:rPr>
      </w:pPr>
      <w:r>
        <w:rPr>
          <w:rFonts w:hint="eastAsia"/>
          <w:color w:val="auto"/>
          <w:lang w:val="en-US" w:eastAsia="zh-CN"/>
        </w:rPr>
        <w:t>工程主要噪声源为反应釜、管道泵、风机等发出的噪声，噪声值估计在75~85dB(A)之间。设计时尽量选用低噪声设备，采取隔声减振措施，高噪声设备均安置在室内，通过设备减振、厂房隔声、消声等措施能较好地降低噪声向外环境的辐射量，具体防治措施如下：</w:t>
      </w:r>
    </w:p>
    <w:p>
      <w:pPr>
        <w:pStyle w:val="33"/>
        <w:bidi w:val="0"/>
        <w:rPr>
          <w:rFonts w:hint="eastAsia"/>
          <w:color w:val="auto"/>
          <w:lang w:val="en-US" w:eastAsia="zh-CN"/>
        </w:rPr>
      </w:pPr>
      <w:r>
        <w:rPr>
          <w:rFonts w:hint="eastAsia"/>
          <w:color w:val="auto"/>
          <w:lang w:val="en-US" w:eastAsia="zh-CN"/>
        </w:rPr>
        <w:t>（1）控制设备噪声</w:t>
      </w:r>
    </w:p>
    <w:p>
      <w:pPr>
        <w:pStyle w:val="33"/>
        <w:bidi w:val="0"/>
        <w:rPr>
          <w:rFonts w:hint="eastAsia"/>
          <w:color w:val="auto"/>
          <w:lang w:val="en-US" w:eastAsia="zh-CN"/>
        </w:rPr>
      </w:pPr>
      <w:r>
        <w:rPr>
          <w:rFonts w:hint="eastAsia"/>
          <w:color w:val="auto"/>
          <w:lang w:val="en-US" w:eastAsia="zh-CN"/>
        </w:rPr>
        <w:t>在设备选型时选用先进的低噪声设备，在满足工艺设计的前提下，尽量选用满足国际标准的低噪声、低振动型号的设备，降低噪声源强。</w:t>
      </w:r>
    </w:p>
    <w:p>
      <w:pPr>
        <w:pStyle w:val="33"/>
        <w:bidi w:val="0"/>
        <w:rPr>
          <w:rFonts w:hint="eastAsia"/>
          <w:color w:val="auto"/>
          <w:lang w:val="en-US" w:eastAsia="zh-CN"/>
        </w:rPr>
      </w:pPr>
      <w:r>
        <w:rPr>
          <w:rFonts w:hint="eastAsia"/>
          <w:color w:val="auto"/>
          <w:lang w:val="en-US" w:eastAsia="zh-CN"/>
        </w:rPr>
        <w:t>（2）设备减振、消声</w:t>
      </w:r>
    </w:p>
    <w:p>
      <w:pPr>
        <w:pStyle w:val="33"/>
        <w:bidi w:val="0"/>
        <w:rPr>
          <w:rFonts w:hint="eastAsia"/>
          <w:color w:val="auto"/>
          <w:lang w:val="en-US" w:eastAsia="zh-CN"/>
        </w:rPr>
      </w:pPr>
      <w:r>
        <w:rPr>
          <w:rFonts w:hint="eastAsia"/>
          <w:color w:val="auto"/>
          <w:lang w:val="en-US" w:eastAsia="zh-CN"/>
        </w:rPr>
        <w:t>对各类风机的进、出口处安装阻性消声器，并在机组与地基之间安置减震器，在风机与排气简之间设置软连接，对风机采取配套的通风散热装置设置消声器，对排气简设置排气消声器，可降噪15dB(A)以上。</w:t>
      </w:r>
    </w:p>
    <w:p>
      <w:pPr>
        <w:pStyle w:val="33"/>
        <w:bidi w:val="0"/>
        <w:rPr>
          <w:rFonts w:hint="eastAsia"/>
          <w:color w:val="auto"/>
          <w:lang w:val="en-US" w:eastAsia="zh-CN"/>
        </w:rPr>
      </w:pPr>
      <w:r>
        <w:rPr>
          <w:rFonts w:hint="eastAsia"/>
          <w:color w:val="auto"/>
          <w:lang w:val="en-US" w:eastAsia="zh-CN"/>
        </w:rPr>
        <w:t>（3）强化生产管理</w:t>
      </w:r>
    </w:p>
    <w:p>
      <w:pPr>
        <w:pStyle w:val="33"/>
        <w:bidi w:val="0"/>
        <w:rPr>
          <w:rFonts w:hint="eastAsia"/>
          <w:color w:val="auto"/>
          <w:lang w:val="en-US" w:eastAsia="zh-CN"/>
        </w:rPr>
      </w:pPr>
      <w:r>
        <w:rPr>
          <w:rFonts w:hint="eastAsia"/>
          <w:color w:val="auto"/>
          <w:lang w:val="en-US" w:eastAsia="zh-CN"/>
        </w:rPr>
        <w:t>确保各类降噪措施有效运行，加强设备的维护，确保各设备均保持良好运行状态，杜绝因设备不正常运转时产生的高噪声现象；加强职工环保意识教育，提倡文明生产，防止人为噪声，加强管理，防止突发噪声。</w:t>
      </w:r>
    </w:p>
    <w:p>
      <w:pPr>
        <w:pStyle w:val="33"/>
        <w:bidi w:val="0"/>
        <w:rPr>
          <w:rFonts w:hint="eastAsia"/>
          <w:color w:val="auto"/>
          <w:lang w:val="en-US" w:eastAsia="zh-CN"/>
        </w:rPr>
      </w:pPr>
      <w:r>
        <w:rPr>
          <w:rFonts w:hint="eastAsia"/>
          <w:color w:val="auto"/>
          <w:lang w:val="en-US" w:eastAsia="zh-CN"/>
        </w:rPr>
        <w:t>（4）合理布局</w:t>
      </w:r>
    </w:p>
    <w:p>
      <w:pPr>
        <w:pStyle w:val="33"/>
        <w:bidi w:val="0"/>
        <w:rPr>
          <w:rFonts w:hint="eastAsia"/>
          <w:color w:val="auto"/>
          <w:lang w:val="en-US" w:eastAsia="zh-CN"/>
        </w:rPr>
      </w:pPr>
      <w:r>
        <w:rPr>
          <w:rFonts w:hint="eastAsia"/>
          <w:color w:val="auto"/>
          <w:lang w:val="en-US" w:eastAsia="zh-CN"/>
        </w:rPr>
        <w:t>在厂区总图布置中尽可能将高噪声布置在车间及厂区中央，其它噪声源亦尽可能远离厂界，以减轻对外界环境的影响。纵观全厂平面布局，厂区平面布置较合理。</w:t>
      </w:r>
    </w:p>
    <w:p>
      <w:pPr>
        <w:pStyle w:val="33"/>
        <w:bidi w:val="0"/>
        <w:rPr>
          <w:rFonts w:hint="eastAsia"/>
          <w:color w:val="auto"/>
          <w:lang w:val="en-US" w:eastAsia="zh-CN"/>
        </w:rPr>
      </w:pPr>
      <w:r>
        <w:rPr>
          <w:rFonts w:hint="eastAsia"/>
          <w:color w:val="auto"/>
          <w:lang w:val="en-US" w:eastAsia="zh-CN"/>
        </w:rPr>
        <w:t>（5）项远离居民点，由于相距较远，拟建项目噪声对周边居民的影响较小。</w:t>
      </w:r>
    </w:p>
    <w:p>
      <w:pPr>
        <w:pStyle w:val="33"/>
        <w:bidi w:val="0"/>
        <w:rPr>
          <w:rFonts w:hint="eastAsia"/>
          <w:color w:val="auto"/>
          <w:lang w:val="en-US" w:eastAsia="zh-CN"/>
        </w:rPr>
      </w:pPr>
      <w:r>
        <w:rPr>
          <w:rFonts w:hint="eastAsia"/>
          <w:color w:val="auto"/>
          <w:lang w:val="en-US" w:eastAsia="zh-CN"/>
        </w:rPr>
        <w:t>声环境影响评价结果表明，在采取以上措施后，厂界昼夜间噪声均满足标准要求。根据现场调查，项目建设厂址周围为工业区用地，不存在噪声扰民的现象。因此，评价认为，拟建项目采用的噪声防治措施是可行的。</w:t>
      </w:r>
    </w:p>
    <w:p>
      <w:pPr>
        <w:pStyle w:val="31"/>
        <w:bidi w:val="0"/>
        <w:rPr>
          <w:rFonts w:hint="eastAsia"/>
          <w:color w:val="auto"/>
          <w:lang w:val="en-US" w:eastAsia="zh-CN"/>
        </w:rPr>
      </w:pPr>
      <w:bookmarkStart w:id="223" w:name="_Toc11897"/>
      <w:bookmarkStart w:id="224" w:name="_Toc11216"/>
      <w:r>
        <w:rPr>
          <w:rFonts w:hint="eastAsia"/>
          <w:color w:val="auto"/>
          <w:lang w:val="en-US" w:eastAsia="zh-CN"/>
        </w:rPr>
        <w:t>8.5运营期固体废物处置措施</w:t>
      </w:r>
      <w:bookmarkEnd w:id="223"/>
      <w:bookmarkEnd w:id="224"/>
    </w:p>
    <w:p>
      <w:pPr>
        <w:pStyle w:val="33"/>
        <w:bidi w:val="0"/>
        <w:rPr>
          <w:rFonts w:hint="eastAsia"/>
          <w:b/>
          <w:bCs/>
          <w:color w:val="auto"/>
          <w:lang w:val="en-US" w:eastAsia="zh-CN"/>
        </w:rPr>
      </w:pPr>
      <w:r>
        <w:rPr>
          <w:rFonts w:hint="eastAsia"/>
          <w:b/>
          <w:bCs/>
          <w:color w:val="auto"/>
          <w:lang w:val="en-US" w:eastAsia="zh-CN"/>
        </w:rPr>
        <w:t>1、固废产生、处置情况</w:t>
      </w:r>
    </w:p>
    <w:p>
      <w:pPr>
        <w:pStyle w:val="33"/>
        <w:tabs>
          <w:tab w:val="left" w:pos="839"/>
        </w:tabs>
        <w:bidi w:val="0"/>
        <w:ind w:left="0" w:leftChars="0" w:firstLine="480" w:firstLineChars="200"/>
        <w:rPr>
          <w:rFonts w:hint="eastAsia"/>
          <w:color w:val="auto"/>
        </w:rPr>
      </w:pPr>
      <w:r>
        <w:rPr>
          <w:rFonts w:hint="eastAsia"/>
          <w:color w:val="auto"/>
        </w:rPr>
        <w:t>拟建项目运营期间产生的固体废物主要有精馏釜残、废</w:t>
      </w:r>
      <w:r>
        <w:rPr>
          <w:rFonts w:hint="eastAsia"/>
          <w:color w:val="auto"/>
          <w:lang w:val="en-US" w:eastAsia="zh-CN"/>
        </w:rPr>
        <w:t>活性炭</w:t>
      </w:r>
      <w:r>
        <w:rPr>
          <w:rFonts w:hint="eastAsia"/>
          <w:color w:val="auto"/>
        </w:rPr>
        <w:t>和</w:t>
      </w:r>
      <w:r>
        <w:rPr>
          <w:rFonts w:hint="eastAsia"/>
          <w:color w:val="auto"/>
          <w:lang w:val="en-US" w:eastAsia="zh-CN"/>
        </w:rPr>
        <w:t>废</w:t>
      </w:r>
      <w:r>
        <w:rPr>
          <w:rFonts w:hint="eastAsia"/>
          <w:color w:val="auto"/>
        </w:rPr>
        <w:t>离子交换树脂、</w:t>
      </w:r>
      <w:r>
        <w:rPr>
          <w:rFonts w:hint="eastAsia"/>
          <w:color w:val="auto"/>
          <w:lang w:val="en-US" w:eastAsia="zh-CN"/>
        </w:rPr>
        <w:t>废包装桶、</w:t>
      </w:r>
      <w:r>
        <w:rPr>
          <w:rFonts w:hint="eastAsia"/>
          <w:color w:val="auto"/>
        </w:rPr>
        <w:t>生活垃圾等。</w:t>
      </w:r>
    </w:p>
    <w:p>
      <w:pPr>
        <w:pStyle w:val="33"/>
        <w:tabs>
          <w:tab w:val="left" w:pos="839"/>
        </w:tabs>
        <w:bidi w:val="0"/>
        <w:ind w:left="0" w:leftChars="0" w:firstLine="480" w:firstLineChars="200"/>
        <w:rPr>
          <w:rFonts w:hint="eastAsia"/>
          <w:color w:val="auto"/>
          <w:lang w:val="en-US" w:eastAsia="zh-CN"/>
        </w:rPr>
      </w:pPr>
      <w:r>
        <w:rPr>
          <w:rFonts w:hint="eastAsia"/>
          <w:color w:val="auto"/>
          <w:lang w:val="en-US" w:eastAsia="zh-CN"/>
        </w:rPr>
        <w:t>（1）危险废物</w:t>
      </w:r>
    </w:p>
    <w:p>
      <w:pPr>
        <w:pStyle w:val="33"/>
        <w:bidi w:val="0"/>
        <w:rPr>
          <w:rFonts w:hint="eastAsia"/>
          <w:color w:val="auto"/>
          <w:lang w:val="en-US" w:eastAsia="zh-CN"/>
        </w:rPr>
      </w:pPr>
      <w:r>
        <w:rPr>
          <w:rFonts w:hint="eastAsia"/>
          <w:color w:val="auto"/>
          <w:lang w:val="en-US" w:eastAsia="zh-CN"/>
        </w:rPr>
        <w:t>本项目产生的危险废物包括反应</w:t>
      </w:r>
      <w:r>
        <w:rPr>
          <w:rFonts w:hint="eastAsia"/>
          <w:color w:val="auto"/>
        </w:rPr>
        <w:t>釜残</w:t>
      </w:r>
      <w:r>
        <w:rPr>
          <w:rFonts w:hint="eastAsia"/>
          <w:color w:val="auto"/>
          <w:lang w:val="en-US" w:eastAsia="zh-CN"/>
        </w:rPr>
        <w:t>（危险废物编号HW11）、废树脂（危险废物编号HW13）和废活性炭（危险废物编号HW49）。本项目建成后</w:t>
      </w:r>
      <w:r>
        <w:rPr>
          <w:rFonts w:hint="eastAsia"/>
          <w:color w:val="auto"/>
        </w:rPr>
        <w:t>釜残</w:t>
      </w:r>
      <w:r>
        <w:rPr>
          <w:rFonts w:hint="eastAsia"/>
          <w:color w:val="auto"/>
          <w:lang w:val="en-US" w:eastAsia="zh-CN"/>
        </w:rPr>
        <w:t>产生量为1.2t/a、废树脂0.5t/a，废活性炭89.4t/a。在厂区危废暂存间暂存后，委托有资质的单位进行处理。</w:t>
      </w:r>
    </w:p>
    <w:p>
      <w:pPr>
        <w:pStyle w:val="33"/>
        <w:bidi w:val="0"/>
        <w:rPr>
          <w:rFonts w:hint="eastAsia"/>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废包装桶</w:t>
      </w:r>
    </w:p>
    <w:p>
      <w:pPr>
        <w:pStyle w:val="33"/>
        <w:bidi w:val="0"/>
        <w:rPr>
          <w:rFonts w:hint="default"/>
          <w:color w:val="auto"/>
          <w:lang w:val="en-US" w:eastAsia="zh-CN"/>
        </w:rPr>
      </w:pPr>
      <w:r>
        <w:rPr>
          <w:rFonts w:hint="eastAsia"/>
          <w:color w:val="auto"/>
          <w:lang w:eastAsia="zh-CN"/>
        </w:rPr>
        <w:t>空原料桶收集、堆存于原料仓库分出空桶区，定期由原料供应商回收重复利用，厂区内不设洗桶工序。</w:t>
      </w:r>
    </w:p>
    <w:p>
      <w:pPr>
        <w:pStyle w:val="33"/>
        <w:bidi w:val="0"/>
        <w:rPr>
          <w:rFonts w:hint="eastAsia"/>
          <w:color w:val="auto"/>
          <w:lang w:val="en-US" w:eastAsia="zh-CN"/>
        </w:rPr>
      </w:pPr>
      <w:r>
        <w:rPr>
          <w:rFonts w:hint="eastAsia"/>
          <w:color w:val="auto"/>
          <w:lang w:val="en-US" w:eastAsia="zh-CN"/>
        </w:rPr>
        <w:t>（3）生活垃圾</w:t>
      </w:r>
    </w:p>
    <w:p>
      <w:pPr>
        <w:pStyle w:val="33"/>
        <w:bidi w:val="0"/>
        <w:rPr>
          <w:rFonts w:hint="eastAsia"/>
          <w:color w:val="auto"/>
          <w:lang w:val="en-US" w:eastAsia="zh-CN"/>
        </w:rPr>
      </w:pPr>
      <w:r>
        <w:rPr>
          <w:rFonts w:hint="eastAsia"/>
          <w:color w:val="auto"/>
          <w:lang w:val="en-US" w:eastAsia="zh-CN"/>
        </w:rPr>
        <w:t>本次技改项目生活垃圾产生量为3.96t/a，厂区收集后定期交由环卫部门处理。</w:t>
      </w:r>
    </w:p>
    <w:p>
      <w:pPr>
        <w:pStyle w:val="33"/>
        <w:bidi w:val="0"/>
        <w:rPr>
          <w:rFonts w:hint="eastAsia"/>
          <w:color w:val="auto"/>
          <w:lang w:val="en-US" w:eastAsia="zh-CN"/>
        </w:rPr>
      </w:pPr>
      <w:r>
        <w:rPr>
          <w:rFonts w:hint="eastAsia"/>
          <w:color w:val="auto"/>
          <w:lang w:val="en-US" w:eastAsia="zh-CN"/>
        </w:rPr>
        <w:t>本项目按照设置一般固废暂存场和危险废物暂存库对固废进行分类暂存，固体废物暂存场库分别按照《一般工业固体废物贮存、处置场污染控制标准》（GB18599-2001）和《危险废物贮存污染控制标准》GB18597-2001要求进行建设和管理。</w:t>
      </w:r>
    </w:p>
    <w:p>
      <w:pPr>
        <w:pStyle w:val="33"/>
        <w:bidi w:val="0"/>
        <w:rPr>
          <w:rFonts w:hint="eastAsia"/>
          <w:b/>
          <w:bCs/>
          <w:color w:val="auto"/>
          <w:lang w:val="en-US" w:eastAsia="zh-CN"/>
        </w:rPr>
      </w:pPr>
      <w:r>
        <w:rPr>
          <w:rFonts w:hint="eastAsia"/>
          <w:b/>
          <w:bCs/>
          <w:color w:val="auto"/>
          <w:lang w:val="en-US" w:eastAsia="zh-CN"/>
        </w:rPr>
        <w:t>2、运营期危险废物贮存管理</w:t>
      </w:r>
    </w:p>
    <w:p>
      <w:pPr>
        <w:pStyle w:val="33"/>
        <w:bidi w:val="0"/>
        <w:rPr>
          <w:rFonts w:hint="eastAsia"/>
          <w:color w:val="auto"/>
          <w:lang w:val="en-US" w:eastAsia="zh-CN"/>
        </w:rPr>
      </w:pPr>
      <w:r>
        <w:rPr>
          <w:rFonts w:hint="eastAsia"/>
          <w:color w:val="auto"/>
          <w:lang w:val="en-US" w:eastAsia="zh-CN"/>
        </w:rPr>
        <w:t>在处置危险废物时，产生单位和接受单位均应按《国家危险废物转移联单管理办法》办理有关手续，并按《危险废物贮存污染控制标准》（GB18597-2001）的要求设置厂内临时贮存设施，禁止随意堆放，避免造成二次污染。危险废物在厂内贮存须注意以下几点：</w:t>
      </w:r>
    </w:p>
    <w:p>
      <w:pPr>
        <w:pStyle w:val="33"/>
        <w:bidi w:val="0"/>
        <w:rPr>
          <w:rFonts w:hint="eastAsia"/>
          <w:color w:val="auto"/>
          <w:lang w:val="en-US" w:eastAsia="zh-CN"/>
        </w:rPr>
      </w:pPr>
      <w:r>
        <w:rPr>
          <w:rFonts w:hint="eastAsia"/>
          <w:color w:val="auto"/>
          <w:lang w:val="en-US" w:eastAsia="zh-CN"/>
        </w:rPr>
        <w:t>①应当使用符合标准的容器盛装危险废物：容器完好无损、材质满足相应的强度要求、衬里要与危险废物相容、容器上必须粘贴符合相应标准的标签；同时作好废物情况的登记和记录，记录上注明废物的名称、来源、数量、特性和包装容器的类别、入库日期、存放库位、废物出库日期及接收单位名称。禁止将不相容的危险废物混装在同一容器里；</w:t>
      </w:r>
    </w:p>
    <w:p>
      <w:pPr>
        <w:pStyle w:val="33"/>
        <w:bidi w:val="0"/>
        <w:rPr>
          <w:rFonts w:hint="eastAsia"/>
          <w:color w:val="auto"/>
          <w:lang w:val="en-US" w:eastAsia="zh-CN"/>
        </w:rPr>
      </w:pPr>
      <w:r>
        <w:rPr>
          <w:rFonts w:hint="eastAsia"/>
          <w:color w:val="auto"/>
          <w:lang w:val="en-US" w:eastAsia="zh-CN"/>
        </w:rPr>
        <w:t>②本项目产生的危险废物必须单独存放，禁止将危险废物混存；</w:t>
      </w:r>
    </w:p>
    <w:p>
      <w:pPr>
        <w:pStyle w:val="33"/>
        <w:bidi w:val="0"/>
        <w:rPr>
          <w:rFonts w:hint="eastAsia"/>
          <w:color w:val="auto"/>
          <w:lang w:val="en-US" w:eastAsia="zh-CN"/>
        </w:rPr>
      </w:pPr>
      <w:r>
        <w:rPr>
          <w:rFonts w:hint="eastAsia"/>
          <w:color w:val="auto"/>
          <w:lang w:val="en-US" w:eastAsia="zh-CN"/>
        </w:rPr>
        <w:t>③运输危险废物的车辆要采取防扬散、防流失、防渗漏等防止污染环境的措施。</w:t>
      </w:r>
    </w:p>
    <w:p>
      <w:pPr>
        <w:pStyle w:val="33"/>
        <w:bidi w:val="0"/>
        <w:rPr>
          <w:rFonts w:hint="eastAsia"/>
          <w:color w:val="auto"/>
          <w:lang w:val="en-US" w:eastAsia="zh-CN"/>
        </w:rPr>
      </w:pPr>
      <w:r>
        <w:rPr>
          <w:rFonts w:hint="eastAsia"/>
          <w:color w:val="auto"/>
          <w:lang w:val="en-US" w:eastAsia="zh-CN"/>
        </w:rPr>
        <w:t>本项目必须强化各类固体废物产生、收集、贮运各环节的管理，杜绝固体废物在厂区内的散失、渗漏。做好固体废物在厂内的收集和储存相关工作，并进行合理有效处置。建立完善的规章制度，降低固体废物对环境的影响。综上所述，本项目运营期产生的各类固体废物均可得到妥善处置或综合利用，建设单位只要加强管理，做好定点堆放和及时清运工作，防止发生二次污染，固体废物经有效处理和处置后对环境影响较小。</w:t>
      </w:r>
    </w:p>
    <w:p>
      <w:pPr>
        <w:pStyle w:val="33"/>
        <w:bidi w:val="0"/>
        <w:rPr>
          <w:rFonts w:hint="eastAsia"/>
          <w:color w:val="auto"/>
          <w:lang w:val="en-US" w:eastAsia="zh-CN"/>
        </w:rPr>
      </w:pPr>
      <w:r>
        <w:rPr>
          <w:rFonts w:hint="eastAsia"/>
          <w:color w:val="auto"/>
          <w:lang w:val="en-US" w:eastAsia="zh-CN"/>
        </w:rPr>
        <w:t>危险废物暂存依托现有已建的危废仓库，暂存库区并张贴警示标志，实行专人管理，危险废物委托有瀚洋环保科技有限公司处理处置。（危废合同见附件9）</w:t>
      </w:r>
    </w:p>
    <w:p>
      <w:pPr>
        <w:pStyle w:val="33"/>
        <w:bidi w:val="0"/>
        <w:rPr>
          <w:rFonts w:hint="eastAsia"/>
          <w:color w:val="auto"/>
          <w:lang w:val="en-US" w:eastAsia="zh-CN"/>
        </w:rPr>
      </w:pPr>
      <w:r>
        <w:rPr>
          <w:rFonts w:hint="eastAsia"/>
          <w:color w:val="auto"/>
          <w:lang w:val="en-US" w:eastAsia="zh-CN"/>
        </w:rPr>
        <w:t>综上所述，拟建项目所有固废100%均得到妥善处理处置，不会对环境产生二次污染，对周围环境影响较小。但固体废物处理处置前在厂内的堆放、贮存场所必须严格按照国家固体废物贮存有关要求设置。建设单位应办理好固废委托处理相关手续，避免固废长期堆放产生二次污染。</w:t>
      </w:r>
    </w:p>
    <w:p>
      <w:pPr>
        <w:pStyle w:val="31"/>
        <w:bidi w:val="0"/>
        <w:rPr>
          <w:rFonts w:hint="eastAsia"/>
          <w:color w:val="auto"/>
          <w:lang w:val="en-US" w:eastAsia="zh-CN"/>
        </w:rPr>
      </w:pPr>
      <w:bookmarkStart w:id="225" w:name="_Toc840"/>
      <w:bookmarkStart w:id="226" w:name="_Toc7677"/>
      <w:r>
        <w:rPr>
          <w:rFonts w:hint="eastAsia"/>
          <w:color w:val="auto"/>
          <w:lang w:val="en-US" w:eastAsia="zh-CN"/>
        </w:rPr>
        <w:t>8.6运营期土壤污染防治措施</w:t>
      </w:r>
      <w:bookmarkEnd w:id="225"/>
      <w:bookmarkEnd w:id="226"/>
    </w:p>
    <w:p>
      <w:pPr>
        <w:pStyle w:val="33"/>
        <w:bidi w:val="0"/>
        <w:rPr>
          <w:rFonts w:hint="eastAsia"/>
          <w:color w:val="auto"/>
          <w:lang w:val="en-US" w:eastAsia="zh-CN"/>
        </w:rPr>
      </w:pPr>
      <w:r>
        <w:rPr>
          <w:rFonts w:hint="eastAsia"/>
          <w:color w:val="auto"/>
          <w:lang w:val="en-US" w:eastAsia="zh-CN"/>
        </w:rPr>
        <w:t>运营期土壤防治措施要求与地下水环境防控措施基本类似，主体按照“源头控制、分区防治、污染监控、应急响应”相结合的原则。</w:t>
      </w:r>
    </w:p>
    <w:p>
      <w:pPr>
        <w:pStyle w:val="33"/>
        <w:bidi w:val="0"/>
        <w:rPr>
          <w:rFonts w:hint="eastAsia"/>
          <w:color w:val="auto"/>
          <w:lang w:val="en-US" w:eastAsia="zh-CN"/>
        </w:rPr>
      </w:pPr>
      <w:r>
        <w:rPr>
          <w:rFonts w:hint="eastAsia"/>
          <w:color w:val="auto"/>
          <w:lang w:val="en-US" w:eastAsia="zh-CN"/>
        </w:rPr>
        <w:t>（1）源头控制措施</w:t>
      </w:r>
    </w:p>
    <w:p>
      <w:pPr>
        <w:pStyle w:val="33"/>
        <w:bidi w:val="0"/>
        <w:rPr>
          <w:rFonts w:hint="eastAsia"/>
          <w:color w:val="auto"/>
          <w:lang w:val="en-US" w:eastAsia="zh-CN"/>
        </w:rPr>
      </w:pPr>
      <w:r>
        <w:rPr>
          <w:rFonts w:hint="eastAsia"/>
          <w:color w:val="auto"/>
          <w:lang w:val="en-US" w:eastAsia="zh-CN"/>
        </w:rPr>
        <w:t>主要包括在工艺、管道、设备、污水储存及处理构筑物采取相应措施，防止和降低污染物跑、冒、滴、漏，将污染物泄漏的环境风险事故降到最低程度；管线敷设尽量采用“可视化”原则，即管道尽可能地上敷设，做到污染物“早发现、早处理”，减少由于埋地管道泄漏而造成的土壤污染。</w:t>
      </w:r>
    </w:p>
    <w:p>
      <w:pPr>
        <w:pStyle w:val="33"/>
        <w:bidi w:val="0"/>
        <w:rPr>
          <w:rFonts w:hint="eastAsia"/>
          <w:color w:val="auto"/>
          <w:lang w:val="en-US" w:eastAsia="zh-CN"/>
        </w:rPr>
      </w:pPr>
      <w:r>
        <w:rPr>
          <w:rFonts w:hint="eastAsia"/>
          <w:color w:val="auto"/>
          <w:lang w:val="en-US" w:eastAsia="zh-CN"/>
        </w:rPr>
        <w:t>（2）过程防控措施</w:t>
      </w:r>
    </w:p>
    <w:p>
      <w:pPr>
        <w:pStyle w:val="33"/>
        <w:bidi w:val="0"/>
        <w:rPr>
          <w:rFonts w:hint="eastAsia"/>
          <w:b/>
          <w:bCs/>
          <w:color w:val="auto"/>
          <w:lang w:val="en-US" w:eastAsia="zh-CN"/>
        </w:rPr>
      </w:pPr>
      <w:r>
        <w:rPr>
          <w:rFonts w:hint="eastAsia"/>
          <w:color w:val="auto"/>
          <w:lang w:val="en-US" w:eastAsia="zh-CN"/>
        </w:rPr>
        <w:t>根据工程分析内容，项目为污染影响型土壤环境评价，主要污染环节为地面漫流、入渗途径和大气沉降过程。评价要求建设单位在厂区范围内种植吸附有机物类污染物能力较强的植物，同时结合地下水分区防渗措施与厂区事故风险控制措施要求，落实事故水收集系统和相关防渗要求，阻断污染物造成漫流和垂直入渗环节对区域土壤环境的污染影响。</w:t>
      </w:r>
    </w:p>
    <w:p>
      <w:pPr>
        <w:pStyle w:val="33"/>
        <w:bidi w:val="0"/>
        <w:rPr>
          <w:rFonts w:hint="eastAsia"/>
          <w:color w:val="auto"/>
          <w:lang w:val="en-US" w:eastAsia="zh-CN"/>
        </w:rPr>
      </w:pPr>
      <w:r>
        <w:rPr>
          <w:rFonts w:hint="eastAsia"/>
          <w:color w:val="auto"/>
          <w:lang w:val="en-US" w:eastAsia="zh-CN"/>
        </w:rPr>
        <w:t>本项目针对可能对土壤造成影响的各环节，按照“考虑重点、辐射全面”的防腐防渗原则，参照《一般工业固体废物贮存、处置场污染控制标准》(GB18599-2001)及2013修改清单、《危险废物贮存污染控制标准》(GB18597-2001) 及2013修改清单等标准，将污染防治区划分为：</w:t>
      </w:r>
    </w:p>
    <w:p>
      <w:pPr>
        <w:pStyle w:val="33"/>
        <w:bidi w:val="0"/>
        <w:rPr>
          <w:rFonts w:hint="eastAsia"/>
          <w:color w:val="auto"/>
          <w:lang w:val="en-US" w:eastAsia="zh-CN"/>
        </w:rPr>
      </w:pPr>
      <w:r>
        <w:rPr>
          <w:rFonts w:hint="eastAsia"/>
          <w:color w:val="auto"/>
          <w:lang w:val="en-US" w:eastAsia="zh-CN"/>
        </w:rPr>
        <w:t>①简单防渗区：没有物料或污染物泄漏，不会对土壤环境造成污染的区域或部位；</w:t>
      </w:r>
    </w:p>
    <w:p>
      <w:pPr>
        <w:pStyle w:val="33"/>
        <w:bidi w:val="0"/>
        <w:rPr>
          <w:rFonts w:hint="eastAsia"/>
          <w:color w:val="auto"/>
          <w:lang w:val="en-US" w:eastAsia="zh-CN"/>
        </w:rPr>
      </w:pPr>
      <w:r>
        <w:rPr>
          <w:rFonts w:hint="eastAsia"/>
          <w:color w:val="auto"/>
          <w:lang w:val="en-US" w:eastAsia="zh-CN"/>
        </w:rPr>
        <w:t>②一般防渗区：裸露于地面的生产功能单元，污染土壤环境的物料或污染物泄漏后，可及时发现和处理的区域或部位：③重点防渗区：位于地下或半地下的生产功能单元，污染地下水环境的物料或污染物泄漏后，不易及时发现和处理的区域或部位。</w:t>
      </w:r>
    </w:p>
    <w:p>
      <w:pPr>
        <w:pStyle w:val="33"/>
        <w:bidi w:val="0"/>
        <w:rPr>
          <w:rFonts w:hint="eastAsia"/>
          <w:color w:val="auto"/>
          <w:lang w:val="en-US" w:eastAsia="zh-CN"/>
        </w:rPr>
      </w:pPr>
      <w:r>
        <w:rPr>
          <w:rFonts w:hint="eastAsia"/>
          <w:color w:val="auto"/>
          <w:lang w:val="en-US" w:eastAsia="zh-CN"/>
        </w:rPr>
        <w:t>(3)土壤监控体系</w:t>
      </w:r>
    </w:p>
    <w:p>
      <w:pPr>
        <w:pStyle w:val="33"/>
        <w:bidi w:val="0"/>
        <w:rPr>
          <w:rFonts w:hint="eastAsia"/>
          <w:color w:val="auto"/>
          <w:lang w:val="en-US" w:eastAsia="zh-CN"/>
        </w:rPr>
      </w:pPr>
      <w:r>
        <w:rPr>
          <w:rFonts w:hint="eastAsia"/>
          <w:color w:val="auto"/>
          <w:lang w:val="en-US" w:eastAsia="zh-CN"/>
        </w:rPr>
        <w:t>为了及时准确地掌握项目所在厂区及下游地区地下水和土壤的环境质量状况和污染物的动态变化，本次评价要求建设单位(或者配合园区管委会)建立覆盖全厂(或湖南绿色化工产业园云溪片区)的地下水和土壤长期监控系统，包括科学、合理地设置地下水污染监控井和土壤监测点，建立完善的监测制度，配备先进的检测仪器和设备，以便及时发现并及时控制。</w:t>
      </w:r>
    </w:p>
    <w:p>
      <w:pPr>
        <w:pStyle w:val="33"/>
        <w:bidi w:val="0"/>
        <w:rPr>
          <w:rFonts w:hint="eastAsia"/>
          <w:color w:val="auto"/>
          <w:lang w:val="en-US" w:eastAsia="zh-CN"/>
        </w:rPr>
      </w:pPr>
    </w:p>
    <w:p>
      <w:pPr>
        <w:pStyle w:val="33"/>
        <w:bidi w:val="0"/>
        <w:rPr>
          <w:rFonts w:hint="eastAsia"/>
          <w:color w:val="auto"/>
          <w:lang w:val="en-US" w:eastAsia="zh-CN"/>
        </w:rPr>
        <w:sectPr>
          <w:pgSz w:w="11906" w:h="16838"/>
          <w:pgMar w:top="1417" w:right="1304" w:bottom="1417" w:left="130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30"/>
        <w:bidi w:val="0"/>
        <w:jc w:val="center"/>
        <w:rPr>
          <w:rFonts w:hint="default"/>
          <w:color w:val="auto"/>
          <w:lang w:val="en-US" w:eastAsia="zh-CN"/>
        </w:rPr>
      </w:pPr>
      <w:bookmarkStart w:id="227" w:name="_Toc31892"/>
      <w:bookmarkStart w:id="228" w:name="_Toc216"/>
      <w:bookmarkStart w:id="229" w:name="_Toc9603"/>
      <w:bookmarkStart w:id="230" w:name="_Toc4533"/>
      <w:bookmarkStart w:id="231" w:name="_Toc614"/>
      <w:bookmarkStart w:id="232" w:name="_Toc20634"/>
      <w:bookmarkStart w:id="233" w:name="_Toc17906"/>
      <w:bookmarkStart w:id="234" w:name="_Toc372124957"/>
      <w:bookmarkStart w:id="235" w:name="_Toc31218_WPSOffice_Level2"/>
      <w:bookmarkStart w:id="236" w:name="_Toc8421"/>
      <w:bookmarkStart w:id="237" w:name="_Toc8503_WPSOffice_Level2"/>
      <w:bookmarkStart w:id="238" w:name="_Toc3002"/>
      <w:bookmarkStart w:id="239" w:name="_Toc12302"/>
      <w:bookmarkStart w:id="240" w:name="_Toc170311237"/>
      <w:bookmarkStart w:id="241" w:name="_Toc10535_WPSOffice_Level2"/>
      <w:bookmarkStart w:id="242" w:name="_Toc23403_WPSOffice_Level2"/>
      <w:bookmarkStart w:id="243" w:name="_Toc170376433"/>
      <w:bookmarkStart w:id="244" w:name="_Toc8581"/>
      <w:bookmarkStart w:id="245" w:name="_Toc17119"/>
      <w:bookmarkStart w:id="246" w:name="_Toc305826954"/>
      <w:bookmarkStart w:id="247" w:name="_Toc305826777"/>
      <w:bookmarkStart w:id="248" w:name="_Toc372124970"/>
      <w:bookmarkStart w:id="249" w:name="_Toc305828156"/>
      <w:bookmarkStart w:id="250" w:name="_Toc3164"/>
      <w:bookmarkStart w:id="251" w:name="_Toc305827560"/>
      <w:bookmarkStart w:id="252" w:name="_Toc307236474"/>
      <w:bookmarkStart w:id="253" w:name="_Toc305827696"/>
      <w:bookmarkStart w:id="254" w:name="_Toc30385"/>
      <w:bookmarkStart w:id="255" w:name="_Toc307293885"/>
      <w:bookmarkStart w:id="256" w:name="_Toc305827391"/>
      <w:bookmarkStart w:id="257" w:name="_Toc305828059"/>
      <w:bookmarkStart w:id="258" w:name="_Toc243124323"/>
      <w:bookmarkStart w:id="259" w:name="_Toc232414616"/>
      <w:bookmarkStart w:id="260" w:name="_Toc232225577"/>
      <w:bookmarkStart w:id="261" w:name="_Toc20314_WPSOffice_Level1"/>
      <w:bookmarkStart w:id="262" w:name="_Toc27793"/>
      <w:bookmarkStart w:id="263" w:name="_Toc3952_WPSOffice_Level1"/>
      <w:bookmarkStart w:id="264" w:name="_Toc305827049"/>
      <w:bookmarkStart w:id="265" w:name="_Toc304349313"/>
      <w:bookmarkStart w:id="266" w:name="_Toc232414510"/>
      <w:bookmarkStart w:id="267" w:name="_Toc31203_WPSOffice_Level1"/>
      <w:bookmarkStart w:id="268" w:name="_Toc305827791"/>
      <w:bookmarkStart w:id="269" w:name="_Toc2731_WPSOffice_Level1"/>
      <w:bookmarkStart w:id="270" w:name="_Toc15677_WPSOffice_Level1"/>
      <w:bookmarkStart w:id="271" w:name="_Toc8692"/>
      <w:r>
        <w:rPr>
          <w:rFonts w:hint="eastAsia"/>
          <w:color w:val="auto"/>
          <w:lang w:val="en-US" w:eastAsia="zh-CN"/>
        </w:rPr>
        <w:t>9、</w:t>
      </w:r>
      <w:r>
        <w:rPr>
          <w:rFonts w:hint="default"/>
          <w:color w:val="auto"/>
          <w:lang w:val="en-US" w:eastAsia="zh-CN"/>
        </w:rPr>
        <w:t>环境风险评价</w:t>
      </w:r>
      <w:bookmarkEnd w:id="227"/>
      <w:bookmarkEnd w:id="228"/>
      <w:bookmarkEnd w:id="229"/>
      <w:bookmarkEnd w:id="230"/>
    </w:p>
    <w:p>
      <w:pPr>
        <w:pStyle w:val="31"/>
        <w:bidi w:val="0"/>
        <w:rPr>
          <w:color w:val="auto"/>
          <w:lang w:val="en-US" w:eastAsia="zh-CN"/>
        </w:rPr>
      </w:pPr>
      <w:bookmarkStart w:id="272" w:name="_Toc22035"/>
      <w:bookmarkStart w:id="273" w:name="_Toc17845"/>
      <w:r>
        <w:rPr>
          <w:rFonts w:hint="eastAsia"/>
          <w:color w:val="auto"/>
          <w:lang w:val="en-US" w:eastAsia="zh-CN"/>
        </w:rPr>
        <w:t>9.1</w:t>
      </w:r>
      <w:r>
        <w:rPr>
          <w:color w:val="auto"/>
          <w:lang w:val="en-US" w:eastAsia="zh-CN"/>
        </w:rPr>
        <w:t>环境风险评价目的</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72"/>
      <w:bookmarkEnd w:id="273"/>
    </w:p>
    <w:p>
      <w:pPr>
        <w:pStyle w:val="33"/>
        <w:bidi w:val="0"/>
        <w:rPr>
          <w:color w:val="auto"/>
          <w:lang w:val="en-US" w:eastAsia="zh-CN"/>
        </w:rPr>
      </w:pPr>
      <w:r>
        <w:rPr>
          <w:color w:val="auto"/>
          <w:lang w:val="en-US" w:eastAsia="zh-CN"/>
        </w:rPr>
        <w:t>项目在外界因素的破坏下，具有发生火灾、爆炸、有毒有害物料泄漏等突发性风险事故的可能性。为避免和控制风险事故的发生，对项目在环境风险方面的可行性论证，为项目审批部门的决策、以及项目运营后的环境风险管理提供技术依据。对项目进行风险评价是必要的。环境风险评价和管理的主要目的是：</w:t>
      </w:r>
    </w:p>
    <w:p>
      <w:pPr>
        <w:pStyle w:val="33"/>
        <w:bidi w:val="0"/>
        <w:rPr>
          <w:color w:val="auto"/>
          <w:lang w:val="en-US" w:eastAsia="zh-CN"/>
        </w:rPr>
      </w:pPr>
      <w:r>
        <w:rPr>
          <w:color w:val="auto"/>
          <w:lang w:val="en-US" w:eastAsia="zh-CN"/>
        </w:rPr>
        <w:t>（1）根据项目特点，对项目装置和储运设施在生产过程中存在的各种事故风险因素及隐患进行识别，提出技术防范措施；</w:t>
      </w:r>
    </w:p>
    <w:p>
      <w:pPr>
        <w:pStyle w:val="33"/>
        <w:bidi w:val="0"/>
        <w:rPr>
          <w:color w:val="auto"/>
          <w:lang w:val="en-US" w:eastAsia="zh-CN"/>
        </w:rPr>
      </w:pPr>
      <w:r>
        <w:rPr>
          <w:color w:val="auto"/>
          <w:lang w:val="en-US" w:eastAsia="zh-CN"/>
        </w:rPr>
        <w:t>（2）分析和预测建设项目可能发生的突发性事件或事故，引起有毒、有害、易燃和易爆等物质泄漏到环境中所导致的后果（包括自然环境和社会环境），预测其对人身安全与环境的影响和损害程度；</w:t>
      </w:r>
    </w:p>
    <w:p>
      <w:pPr>
        <w:pStyle w:val="33"/>
        <w:bidi w:val="0"/>
        <w:rPr>
          <w:color w:val="auto"/>
          <w:lang w:val="en-US" w:eastAsia="zh-CN"/>
        </w:rPr>
      </w:pPr>
      <w:r>
        <w:rPr>
          <w:color w:val="auto"/>
          <w:lang w:val="en-US" w:eastAsia="zh-CN"/>
        </w:rPr>
        <w:t>（3）根据风险事件的预测结果，有针对性地提出合理、切实可行的防范减缓措施、应急处理计划和应急预案，以及现场监控报警系统，使得建设项目事故率、损失情况和环境影响达到可接受水平。</w:t>
      </w:r>
    </w:p>
    <w:p>
      <w:pPr>
        <w:pStyle w:val="31"/>
        <w:bidi w:val="0"/>
        <w:rPr>
          <w:color w:val="auto"/>
          <w:lang w:val="en-US" w:eastAsia="zh-CN"/>
        </w:rPr>
      </w:pPr>
      <w:bookmarkStart w:id="274" w:name="_Toc32086"/>
      <w:bookmarkStart w:id="275" w:name="_Toc2202"/>
      <w:bookmarkStart w:id="276" w:name="_Toc12533"/>
      <w:bookmarkStart w:id="277" w:name="_Toc17669"/>
      <w:bookmarkStart w:id="278" w:name="_Toc18117"/>
      <w:bookmarkStart w:id="279" w:name="_Toc26168"/>
      <w:bookmarkStart w:id="280" w:name="_Toc5112"/>
      <w:bookmarkStart w:id="281" w:name="_Toc11534_WPSOffice_Level3"/>
      <w:bookmarkStart w:id="282" w:name="_Toc16040"/>
      <w:bookmarkStart w:id="283" w:name="_Toc169409038"/>
      <w:bookmarkStart w:id="284" w:name="_Toc26409_WPSOffice_Level3"/>
      <w:bookmarkStart w:id="285" w:name="_Toc130790995"/>
      <w:bookmarkStart w:id="286" w:name="_Toc8958"/>
      <w:bookmarkStart w:id="287" w:name="_Toc3100"/>
      <w:bookmarkStart w:id="288" w:name="_Toc10006"/>
      <w:bookmarkStart w:id="289" w:name="_Toc170311239"/>
      <w:bookmarkStart w:id="290" w:name="_Toc17157"/>
      <w:bookmarkStart w:id="291" w:name="_Toc7985"/>
      <w:bookmarkStart w:id="292" w:name="_Toc14007"/>
      <w:bookmarkStart w:id="293" w:name="_Toc23097"/>
      <w:r>
        <w:rPr>
          <w:rFonts w:hint="eastAsia"/>
          <w:color w:val="auto"/>
          <w:lang w:val="en-US" w:eastAsia="zh-CN"/>
        </w:rPr>
        <w:t>9.2</w:t>
      </w:r>
      <w:r>
        <w:rPr>
          <w:color w:val="auto"/>
          <w:lang w:val="en-US" w:eastAsia="zh-CN"/>
        </w:rPr>
        <w:t>评价等级确定</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pPr>
        <w:pStyle w:val="33"/>
        <w:bidi w:val="0"/>
        <w:rPr>
          <w:rFonts w:ascii="Times New Roman" w:hAnsi="Times New Roman" w:eastAsia="宋体" w:cs="宋体"/>
          <w:color w:val="auto"/>
          <w:kern w:val="2"/>
          <w:sz w:val="24"/>
          <w:szCs w:val="24"/>
          <w:lang w:val="en-US" w:eastAsia="zh-CN" w:bidi="ar-SA"/>
        </w:rPr>
      </w:pPr>
      <w:bookmarkStart w:id="294" w:name="_Toc13711_WPSOffice_Level3"/>
      <w:bookmarkStart w:id="295" w:name="_Toc15400"/>
      <w:bookmarkStart w:id="296" w:name="_Toc4154"/>
      <w:bookmarkStart w:id="297" w:name="_Toc10345"/>
      <w:bookmarkStart w:id="298" w:name="_Toc130790996"/>
      <w:bookmarkStart w:id="299" w:name="_Toc7503"/>
      <w:bookmarkStart w:id="300" w:name="_Toc30838"/>
      <w:bookmarkStart w:id="301" w:name="_Toc26472"/>
      <w:bookmarkStart w:id="302" w:name="_Toc19907_WPSOffice_Level3"/>
      <w:bookmarkStart w:id="303" w:name="_Toc169409039"/>
      <w:bookmarkStart w:id="304" w:name="_Toc170311240"/>
      <w:bookmarkStart w:id="305" w:name="_Toc19678"/>
      <w:r>
        <w:rPr>
          <w:rFonts w:ascii="Times New Roman" w:hAnsi="Times New Roman" w:eastAsia="宋体" w:cs="宋体"/>
          <w:color w:val="auto"/>
          <w:kern w:val="2"/>
          <w:sz w:val="24"/>
          <w:szCs w:val="24"/>
          <w:lang w:val="en-US" w:eastAsia="zh-CN" w:bidi="ar-SA"/>
        </w:rPr>
        <w:t>根据《建设项目环境风险评价技术导则》（HJ169-2018），建设项目环境风险潜势划分为</w:t>
      </w:r>
      <w:r>
        <w:rPr>
          <w:rFonts w:ascii="Times New Roman" w:hAnsi="Times New Roman" w:eastAsia="宋体" w:cs="宋体"/>
          <w:color w:val="auto"/>
          <w:kern w:val="2"/>
          <w:sz w:val="24"/>
          <w:szCs w:val="24"/>
          <w:lang w:val="en-US" w:eastAsia="zh-CN" w:bidi="ar-SA"/>
        </w:rPr>
        <w:fldChar w:fldCharType="begin"/>
      </w:r>
      <w:r>
        <w:rPr>
          <w:rFonts w:ascii="Times New Roman" w:hAnsi="Times New Roman" w:eastAsia="宋体" w:cs="宋体"/>
          <w:color w:val="auto"/>
          <w:kern w:val="2"/>
          <w:sz w:val="24"/>
          <w:szCs w:val="24"/>
          <w:lang w:val="en-US" w:eastAsia="zh-CN" w:bidi="ar-SA"/>
        </w:rPr>
        <w:instrText xml:space="preserve"> = 1 \* ROMAN </w:instrText>
      </w:r>
      <w:r>
        <w:rPr>
          <w:rFonts w:ascii="Times New Roman" w:hAnsi="Times New Roman" w:eastAsia="宋体" w:cs="宋体"/>
          <w:color w:val="auto"/>
          <w:kern w:val="2"/>
          <w:sz w:val="24"/>
          <w:szCs w:val="24"/>
          <w:lang w:val="en-US" w:eastAsia="zh-CN" w:bidi="ar-SA"/>
        </w:rPr>
        <w:fldChar w:fldCharType="separate"/>
      </w:r>
      <w:r>
        <w:rPr>
          <w:rFonts w:ascii="Times New Roman" w:hAnsi="Times New Roman" w:eastAsia="宋体" w:cs="宋体"/>
          <w:color w:val="auto"/>
          <w:kern w:val="2"/>
          <w:sz w:val="24"/>
          <w:szCs w:val="24"/>
          <w:lang w:val="en-US" w:eastAsia="zh-CN" w:bidi="ar-SA"/>
        </w:rPr>
        <w:t>I</w:t>
      </w:r>
      <w:r>
        <w:rPr>
          <w:rFonts w:ascii="Times New Roman" w:hAnsi="Times New Roman" w:eastAsia="宋体" w:cs="宋体"/>
          <w:color w:val="auto"/>
          <w:kern w:val="2"/>
          <w:sz w:val="24"/>
          <w:szCs w:val="24"/>
          <w:lang w:val="en-US" w:eastAsia="zh-CN" w:bidi="ar-SA"/>
        </w:rPr>
        <w:fldChar w:fldCharType="end"/>
      </w:r>
      <w:r>
        <w:rPr>
          <w:rFonts w:ascii="Times New Roman" w:hAnsi="Times New Roman" w:eastAsia="宋体" w:cs="宋体"/>
          <w:color w:val="auto"/>
          <w:kern w:val="2"/>
          <w:sz w:val="24"/>
          <w:szCs w:val="24"/>
          <w:lang w:val="en-US" w:eastAsia="zh-CN" w:bidi="ar-SA"/>
        </w:rPr>
        <w:t>、</w:t>
      </w:r>
      <w:r>
        <w:rPr>
          <w:rFonts w:ascii="Times New Roman" w:hAnsi="Times New Roman" w:eastAsia="宋体" w:cs="宋体"/>
          <w:color w:val="auto"/>
          <w:kern w:val="2"/>
          <w:sz w:val="24"/>
          <w:szCs w:val="24"/>
          <w:lang w:val="en-US" w:eastAsia="zh-CN" w:bidi="ar-SA"/>
        </w:rPr>
        <w:fldChar w:fldCharType="begin"/>
      </w:r>
      <w:r>
        <w:rPr>
          <w:rFonts w:ascii="Times New Roman" w:hAnsi="Times New Roman" w:eastAsia="宋体" w:cs="宋体"/>
          <w:color w:val="auto"/>
          <w:kern w:val="2"/>
          <w:sz w:val="24"/>
          <w:szCs w:val="24"/>
          <w:lang w:val="en-US" w:eastAsia="zh-CN" w:bidi="ar-SA"/>
        </w:rPr>
        <w:instrText xml:space="preserve"> = 2 \* ROMAN </w:instrText>
      </w:r>
      <w:r>
        <w:rPr>
          <w:rFonts w:ascii="Times New Roman" w:hAnsi="Times New Roman" w:eastAsia="宋体" w:cs="宋体"/>
          <w:color w:val="auto"/>
          <w:kern w:val="2"/>
          <w:sz w:val="24"/>
          <w:szCs w:val="24"/>
          <w:lang w:val="en-US" w:eastAsia="zh-CN" w:bidi="ar-SA"/>
        </w:rPr>
        <w:fldChar w:fldCharType="separate"/>
      </w:r>
      <w:r>
        <w:rPr>
          <w:rFonts w:ascii="Times New Roman" w:hAnsi="Times New Roman" w:eastAsia="宋体" w:cs="宋体"/>
          <w:color w:val="auto"/>
          <w:kern w:val="2"/>
          <w:sz w:val="24"/>
          <w:szCs w:val="24"/>
          <w:lang w:val="en-US" w:eastAsia="zh-CN" w:bidi="ar-SA"/>
        </w:rPr>
        <w:t>II</w:t>
      </w:r>
      <w:r>
        <w:rPr>
          <w:rFonts w:ascii="Times New Roman" w:hAnsi="Times New Roman" w:eastAsia="宋体" w:cs="宋体"/>
          <w:color w:val="auto"/>
          <w:kern w:val="2"/>
          <w:sz w:val="24"/>
          <w:szCs w:val="24"/>
          <w:lang w:val="en-US" w:eastAsia="zh-CN" w:bidi="ar-SA"/>
        </w:rPr>
        <w:fldChar w:fldCharType="end"/>
      </w:r>
      <w:r>
        <w:rPr>
          <w:rFonts w:ascii="Times New Roman" w:hAnsi="Times New Roman" w:eastAsia="宋体" w:cs="宋体"/>
          <w:color w:val="auto"/>
          <w:kern w:val="2"/>
          <w:sz w:val="24"/>
          <w:szCs w:val="24"/>
          <w:lang w:val="en-US" w:eastAsia="zh-CN" w:bidi="ar-SA"/>
        </w:rPr>
        <w:t>、</w:t>
      </w:r>
      <w:r>
        <w:rPr>
          <w:rFonts w:ascii="Times New Roman" w:hAnsi="Times New Roman" w:eastAsia="宋体" w:cs="宋体"/>
          <w:color w:val="auto"/>
          <w:kern w:val="2"/>
          <w:sz w:val="24"/>
          <w:szCs w:val="24"/>
          <w:lang w:val="en-US" w:eastAsia="zh-CN" w:bidi="ar-SA"/>
        </w:rPr>
        <w:fldChar w:fldCharType="begin"/>
      </w:r>
      <w:r>
        <w:rPr>
          <w:rFonts w:ascii="Times New Roman" w:hAnsi="Times New Roman" w:eastAsia="宋体" w:cs="宋体"/>
          <w:color w:val="auto"/>
          <w:kern w:val="2"/>
          <w:sz w:val="24"/>
          <w:szCs w:val="24"/>
          <w:lang w:val="en-US" w:eastAsia="zh-CN" w:bidi="ar-SA"/>
        </w:rPr>
        <w:instrText xml:space="preserve"> = 3 \* ROMAN </w:instrText>
      </w:r>
      <w:r>
        <w:rPr>
          <w:rFonts w:ascii="Times New Roman" w:hAnsi="Times New Roman" w:eastAsia="宋体" w:cs="宋体"/>
          <w:color w:val="auto"/>
          <w:kern w:val="2"/>
          <w:sz w:val="24"/>
          <w:szCs w:val="24"/>
          <w:lang w:val="en-US" w:eastAsia="zh-CN" w:bidi="ar-SA"/>
        </w:rPr>
        <w:fldChar w:fldCharType="separate"/>
      </w:r>
      <w:r>
        <w:rPr>
          <w:rFonts w:ascii="Times New Roman" w:hAnsi="Times New Roman" w:eastAsia="宋体" w:cs="宋体"/>
          <w:color w:val="auto"/>
          <w:kern w:val="2"/>
          <w:sz w:val="24"/>
          <w:szCs w:val="24"/>
          <w:lang w:val="en-US" w:eastAsia="zh-CN" w:bidi="ar-SA"/>
        </w:rPr>
        <w:t>III</w:t>
      </w:r>
      <w:r>
        <w:rPr>
          <w:rFonts w:ascii="Times New Roman" w:hAnsi="Times New Roman" w:eastAsia="宋体" w:cs="宋体"/>
          <w:color w:val="auto"/>
          <w:kern w:val="2"/>
          <w:sz w:val="24"/>
          <w:szCs w:val="24"/>
          <w:lang w:val="en-US" w:eastAsia="zh-CN" w:bidi="ar-SA"/>
        </w:rPr>
        <w:fldChar w:fldCharType="end"/>
      </w:r>
      <w:r>
        <w:rPr>
          <w:rFonts w:ascii="Times New Roman" w:hAnsi="Times New Roman" w:eastAsia="宋体" w:cs="宋体"/>
          <w:color w:val="auto"/>
          <w:kern w:val="2"/>
          <w:sz w:val="24"/>
          <w:szCs w:val="24"/>
          <w:lang w:val="en-US" w:eastAsia="zh-CN" w:bidi="ar-SA"/>
        </w:rPr>
        <w:t>、</w:t>
      </w:r>
      <w:r>
        <w:rPr>
          <w:rFonts w:ascii="Times New Roman" w:hAnsi="Times New Roman" w:eastAsia="宋体" w:cs="宋体"/>
          <w:color w:val="auto"/>
          <w:kern w:val="2"/>
          <w:sz w:val="24"/>
          <w:szCs w:val="24"/>
          <w:lang w:val="en-US" w:eastAsia="zh-CN" w:bidi="ar-SA"/>
        </w:rPr>
        <w:fldChar w:fldCharType="begin"/>
      </w:r>
      <w:r>
        <w:rPr>
          <w:rFonts w:ascii="Times New Roman" w:hAnsi="Times New Roman" w:eastAsia="宋体" w:cs="宋体"/>
          <w:color w:val="auto"/>
          <w:kern w:val="2"/>
          <w:sz w:val="24"/>
          <w:szCs w:val="24"/>
          <w:lang w:val="en-US" w:eastAsia="zh-CN" w:bidi="ar-SA"/>
        </w:rPr>
        <w:instrText xml:space="preserve"> = 4 \* ROMAN </w:instrText>
      </w:r>
      <w:r>
        <w:rPr>
          <w:rFonts w:ascii="Times New Roman" w:hAnsi="Times New Roman" w:eastAsia="宋体" w:cs="宋体"/>
          <w:color w:val="auto"/>
          <w:kern w:val="2"/>
          <w:sz w:val="24"/>
          <w:szCs w:val="24"/>
          <w:lang w:val="en-US" w:eastAsia="zh-CN" w:bidi="ar-SA"/>
        </w:rPr>
        <w:fldChar w:fldCharType="separate"/>
      </w:r>
      <w:r>
        <w:rPr>
          <w:rFonts w:ascii="Times New Roman" w:hAnsi="Times New Roman" w:eastAsia="宋体" w:cs="宋体"/>
          <w:color w:val="auto"/>
          <w:kern w:val="2"/>
          <w:sz w:val="24"/>
          <w:szCs w:val="24"/>
          <w:lang w:val="en-US" w:eastAsia="zh-CN" w:bidi="ar-SA"/>
        </w:rPr>
        <w:t>IV</w:t>
      </w:r>
      <w:r>
        <w:rPr>
          <w:rFonts w:ascii="Times New Roman" w:hAnsi="Times New Roman" w:eastAsia="宋体" w:cs="宋体"/>
          <w:color w:val="auto"/>
          <w:kern w:val="2"/>
          <w:sz w:val="24"/>
          <w:szCs w:val="24"/>
          <w:lang w:val="en-US" w:eastAsia="zh-CN" w:bidi="ar-SA"/>
        </w:rPr>
        <w:fldChar w:fldCharType="end"/>
      </w:r>
      <w:r>
        <w:rPr>
          <w:rFonts w:ascii="Times New Roman" w:hAnsi="Times New Roman" w:eastAsia="宋体" w:cs="宋体"/>
          <w:color w:val="auto"/>
          <w:kern w:val="2"/>
          <w:sz w:val="24"/>
          <w:szCs w:val="24"/>
          <w:lang w:val="en-US" w:eastAsia="zh-CN" w:bidi="ar-SA"/>
        </w:rPr>
        <w:t>/</w:t>
      </w:r>
      <w:r>
        <w:rPr>
          <w:rFonts w:ascii="Times New Roman" w:hAnsi="Times New Roman" w:eastAsia="宋体" w:cs="宋体"/>
          <w:color w:val="auto"/>
          <w:kern w:val="2"/>
          <w:sz w:val="24"/>
          <w:szCs w:val="24"/>
          <w:lang w:val="en-US" w:eastAsia="zh-CN" w:bidi="ar-SA"/>
        </w:rPr>
        <w:fldChar w:fldCharType="begin"/>
      </w:r>
      <w:r>
        <w:rPr>
          <w:rFonts w:ascii="Times New Roman" w:hAnsi="Times New Roman" w:eastAsia="宋体" w:cs="宋体"/>
          <w:color w:val="auto"/>
          <w:kern w:val="2"/>
          <w:sz w:val="24"/>
          <w:szCs w:val="24"/>
          <w:lang w:val="en-US" w:eastAsia="zh-CN" w:bidi="ar-SA"/>
        </w:rPr>
        <w:instrText xml:space="preserve"> = 4 \* ROMAN </w:instrText>
      </w:r>
      <w:r>
        <w:rPr>
          <w:rFonts w:ascii="Times New Roman" w:hAnsi="Times New Roman" w:eastAsia="宋体" w:cs="宋体"/>
          <w:color w:val="auto"/>
          <w:kern w:val="2"/>
          <w:sz w:val="24"/>
          <w:szCs w:val="24"/>
          <w:lang w:val="en-US" w:eastAsia="zh-CN" w:bidi="ar-SA"/>
        </w:rPr>
        <w:fldChar w:fldCharType="separate"/>
      </w:r>
      <w:r>
        <w:rPr>
          <w:rFonts w:ascii="Times New Roman" w:hAnsi="Times New Roman" w:eastAsia="宋体" w:cs="宋体"/>
          <w:color w:val="auto"/>
          <w:kern w:val="2"/>
          <w:sz w:val="24"/>
          <w:szCs w:val="24"/>
          <w:lang w:val="en-US" w:eastAsia="zh-CN" w:bidi="ar-SA"/>
        </w:rPr>
        <w:t>IV</w:t>
      </w:r>
      <w:r>
        <w:rPr>
          <w:rFonts w:ascii="Times New Roman" w:hAnsi="Times New Roman" w:eastAsia="宋体" w:cs="宋体"/>
          <w:color w:val="auto"/>
          <w:kern w:val="2"/>
          <w:sz w:val="24"/>
          <w:szCs w:val="24"/>
          <w:lang w:val="en-US" w:eastAsia="zh-CN" w:bidi="ar-SA"/>
        </w:rPr>
        <w:fldChar w:fldCharType="end"/>
      </w:r>
      <w:r>
        <w:rPr>
          <w:rFonts w:ascii="Times New Roman" w:hAnsi="Times New Roman" w:eastAsia="宋体" w:cs="宋体"/>
          <w:color w:val="auto"/>
          <w:kern w:val="2"/>
          <w:sz w:val="24"/>
          <w:szCs w:val="24"/>
          <w:vertAlign w:val="superscript"/>
          <w:lang w:val="en-US" w:eastAsia="zh-CN" w:bidi="ar-SA"/>
        </w:rPr>
        <w:t>+</w:t>
      </w:r>
      <w:r>
        <w:rPr>
          <w:rFonts w:ascii="Times New Roman" w:hAnsi="Times New Roman" w:eastAsia="宋体" w:cs="宋体"/>
          <w:color w:val="auto"/>
          <w:kern w:val="2"/>
          <w:sz w:val="24"/>
          <w:szCs w:val="24"/>
          <w:lang w:val="en-US" w:eastAsia="zh-CN" w:bidi="ar-SA"/>
        </w:rPr>
        <w:t>级。根据建设项目涉及的物质和工艺系统的危险性及其所在地的环境敏感程度，结合事故情形下环境影响途径，对建设项目潜在环境危害程度进行概化分析，按照</w:t>
      </w:r>
      <w:r>
        <w:rPr>
          <w:rFonts w:hint="default" w:ascii="Times New Roman" w:hAnsi="Times New Roman" w:eastAsia="宋体" w:cs="宋体"/>
          <w:color w:val="auto"/>
          <w:kern w:val="2"/>
          <w:sz w:val="24"/>
          <w:szCs w:val="24"/>
          <w:lang w:val="en-US" w:eastAsia="zh-CN" w:bidi="ar-SA"/>
        </w:rPr>
        <w:fldChar w:fldCharType="begin"/>
      </w:r>
      <w:r>
        <w:rPr>
          <w:rFonts w:hint="default" w:ascii="Times New Roman" w:hAnsi="Times New Roman" w:eastAsia="宋体" w:cs="宋体"/>
          <w:color w:val="auto"/>
          <w:kern w:val="2"/>
          <w:sz w:val="24"/>
          <w:szCs w:val="24"/>
          <w:lang w:val="en-US" w:eastAsia="zh-CN" w:bidi="ar-SA"/>
        </w:rPr>
        <w:instrText xml:space="preserve"> REF _Ref9153 \h </w:instrText>
      </w:r>
      <w:r>
        <w:rPr>
          <w:rFonts w:hint="default" w:ascii="Times New Roman" w:hAnsi="Times New Roman" w:eastAsia="宋体" w:cs="宋体"/>
          <w:color w:val="auto"/>
          <w:kern w:val="2"/>
          <w:sz w:val="24"/>
          <w:szCs w:val="24"/>
          <w:lang w:val="en-US" w:eastAsia="zh-CN" w:bidi="ar-SA"/>
        </w:rPr>
        <w:fldChar w:fldCharType="separate"/>
      </w:r>
      <w:r>
        <w:rPr>
          <w:rFonts w:ascii="Times New Roman" w:hAnsi="Times New Roman" w:eastAsia="宋体" w:cs="宋体"/>
          <w:color w:val="auto"/>
          <w:kern w:val="2"/>
          <w:sz w:val="24"/>
          <w:szCs w:val="24"/>
          <w:lang w:val="en-US" w:eastAsia="zh-CN" w:bidi="ar-SA"/>
        </w:rPr>
        <w:t>表</w:t>
      </w:r>
      <w:r>
        <w:rPr>
          <w:rFonts w:hint="eastAsia" w:cs="宋体"/>
          <w:color w:val="auto"/>
          <w:kern w:val="2"/>
          <w:sz w:val="24"/>
          <w:szCs w:val="24"/>
          <w:lang w:val="en-US" w:eastAsia="zh-CN" w:bidi="ar-SA"/>
        </w:rPr>
        <w:t>9.2</w:t>
      </w:r>
      <w:r>
        <w:rPr>
          <w:rFonts w:hint="eastAsia" w:ascii="Times New Roman" w:hAnsi="Times New Roman" w:eastAsia="宋体" w:cs="宋体"/>
          <w:color w:val="auto"/>
          <w:kern w:val="2"/>
          <w:sz w:val="24"/>
          <w:szCs w:val="24"/>
          <w:lang w:val="en-US" w:eastAsia="zh-CN" w:bidi="ar-SA"/>
        </w:rPr>
        <w:t>-1</w:t>
      </w:r>
      <w:r>
        <w:rPr>
          <w:rFonts w:hint="default" w:ascii="Times New Roman" w:hAnsi="Times New Roman" w:eastAsia="宋体" w:cs="宋体"/>
          <w:color w:val="auto"/>
          <w:kern w:val="2"/>
          <w:sz w:val="24"/>
          <w:szCs w:val="24"/>
          <w:lang w:val="en-US" w:eastAsia="zh-CN" w:bidi="ar-SA"/>
        </w:rPr>
        <w:fldChar w:fldCharType="end"/>
      </w:r>
      <w:r>
        <w:rPr>
          <w:rFonts w:ascii="Times New Roman" w:hAnsi="Times New Roman" w:eastAsia="宋体" w:cs="宋体"/>
          <w:color w:val="auto"/>
          <w:kern w:val="2"/>
          <w:sz w:val="24"/>
          <w:szCs w:val="24"/>
          <w:lang w:val="en-US" w:eastAsia="zh-CN" w:bidi="ar-SA"/>
        </w:rPr>
        <w:t>确定环境风险潜势。</w:t>
      </w:r>
    </w:p>
    <w:p>
      <w:pPr>
        <w:pStyle w:val="36"/>
        <w:bidi w:val="0"/>
        <w:rPr>
          <w:b/>
          <w:bCs/>
          <w:color w:val="auto"/>
          <w:lang w:val="en-US" w:eastAsia="zh-CN"/>
        </w:rPr>
      </w:pPr>
      <w:r>
        <w:rPr>
          <w:b/>
          <w:bCs/>
          <w:color w:val="auto"/>
          <w:lang w:val="en-US" w:eastAsia="zh-CN"/>
        </w:rPr>
        <w:t>表</w:t>
      </w:r>
      <w:r>
        <w:rPr>
          <w:rFonts w:hint="eastAsia"/>
          <w:b/>
          <w:bCs/>
          <w:color w:val="auto"/>
          <w:lang w:val="en-US" w:eastAsia="zh-CN"/>
        </w:rPr>
        <w:t>9.2-</w:t>
      </w:r>
      <w:r>
        <w:rPr>
          <w:b/>
          <w:bCs/>
          <w:color w:val="auto"/>
          <w:lang w:val="en-US" w:eastAsia="zh-CN"/>
        </w:rPr>
        <w:fldChar w:fldCharType="begin"/>
      </w:r>
      <w:r>
        <w:rPr>
          <w:b/>
          <w:bCs/>
          <w:color w:val="auto"/>
          <w:lang w:val="en-US" w:eastAsia="zh-CN"/>
        </w:rPr>
        <w:instrText xml:space="preserve"> SEQ 表 \* ARABIC \s 1 </w:instrText>
      </w:r>
      <w:r>
        <w:rPr>
          <w:b/>
          <w:bCs/>
          <w:color w:val="auto"/>
          <w:lang w:val="en-US" w:eastAsia="zh-CN"/>
        </w:rPr>
        <w:fldChar w:fldCharType="separate"/>
      </w:r>
      <w:r>
        <w:rPr>
          <w:b/>
          <w:bCs/>
          <w:color w:val="auto"/>
          <w:lang w:val="en-US" w:eastAsia="zh-CN"/>
        </w:rPr>
        <w:t>1</w:t>
      </w:r>
      <w:r>
        <w:rPr>
          <w:b/>
          <w:bCs/>
          <w:color w:val="auto"/>
          <w:lang w:val="en-US" w:eastAsia="zh-CN"/>
        </w:rPr>
        <w:fldChar w:fldCharType="end"/>
      </w:r>
      <w:r>
        <w:rPr>
          <w:rFonts w:hint="eastAsia"/>
          <w:b/>
          <w:bCs/>
          <w:color w:val="auto"/>
          <w:lang w:val="en-US" w:eastAsia="zh-CN"/>
        </w:rPr>
        <w:t xml:space="preserve">  </w:t>
      </w:r>
      <w:r>
        <w:rPr>
          <w:b/>
          <w:bCs/>
          <w:color w:val="auto"/>
          <w:lang w:val="en-US" w:eastAsia="zh-CN"/>
        </w:rPr>
        <w:t>建设项目环境风险潜势划分</w:t>
      </w:r>
    </w:p>
    <w:tbl>
      <w:tblPr>
        <w:tblStyle w:val="2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35"/>
        <w:gridCol w:w="1767"/>
        <w:gridCol w:w="1767"/>
        <w:gridCol w:w="1767"/>
        <w:gridCol w:w="17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280" w:type="pct"/>
            <w:vMerge w:val="restart"/>
            <w:noWrap w:val="0"/>
            <w:vAlign w:val="center"/>
          </w:tcPr>
          <w:p>
            <w:pPr>
              <w:pStyle w:val="35"/>
              <w:bidi w:val="0"/>
              <w:rPr>
                <w:b/>
                <w:bCs/>
                <w:color w:val="auto"/>
                <w:lang w:val="en-US" w:eastAsia="zh-CN"/>
              </w:rPr>
            </w:pPr>
            <w:r>
              <w:rPr>
                <w:b/>
                <w:bCs/>
                <w:color w:val="auto"/>
                <w:lang w:val="en-US" w:eastAsia="zh-CN"/>
              </w:rPr>
              <w:t>环境敏感程度（E）</w:t>
            </w:r>
          </w:p>
        </w:tc>
        <w:tc>
          <w:tcPr>
            <w:tcW w:w="3719" w:type="pct"/>
            <w:gridSpan w:val="4"/>
            <w:noWrap w:val="0"/>
            <w:vAlign w:val="center"/>
          </w:tcPr>
          <w:p>
            <w:pPr>
              <w:pStyle w:val="35"/>
              <w:bidi w:val="0"/>
              <w:rPr>
                <w:b/>
                <w:bCs/>
                <w:color w:val="auto"/>
                <w:lang w:val="en-US" w:eastAsia="zh-CN"/>
              </w:rPr>
            </w:pPr>
            <w:r>
              <w:rPr>
                <w:b/>
                <w:bCs/>
                <w:color w:val="auto"/>
                <w:lang w:val="en-US" w:eastAsia="zh-CN"/>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280" w:type="pct"/>
            <w:vMerge w:val="continue"/>
            <w:noWrap w:val="0"/>
            <w:vAlign w:val="center"/>
          </w:tcPr>
          <w:p>
            <w:pPr>
              <w:pStyle w:val="35"/>
              <w:bidi w:val="0"/>
              <w:rPr>
                <w:b/>
                <w:bCs/>
                <w:color w:val="auto"/>
                <w:lang w:val="en-US" w:eastAsia="zh-CN"/>
              </w:rPr>
            </w:pPr>
          </w:p>
        </w:tc>
        <w:tc>
          <w:tcPr>
            <w:tcW w:w="929" w:type="pct"/>
            <w:noWrap w:val="0"/>
            <w:vAlign w:val="center"/>
          </w:tcPr>
          <w:p>
            <w:pPr>
              <w:pStyle w:val="35"/>
              <w:bidi w:val="0"/>
              <w:rPr>
                <w:b/>
                <w:bCs/>
                <w:color w:val="auto"/>
                <w:lang w:val="en-US" w:eastAsia="zh-CN"/>
              </w:rPr>
            </w:pPr>
            <w:r>
              <w:rPr>
                <w:b/>
                <w:bCs/>
                <w:color w:val="auto"/>
                <w:lang w:val="en-US" w:eastAsia="zh-CN"/>
              </w:rPr>
              <w:t>极高危害（P1）</w:t>
            </w:r>
          </w:p>
        </w:tc>
        <w:tc>
          <w:tcPr>
            <w:tcW w:w="929" w:type="pct"/>
            <w:noWrap w:val="0"/>
            <w:vAlign w:val="center"/>
          </w:tcPr>
          <w:p>
            <w:pPr>
              <w:pStyle w:val="35"/>
              <w:bidi w:val="0"/>
              <w:rPr>
                <w:b/>
                <w:bCs/>
                <w:color w:val="auto"/>
                <w:lang w:val="en-US" w:eastAsia="zh-CN"/>
              </w:rPr>
            </w:pPr>
            <w:r>
              <w:rPr>
                <w:b/>
                <w:bCs/>
                <w:color w:val="auto"/>
                <w:lang w:val="en-US" w:eastAsia="zh-CN"/>
              </w:rPr>
              <w:t>高度危害（P2）</w:t>
            </w:r>
          </w:p>
        </w:tc>
        <w:tc>
          <w:tcPr>
            <w:tcW w:w="929" w:type="pct"/>
            <w:noWrap w:val="0"/>
            <w:vAlign w:val="center"/>
          </w:tcPr>
          <w:p>
            <w:pPr>
              <w:pStyle w:val="35"/>
              <w:bidi w:val="0"/>
              <w:rPr>
                <w:b/>
                <w:bCs/>
                <w:color w:val="auto"/>
                <w:lang w:val="en-US" w:eastAsia="zh-CN"/>
              </w:rPr>
            </w:pPr>
            <w:r>
              <w:rPr>
                <w:b/>
                <w:bCs/>
                <w:color w:val="auto"/>
                <w:lang w:val="en-US" w:eastAsia="zh-CN"/>
              </w:rPr>
              <w:t>中度危害（P3）</w:t>
            </w:r>
          </w:p>
        </w:tc>
        <w:tc>
          <w:tcPr>
            <w:tcW w:w="930" w:type="pct"/>
            <w:noWrap w:val="0"/>
            <w:vAlign w:val="center"/>
          </w:tcPr>
          <w:p>
            <w:pPr>
              <w:pStyle w:val="35"/>
              <w:bidi w:val="0"/>
              <w:rPr>
                <w:b/>
                <w:bCs/>
                <w:color w:val="auto"/>
                <w:lang w:val="en-US" w:eastAsia="zh-CN"/>
              </w:rPr>
            </w:pPr>
            <w:r>
              <w:rPr>
                <w:b/>
                <w:bCs/>
                <w:color w:val="auto"/>
                <w:lang w:val="en-US" w:eastAsia="zh-CN"/>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280" w:type="pct"/>
            <w:noWrap w:val="0"/>
            <w:vAlign w:val="center"/>
          </w:tcPr>
          <w:p>
            <w:pPr>
              <w:pStyle w:val="35"/>
              <w:bidi w:val="0"/>
              <w:rPr>
                <w:color w:val="auto"/>
                <w:lang w:val="en-US" w:eastAsia="zh-CN"/>
              </w:rPr>
            </w:pPr>
            <w:r>
              <w:rPr>
                <w:color w:val="auto"/>
                <w:lang w:val="en-US" w:eastAsia="zh-CN"/>
              </w:rPr>
              <w:t>环境高度敏感区（E</w:t>
            </w:r>
            <w:r>
              <w:rPr>
                <w:rFonts w:hint="eastAsia"/>
                <w:color w:val="auto"/>
                <w:lang w:val="en-US" w:eastAsia="zh-CN"/>
              </w:rPr>
              <w:t>1</w:t>
            </w:r>
            <w:r>
              <w:rPr>
                <w:color w:val="auto"/>
                <w:lang w:val="en-US" w:eastAsia="zh-CN"/>
              </w:rPr>
              <w:t>）</w:t>
            </w:r>
          </w:p>
        </w:tc>
        <w:tc>
          <w:tcPr>
            <w:tcW w:w="929" w:type="pct"/>
            <w:noWrap w:val="0"/>
            <w:vAlign w:val="center"/>
          </w:tcPr>
          <w:p>
            <w:pPr>
              <w:pStyle w:val="35"/>
              <w:bidi w:val="0"/>
              <w:rPr>
                <w:color w:val="auto"/>
                <w:lang w:val="en-US" w:eastAsia="zh-CN"/>
              </w:rPr>
            </w:pPr>
            <w:r>
              <w:rPr>
                <w:color w:val="auto"/>
                <w:lang w:val="en-US" w:eastAsia="zh-CN"/>
              </w:rPr>
              <w:fldChar w:fldCharType="begin"/>
            </w:r>
            <w:r>
              <w:rPr>
                <w:color w:val="auto"/>
                <w:lang w:val="en-US" w:eastAsia="zh-CN"/>
              </w:rPr>
              <w:instrText xml:space="preserve"> = 4 \* ROMAN </w:instrText>
            </w:r>
            <w:r>
              <w:rPr>
                <w:color w:val="auto"/>
                <w:lang w:val="en-US" w:eastAsia="zh-CN"/>
              </w:rPr>
              <w:fldChar w:fldCharType="separate"/>
            </w:r>
            <w:r>
              <w:rPr>
                <w:color w:val="auto"/>
                <w:lang w:val="en-US" w:eastAsia="zh-CN"/>
              </w:rPr>
              <w:t>IV</w:t>
            </w:r>
            <w:r>
              <w:rPr>
                <w:color w:val="auto"/>
                <w:lang w:val="en-US" w:eastAsia="zh-CN"/>
              </w:rPr>
              <w:fldChar w:fldCharType="end"/>
            </w:r>
            <w:r>
              <w:rPr>
                <w:color w:val="auto"/>
                <w:lang w:val="en-US" w:eastAsia="zh-CN"/>
              </w:rPr>
              <w:t>+</w:t>
            </w:r>
          </w:p>
        </w:tc>
        <w:tc>
          <w:tcPr>
            <w:tcW w:w="929" w:type="pct"/>
            <w:noWrap w:val="0"/>
            <w:vAlign w:val="center"/>
          </w:tcPr>
          <w:p>
            <w:pPr>
              <w:pStyle w:val="35"/>
              <w:bidi w:val="0"/>
              <w:rPr>
                <w:color w:val="auto"/>
                <w:lang w:val="en-US" w:eastAsia="zh-CN"/>
              </w:rPr>
            </w:pPr>
            <w:r>
              <w:rPr>
                <w:color w:val="auto"/>
                <w:lang w:val="en-US" w:eastAsia="zh-CN"/>
              </w:rPr>
              <w:fldChar w:fldCharType="begin"/>
            </w:r>
            <w:r>
              <w:rPr>
                <w:color w:val="auto"/>
                <w:lang w:val="en-US" w:eastAsia="zh-CN"/>
              </w:rPr>
              <w:instrText xml:space="preserve"> = 4 \* ROMAN </w:instrText>
            </w:r>
            <w:r>
              <w:rPr>
                <w:color w:val="auto"/>
                <w:lang w:val="en-US" w:eastAsia="zh-CN"/>
              </w:rPr>
              <w:fldChar w:fldCharType="separate"/>
            </w:r>
            <w:r>
              <w:rPr>
                <w:color w:val="auto"/>
                <w:lang w:val="en-US" w:eastAsia="zh-CN"/>
              </w:rPr>
              <w:t>IV</w:t>
            </w:r>
            <w:r>
              <w:rPr>
                <w:color w:val="auto"/>
                <w:lang w:val="en-US" w:eastAsia="zh-CN"/>
              </w:rPr>
              <w:fldChar w:fldCharType="end"/>
            </w:r>
          </w:p>
        </w:tc>
        <w:tc>
          <w:tcPr>
            <w:tcW w:w="929" w:type="pct"/>
            <w:noWrap w:val="0"/>
            <w:vAlign w:val="center"/>
          </w:tcPr>
          <w:p>
            <w:pPr>
              <w:pStyle w:val="35"/>
              <w:bidi w:val="0"/>
              <w:rPr>
                <w:color w:val="auto"/>
                <w:lang w:val="en-US" w:eastAsia="zh-CN"/>
              </w:rPr>
            </w:pPr>
            <w:r>
              <w:rPr>
                <w:color w:val="auto"/>
                <w:lang w:val="en-US" w:eastAsia="zh-CN"/>
              </w:rPr>
              <w:fldChar w:fldCharType="begin"/>
            </w:r>
            <w:r>
              <w:rPr>
                <w:color w:val="auto"/>
                <w:lang w:val="en-US" w:eastAsia="zh-CN"/>
              </w:rPr>
              <w:instrText xml:space="preserve"> = 3 \* ROMAN </w:instrText>
            </w:r>
            <w:r>
              <w:rPr>
                <w:color w:val="auto"/>
                <w:lang w:val="en-US" w:eastAsia="zh-CN"/>
              </w:rPr>
              <w:fldChar w:fldCharType="separate"/>
            </w:r>
            <w:r>
              <w:rPr>
                <w:color w:val="auto"/>
                <w:lang w:val="en-US" w:eastAsia="zh-CN"/>
              </w:rPr>
              <w:t>III</w:t>
            </w:r>
            <w:r>
              <w:rPr>
                <w:color w:val="auto"/>
                <w:lang w:val="en-US" w:eastAsia="zh-CN"/>
              </w:rPr>
              <w:fldChar w:fldCharType="end"/>
            </w:r>
          </w:p>
        </w:tc>
        <w:tc>
          <w:tcPr>
            <w:tcW w:w="930" w:type="pct"/>
            <w:noWrap w:val="0"/>
            <w:vAlign w:val="center"/>
          </w:tcPr>
          <w:p>
            <w:pPr>
              <w:pStyle w:val="35"/>
              <w:bidi w:val="0"/>
              <w:rPr>
                <w:color w:val="auto"/>
                <w:lang w:val="en-US" w:eastAsia="zh-CN"/>
              </w:rPr>
            </w:pPr>
            <w:r>
              <w:rPr>
                <w:color w:val="auto"/>
                <w:lang w:val="en-US" w:eastAsia="zh-CN"/>
              </w:rPr>
              <w:fldChar w:fldCharType="begin"/>
            </w:r>
            <w:r>
              <w:rPr>
                <w:color w:val="auto"/>
                <w:lang w:val="en-US" w:eastAsia="zh-CN"/>
              </w:rPr>
              <w:instrText xml:space="preserve"> = 3 \* ROMAN </w:instrText>
            </w:r>
            <w:r>
              <w:rPr>
                <w:color w:val="auto"/>
                <w:lang w:val="en-US" w:eastAsia="zh-CN"/>
              </w:rPr>
              <w:fldChar w:fldCharType="separate"/>
            </w:r>
            <w:r>
              <w:rPr>
                <w:color w:val="auto"/>
                <w:lang w:val="en-US" w:eastAsia="zh-CN"/>
              </w:rPr>
              <w:t>III</w:t>
            </w:r>
            <w:r>
              <w:rPr>
                <w:color w:val="auto"/>
                <w:lang w:val="en-US" w:eastAsia="zh-CN"/>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280" w:type="pct"/>
            <w:noWrap w:val="0"/>
            <w:vAlign w:val="center"/>
          </w:tcPr>
          <w:p>
            <w:pPr>
              <w:pStyle w:val="35"/>
              <w:bidi w:val="0"/>
              <w:rPr>
                <w:color w:val="auto"/>
                <w:lang w:val="en-US" w:eastAsia="zh-CN"/>
              </w:rPr>
            </w:pPr>
            <w:r>
              <w:rPr>
                <w:color w:val="auto"/>
                <w:lang w:val="en-US" w:eastAsia="zh-CN"/>
              </w:rPr>
              <w:t>环境</w:t>
            </w:r>
            <w:r>
              <w:rPr>
                <w:rFonts w:hint="eastAsia"/>
                <w:color w:val="auto"/>
                <w:lang w:val="en-US" w:eastAsia="zh-CN"/>
              </w:rPr>
              <w:t>中</w:t>
            </w:r>
            <w:r>
              <w:rPr>
                <w:color w:val="auto"/>
                <w:lang w:val="en-US" w:eastAsia="zh-CN"/>
              </w:rPr>
              <w:t>度敏感区（E</w:t>
            </w:r>
            <w:r>
              <w:rPr>
                <w:rFonts w:hint="eastAsia"/>
                <w:color w:val="auto"/>
                <w:lang w:val="en-US" w:eastAsia="zh-CN"/>
              </w:rPr>
              <w:t>2</w:t>
            </w:r>
            <w:r>
              <w:rPr>
                <w:color w:val="auto"/>
                <w:lang w:val="en-US" w:eastAsia="zh-CN"/>
              </w:rPr>
              <w:t>）</w:t>
            </w:r>
          </w:p>
        </w:tc>
        <w:tc>
          <w:tcPr>
            <w:tcW w:w="929" w:type="pct"/>
            <w:noWrap w:val="0"/>
            <w:vAlign w:val="center"/>
          </w:tcPr>
          <w:p>
            <w:pPr>
              <w:pStyle w:val="35"/>
              <w:bidi w:val="0"/>
              <w:rPr>
                <w:color w:val="auto"/>
                <w:lang w:val="en-US" w:eastAsia="zh-CN"/>
              </w:rPr>
            </w:pPr>
            <w:r>
              <w:rPr>
                <w:color w:val="auto"/>
                <w:lang w:val="en-US" w:eastAsia="zh-CN"/>
              </w:rPr>
              <w:fldChar w:fldCharType="begin"/>
            </w:r>
            <w:r>
              <w:rPr>
                <w:color w:val="auto"/>
                <w:lang w:val="en-US" w:eastAsia="zh-CN"/>
              </w:rPr>
              <w:instrText xml:space="preserve"> = 4 \* ROMAN </w:instrText>
            </w:r>
            <w:r>
              <w:rPr>
                <w:color w:val="auto"/>
                <w:lang w:val="en-US" w:eastAsia="zh-CN"/>
              </w:rPr>
              <w:fldChar w:fldCharType="separate"/>
            </w:r>
            <w:r>
              <w:rPr>
                <w:color w:val="auto"/>
                <w:lang w:val="en-US" w:eastAsia="zh-CN"/>
              </w:rPr>
              <w:t>IV</w:t>
            </w:r>
            <w:r>
              <w:rPr>
                <w:color w:val="auto"/>
                <w:lang w:val="en-US" w:eastAsia="zh-CN"/>
              </w:rPr>
              <w:fldChar w:fldCharType="end"/>
            </w:r>
          </w:p>
        </w:tc>
        <w:tc>
          <w:tcPr>
            <w:tcW w:w="929" w:type="pct"/>
            <w:noWrap w:val="0"/>
            <w:vAlign w:val="center"/>
          </w:tcPr>
          <w:p>
            <w:pPr>
              <w:pStyle w:val="35"/>
              <w:bidi w:val="0"/>
              <w:rPr>
                <w:color w:val="auto"/>
                <w:lang w:val="en-US" w:eastAsia="zh-CN"/>
              </w:rPr>
            </w:pPr>
            <w:r>
              <w:rPr>
                <w:color w:val="auto"/>
                <w:lang w:val="en-US" w:eastAsia="zh-CN"/>
              </w:rPr>
              <w:fldChar w:fldCharType="begin"/>
            </w:r>
            <w:r>
              <w:rPr>
                <w:color w:val="auto"/>
                <w:lang w:val="en-US" w:eastAsia="zh-CN"/>
              </w:rPr>
              <w:instrText xml:space="preserve"> = 3 \* ROMAN </w:instrText>
            </w:r>
            <w:r>
              <w:rPr>
                <w:color w:val="auto"/>
                <w:lang w:val="en-US" w:eastAsia="zh-CN"/>
              </w:rPr>
              <w:fldChar w:fldCharType="separate"/>
            </w:r>
            <w:r>
              <w:rPr>
                <w:color w:val="auto"/>
                <w:lang w:val="en-US" w:eastAsia="zh-CN"/>
              </w:rPr>
              <w:t>III</w:t>
            </w:r>
            <w:r>
              <w:rPr>
                <w:color w:val="auto"/>
                <w:lang w:val="en-US" w:eastAsia="zh-CN"/>
              </w:rPr>
              <w:fldChar w:fldCharType="end"/>
            </w:r>
          </w:p>
        </w:tc>
        <w:tc>
          <w:tcPr>
            <w:tcW w:w="929" w:type="pct"/>
            <w:noWrap w:val="0"/>
            <w:vAlign w:val="center"/>
          </w:tcPr>
          <w:p>
            <w:pPr>
              <w:pStyle w:val="35"/>
              <w:bidi w:val="0"/>
              <w:rPr>
                <w:color w:val="auto"/>
                <w:lang w:val="en-US" w:eastAsia="zh-CN"/>
              </w:rPr>
            </w:pPr>
            <w:r>
              <w:rPr>
                <w:color w:val="auto"/>
                <w:lang w:val="en-US" w:eastAsia="zh-CN"/>
              </w:rPr>
              <w:fldChar w:fldCharType="begin"/>
            </w:r>
            <w:r>
              <w:rPr>
                <w:color w:val="auto"/>
                <w:lang w:val="en-US" w:eastAsia="zh-CN"/>
              </w:rPr>
              <w:instrText xml:space="preserve"> = 3 \* ROMAN </w:instrText>
            </w:r>
            <w:r>
              <w:rPr>
                <w:color w:val="auto"/>
                <w:lang w:val="en-US" w:eastAsia="zh-CN"/>
              </w:rPr>
              <w:fldChar w:fldCharType="separate"/>
            </w:r>
            <w:r>
              <w:rPr>
                <w:color w:val="auto"/>
                <w:lang w:val="en-US" w:eastAsia="zh-CN"/>
              </w:rPr>
              <w:t>III</w:t>
            </w:r>
            <w:r>
              <w:rPr>
                <w:color w:val="auto"/>
                <w:lang w:val="en-US" w:eastAsia="zh-CN"/>
              </w:rPr>
              <w:fldChar w:fldCharType="end"/>
            </w:r>
          </w:p>
        </w:tc>
        <w:tc>
          <w:tcPr>
            <w:tcW w:w="930" w:type="pct"/>
            <w:noWrap w:val="0"/>
            <w:vAlign w:val="center"/>
          </w:tcPr>
          <w:p>
            <w:pPr>
              <w:pStyle w:val="35"/>
              <w:bidi w:val="0"/>
              <w:rPr>
                <w:color w:val="auto"/>
                <w:lang w:val="en-US" w:eastAsia="zh-CN"/>
              </w:rPr>
            </w:pPr>
            <w:r>
              <w:rPr>
                <w:color w:val="auto"/>
                <w:lang w:val="en-US" w:eastAsia="zh-CN"/>
              </w:rPr>
              <w:fldChar w:fldCharType="begin"/>
            </w:r>
            <w:r>
              <w:rPr>
                <w:color w:val="auto"/>
                <w:lang w:val="en-US" w:eastAsia="zh-CN"/>
              </w:rPr>
              <w:instrText xml:space="preserve"> = 2 \* ROMAN </w:instrText>
            </w:r>
            <w:r>
              <w:rPr>
                <w:color w:val="auto"/>
                <w:lang w:val="en-US" w:eastAsia="zh-CN"/>
              </w:rPr>
              <w:fldChar w:fldCharType="separate"/>
            </w:r>
            <w:r>
              <w:rPr>
                <w:color w:val="auto"/>
                <w:lang w:val="en-US" w:eastAsia="zh-CN"/>
              </w:rPr>
              <w:t>II</w:t>
            </w:r>
            <w:r>
              <w:rPr>
                <w:color w:val="auto"/>
                <w:lang w:val="en-US" w:eastAsia="zh-CN"/>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280" w:type="pct"/>
            <w:noWrap w:val="0"/>
            <w:vAlign w:val="center"/>
          </w:tcPr>
          <w:p>
            <w:pPr>
              <w:pStyle w:val="35"/>
              <w:bidi w:val="0"/>
              <w:rPr>
                <w:color w:val="auto"/>
                <w:lang w:val="en-US" w:eastAsia="zh-CN"/>
              </w:rPr>
            </w:pPr>
            <w:r>
              <w:rPr>
                <w:color w:val="auto"/>
                <w:lang w:val="en-US" w:eastAsia="zh-CN"/>
              </w:rPr>
              <w:t>环境</w:t>
            </w:r>
            <w:r>
              <w:rPr>
                <w:rFonts w:hint="eastAsia"/>
                <w:color w:val="auto"/>
                <w:lang w:val="en-US" w:eastAsia="zh-CN"/>
              </w:rPr>
              <w:t>低</w:t>
            </w:r>
            <w:r>
              <w:rPr>
                <w:color w:val="auto"/>
                <w:lang w:val="en-US" w:eastAsia="zh-CN"/>
              </w:rPr>
              <w:t>度敏感区（E</w:t>
            </w:r>
            <w:r>
              <w:rPr>
                <w:rFonts w:hint="eastAsia"/>
                <w:color w:val="auto"/>
                <w:lang w:val="en-US" w:eastAsia="zh-CN"/>
              </w:rPr>
              <w:t>3</w:t>
            </w:r>
            <w:r>
              <w:rPr>
                <w:color w:val="auto"/>
                <w:lang w:val="en-US" w:eastAsia="zh-CN"/>
              </w:rPr>
              <w:t>）</w:t>
            </w:r>
          </w:p>
        </w:tc>
        <w:tc>
          <w:tcPr>
            <w:tcW w:w="929" w:type="pct"/>
            <w:noWrap w:val="0"/>
            <w:vAlign w:val="center"/>
          </w:tcPr>
          <w:p>
            <w:pPr>
              <w:pStyle w:val="35"/>
              <w:bidi w:val="0"/>
              <w:rPr>
                <w:color w:val="auto"/>
                <w:lang w:val="en-US" w:eastAsia="zh-CN"/>
              </w:rPr>
            </w:pPr>
            <w:r>
              <w:rPr>
                <w:color w:val="auto"/>
                <w:lang w:val="en-US" w:eastAsia="zh-CN"/>
              </w:rPr>
              <w:fldChar w:fldCharType="begin"/>
            </w:r>
            <w:r>
              <w:rPr>
                <w:color w:val="auto"/>
                <w:lang w:val="en-US" w:eastAsia="zh-CN"/>
              </w:rPr>
              <w:instrText xml:space="preserve"> = 3 \* ROMAN </w:instrText>
            </w:r>
            <w:r>
              <w:rPr>
                <w:color w:val="auto"/>
                <w:lang w:val="en-US" w:eastAsia="zh-CN"/>
              </w:rPr>
              <w:fldChar w:fldCharType="separate"/>
            </w:r>
            <w:r>
              <w:rPr>
                <w:color w:val="auto"/>
                <w:lang w:val="en-US" w:eastAsia="zh-CN"/>
              </w:rPr>
              <w:t>III</w:t>
            </w:r>
            <w:r>
              <w:rPr>
                <w:color w:val="auto"/>
                <w:lang w:val="en-US" w:eastAsia="zh-CN"/>
              </w:rPr>
              <w:fldChar w:fldCharType="end"/>
            </w:r>
          </w:p>
        </w:tc>
        <w:tc>
          <w:tcPr>
            <w:tcW w:w="929" w:type="pct"/>
            <w:noWrap w:val="0"/>
            <w:vAlign w:val="center"/>
          </w:tcPr>
          <w:p>
            <w:pPr>
              <w:pStyle w:val="35"/>
              <w:bidi w:val="0"/>
              <w:rPr>
                <w:color w:val="auto"/>
                <w:lang w:val="en-US" w:eastAsia="zh-CN"/>
              </w:rPr>
            </w:pPr>
            <w:r>
              <w:rPr>
                <w:color w:val="auto"/>
                <w:lang w:val="en-US" w:eastAsia="zh-CN"/>
              </w:rPr>
              <w:fldChar w:fldCharType="begin"/>
            </w:r>
            <w:r>
              <w:rPr>
                <w:color w:val="auto"/>
                <w:lang w:val="en-US" w:eastAsia="zh-CN"/>
              </w:rPr>
              <w:instrText xml:space="preserve"> = 3 \* ROMAN </w:instrText>
            </w:r>
            <w:r>
              <w:rPr>
                <w:color w:val="auto"/>
                <w:lang w:val="en-US" w:eastAsia="zh-CN"/>
              </w:rPr>
              <w:fldChar w:fldCharType="separate"/>
            </w:r>
            <w:r>
              <w:rPr>
                <w:color w:val="auto"/>
                <w:lang w:val="en-US" w:eastAsia="zh-CN"/>
              </w:rPr>
              <w:t>III</w:t>
            </w:r>
            <w:r>
              <w:rPr>
                <w:color w:val="auto"/>
                <w:lang w:val="en-US" w:eastAsia="zh-CN"/>
              </w:rPr>
              <w:fldChar w:fldCharType="end"/>
            </w:r>
          </w:p>
        </w:tc>
        <w:tc>
          <w:tcPr>
            <w:tcW w:w="929" w:type="pct"/>
            <w:noWrap w:val="0"/>
            <w:vAlign w:val="center"/>
          </w:tcPr>
          <w:p>
            <w:pPr>
              <w:pStyle w:val="35"/>
              <w:bidi w:val="0"/>
              <w:rPr>
                <w:color w:val="auto"/>
                <w:lang w:val="en-US" w:eastAsia="zh-CN"/>
              </w:rPr>
            </w:pPr>
            <w:r>
              <w:rPr>
                <w:color w:val="auto"/>
                <w:lang w:val="en-US" w:eastAsia="zh-CN"/>
              </w:rPr>
              <w:fldChar w:fldCharType="begin"/>
            </w:r>
            <w:r>
              <w:rPr>
                <w:color w:val="auto"/>
                <w:lang w:val="en-US" w:eastAsia="zh-CN"/>
              </w:rPr>
              <w:instrText xml:space="preserve"> = 2 \* ROMAN </w:instrText>
            </w:r>
            <w:r>
              <w:rPr>
                <w:color w:val="auto"/>
                <w:lang w:val="en-US" w:eastAsia="zh-CN"/>
              </w:rPr>
              <w:fldChar w:fldCharType="separate"/>
            </w:r>
            <w:r>
              <w:rPr>
                <w:color w:val="auto"/>
                <w:lang w:val="en-US" w:eastAsia="zh-CN"/>
              </w:rPr>
              <w:t>II</w:t>
            </w:r>
            <w:r>
              <w:rPr>
                <w:color w:val="auto"/>
                <w:lang w:val="en-US" w:eastAsia="zh-CN"/>
              </w:rPr>
              <w:fldChar w:fldCharType="end"/>
            </w:r>
          </w:p>
        </w:tc>
        <w:tc>
          <w:tcPr>
            <w:tcW w:w="930" w:type="pct"/>
            <w:noWrap w:val="0"/>
            <w:vAlign w:val="center"/>
          </w:tcPr>
          <w:p>
            <w:pPr>
              <w:pStyle w:val="35"/>
              <w:bidi w:val="0"/>
              <w:rPr>
                <w:color w:val="auto"/>
                <w:lang w:val="en-US" w:eastAsia="zh-CN"/>
              </w:rPr>
            </w:pPr>
            <w:r>
              <w:rPr>
                <w:color w:val="auto"/>
                <w:lang w:val="en-US" w:eastAsia="zh-CN"/>
              </w:rPr>
              <w:fldChar w:fldCharType="begin"/>
            </w:r>
            <w:r>
              <w:rPr>
                <w:color w:val="auto"/>
                <w:lang w:val="en-US" w:eastAsia="zh-CN"/>
              </w:rPr>
              <w:instrText xml:space="preserve"> = 1 \* ROMAN </w:instrText>
            </w:r>
            <w:r>
              <w:rPr>
                <w:color w:val="auto"/>
                <w:lang w:val="en-US" w:eastAsia="zh-CN"/>
              </w:rPr>
              <w:fldChar w:fldCharType="separate"/>
            </w:r>
            <w:r>
              <w:rPr>
                <w:color w:val="auto"/>
                <w:lang w:val="en-US" w:eastAsia="zh-CN"/>
              </w:rPr>
              <w:t>I</w:t>
            </w:r>
            <w:r>
              <w:rPr>
                <w:color w:val="auto"/>
                <w:lang w:val="en-US" w:eastAsia="zh-CN"/>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000" w:type="pct"/>
            <w:gridSpan w:val="5"/>
            <w:noWrap w:val="0"/>
            <w:vAlign w:val="center"/>
          </w:tcPr>
          <w:p>
            <w:pPr>
              <w:pStyle w:val="35"/>
              <w:bidi w:val="0"/>
              <w:rPr>
                <w:color w:val="auto"/>
                <w:lang w:val="en-US" w:eastAsia="zh-CN"/>
              </w:rPr>
            </w:pPr>
            <w:r>
              <w:rPr>
                <w:color w:val="auto"/>
                <w:lang w:val="en-US" w:eastAsia="zh-CN"/>
              </w:rPr>
              <w:t>注：</w:t>
            </w:r>
            <w:r>
              <w:rPr>
                <w:color w:val="auto"/>
                <w:lang w:val="en-US" w:eastAsia="zh-CN"/>
              </w:rPr>
              <w:fldChar w:fldCharType="begin"/>
            </w:r>
            <w:r>
              <w:rPr>
                <w:color w:val="auto"/>
                <w:lang w:val="en-US" w:eastAsia="zh-CN"/>
              </w:rPr>
              <w:instrText xml:space="preserve"> = 4 \* ROMAN </w:instrText>
            </w:r>
            <w:r>
              <w:rPr>
                <w:color w:val="auto"/>
                <w:lang w:val="en-US" w:eastAsia="zh-CN"/>
              </w:rPr>
              <w:fldChar w:fldCharType="separate"/>
            </w:r>
            <w:r>
              <w:rPr>
                <w:color w:val="auto"/>
                <w:lang w:val="en-US" w:eastAsia="zh-CN"/>
              </w:rPr>
              <w:t>IV</w:t>
            </w:r>
            <w:r>
              <w:rPr>
                <w:color w:val="auto"/>
                <w:lang w:val="en-US" w:eastAsia="zh-CN"/>
              </w:rPr>
              <w:fldChar w:fldCharType="end"/>
            </w:r>
            <w:r>
              <w:rPr>
                <w:color w:val="auto"/>
                <w:lang w:val="en-US" w:eastAsia="zh-CN"/>
              </w:rPr>
              <w:t>+为极高环境风险</w:t>
            </w:r>
          </w:p>
        </w:tc>
      </w:tr>
    </w:tbl>
    <w:p>
      <w:pPr>
        <w:pStyle w:val="33"/>
        <w:bidi w:val="0"/>
        <w:rPr>
          <w:color w:val="auto"/>
          <w:lang w:val="en-US" w:eastAsia="zh-CN"/>
        </w:rPr>
      </w:pPr>
      <w:r>
        <w:rPr>
          <w:color w:val="auto"/>
          <w:lang w:val="en-US" w:eastAsia="zh-CN"/>
        </w:rPr>
        <w:t>根据上表可知，风险潜势由危险物质及工艺系统危险性（P）与环境敏感程度（E）共同确定，而P的分级由危险物质数量与临界量的比值（Q）和所属行业及生产工艺特点（M）共同确定。</w:t>
      </w:r>
    </w:p>
    <w:p>
      <w:pPr>
        <w:pStyle w:val="32"/>
        <w:bidi w:val="0"/>
        <w:rPr>
          <w:color w:val="auto"/>
          <w:lang w:val="en-US" w:eastAsia="zh-CN"/>
        </w:rPr>
      </w:pPr>
      <w:bookmarkStart w:id="306" w:name="_Toc29665"/>
      <w:bookmarkStart w:id="307" w:name="_Toc17441"/>
      <w:bookmarkStart w:id="308" w:name="_Toc25305"/>
      <w:r>
        <w:rPr>
          <w:rFonts w:hint="eastAsia"/>
          <w:color w:val="auto"/>
          <w:lang w:val="en-US" w:eastAsia="zh-CN"/>
        </w:rPr>
        <w:t>9.2.1</w:t>
      </w:r>
      <w:r>
        <w:rPr>
          <w:color w:val="auto"/>
          <w:lang w:val="en-US" w:eastAsia="zh-CN"/>
        </w:rPr>
        <w:t>危险物质数量与临界量比值（Q）</w:t>
      </w:r>
      <w:bookmarkEnd w:id="306"/>
      <w:bookmarkEnd w:id="307"/>
      <w:bookmarkEnd w:id="308"/>
    </w:p>
    <w:p>
      <w:pPr>
        <w:pStyle w:val="33"/>
        <w:bidi w:val="0"/>
        <w:rPr>
          <w:color w:val="auto"/>
          <w:lang w:val="en-US" w:eastAsia="zh-CN"/>
        </w:rPr>
      </w:pPr>
      <w:r>
        <w:rPr>
          <w:color w:val="auto"/>
          <w:lang w:val="en-US" w:eastAsia="zh-CN"/>
        </w:rPr>
        <w:t>危险物质数量与临界量比值（Q）为每种危险物质在厂界内的最大存在总量与其在《建设项目环境风险评价技术导则》（HJ169-2018）附录B中对应临界量的比值Q，当只涉及一种危险物质时，计算该物质的总量与其临界量比值，即为Q；当存在多种危险物质时，则按照下式计算物质总量与其临界量比值（Q）：</w:t>
      </w:r>
    </w:p>
    <w:p>
      <w:pPr>
        <w:pStyle w:val="33"/>
        <w:bidi w:val="0"/>
        <w:jc w:val="center"/>
        <w:rPr>
          <w:color w:val="auto"/>
        </w:rPr>
      </w:pPr>
      <m:oMathPara>
        <m:oMath>
          <m:r>
            <m:rPr>
              <m:sty m:val="p"/>
            </m:rPr>
            <w:rPr>
              <w:rFonts w:hint="default" w:ascii="Cambria Math" w:hAnsi="Cambria Math"/>
              <w:color w:val="auto"/>
            </w:rPr>
            <m:t>Q=</m:t>
          </m:r>
          <m:f>
            <m:fPr>
              <m:ctrlPr>
                <w:rPr>
                  <w:rFonts w:hint="default" w:ascii="Cambria Math" w:hAnsi="Cambria Math"/>
                  <w:color w:val="auto"/>
                </w:rPr>
              </m:ctrlPr>
            </m:fPr>
            <m:num>
              <m:sSub>
                <m:sSubPr>
                  <m:ctrlPr>
                    <w:rPr>
                      <w:rFonts w:hint="default" w:ascii="Cambria Math" w:hAnsi="Cambria Math"/>
                      <w:color w:val="auto"/>
                    </w:rPr>
                  </m:ctrlPr>
                </m:sSubPr>
                <m:e>
                  <m:r>
                    <m:rPr>
                      <m:sty m:val="p"/>
                    </m:rPr>
                    <w:rPr>
                      <w:rFonts w:hint="default" w:ascii="Cambria Math" w:hAnsi="Cambria Math"/>
                      <w:color w:val="auto"/>
                    </w:rPr>
                    <m:t>q</m:t>
                  </m:r>
                  <m:ctrlPr>
                    <w:rPr>
                      <w:rFonts w:hint="default" w:ascii="Cambria Math" w:hAnsi="Cambria Math"/>
                      <w:color w:val="auto"/>
                    </w:rPr>
                  </m:ctrlPr>
                </m:e>
                <m:sub>
                  <m:r>
                    <m:rPr>
                      <m:sty m:val="p"/>
                    </m:rPr>
                    <w:rPr>
                      <w:rFonts w:hint="default" w:ascii="Cambria Math" w:hAnsi="Cambria Math"/>
                      <w:color w:val="auto"/>
                    </w:rPr>
                    <m:t>1</m:t>
                  </m:r>
                  <m:ctrlPr>
                    <w:rPr>
                      <w:rFonts w:hint="default" w:ascii="Cambria Math" w:hAnsi="Cambria Math"/>
                      <w:color w:val="auto"/>
                    </w:rPr>
                  </m:ctrlPr>
                </m:sub>
              </m:sSub>
              <m:ctrlPr>
                <w:rPr>
                  <w:rFonts w:hint="default" w:ascii="Cambria Math" w:hAnsi="Cambria Math"/>
                  <w:color w:val="auto"/>
                </w:rPr>
              </m:ctrlPr>
            </m:num>
            <m:den>
              <m:sSub>
                <m:sSubPr>
                  <m:ctrlPr>
                    <w:rPr>
                      <w:rFonts w:hint="default" w:ascii="Cambria Math" w:hAnsi="Cambria Math"/>
                      <w:color w:val="auto"/>
                    </w:rPr>
                  </m:ctrlPr>
                </m:sSubPr>
                <m:e>
                  <m:r>
                    <m:rPr>
                      <m:sty m:val="p"/>
                    </m:rPr>
                    <w:rPr>
                      <w:rFonts w:hint="default" w:ascii="Cambria Math" w:hAnsi="Cambria Math"/>
                      <w:color w:val="auto"/>
                    </w:rPr>
                    <m:t>Q</m:t>
                  </m:r>
                  <m:ctrlPr>
                    <w:rPr>
                      <w:rFonts w:hint="default" w:ascii="Cambria Math" w:hAnsi="Cambria Math"/>
                      <w:color w:val="auto"/>
                    </w:rPr>
                  </m:ctrlPr>
                </m:e>
                <m:sub>
                  <m:r>
                    <m:rPr>
                      <m:sty m:val="p"/>
                    </m:rPr>
                    <w:rPr>
                      <w:rFonts w:hint="default" w:ascii="Cambria Math" w:hAnsi="Cambria Math"/>
                      <w:color w:val="auto"/>
                    </w:rPr>
                    <m:t>1</m:t>
                  </m:r>
                  <m:ctrlPr>
                    <w:rPr>
                      <w:rFonts w:hint="default" w:ascii="Cambria Math" w:hAnsi="Cambria Math"/>
                      <w:color w:val="auto"/>
                    </w:rPr>
                  </m:ctrlPr>
                </m:sub>
              </m:sSub>
              <m:ctrlPr>
                <w:rPr>
                  <w:rFonts w:hint="default" w:ascii="Cambria Math" w:hAnsi="Cambria Math"/>
                  <w:color w:val="auto"/>
                </w:rPr>
              </m:ctrlPr>
            </m:den>
          </m:f>
          <m:r>
            <m:rPr>
              <m:sty m:val="p"/>
            </m:rPr>
            <w:rPr>
              <w:rFonts w:hint="default" w:ascii="Cambria Math" w:hAnsi="Cambria Math"/>
              <w:color w:val="auto"/>
            </w:rPr>
            <m:t>+</m:t>
          </m:r>
          <m:f>
            <m:fPr>
              <m:ctrlPr>
                <w:rPr>
                  <w:rFonts w:hint="default" w:ascii="Cambria Math" w:hAnsi="Cambria Math"/>
                  <w:color w:val="auto"/>
                </w:rPr>
              </m:ctrlPr>
            </m:fPr>
            <m:num>
              <m:sSub>
                <m:sSubPr>
                  <m:ctrlPr>
                    <w:rPr>
                      <w:rFonts w:hint="default" w:ascii="Cambria Math" w:hAnsi="Cambria Math"/>
                      <w:color w:val="auto"/>
                    </w:rPr>
                  </m:ctrlPr>
                </m:sSubPr>
                <m:e>
                  <m:r>
                    <m:rPr>
                      <m:sty m:val="p"/>
                    </m:rPr>
                    <w:rPr>
                      <w:rFonts w:hint="default" w:ascii="Cambria Math" w:hAnsi="Cambria Math"/>
                      <w:color w:val="auto"/>
                    </w:rPr>
                    <m:t>q</m:t>
                  </m:r>
                  <m:ctrlPr>
                    <w:rPr>
                      <w:rFonts w:hint="default" w:ascii="Cambria Math" w:hAnsi="Cambria Math"/>
                      <w:color w:val="auto"/>
                    </w:rPr>
                  </m:ctrlPr>
                </m:e>
                <m:sub>
                  <m:r>
                    <m:rPr>
                      <m:sty m:val="p"/>
                    </m:rPr>
                    <w:rPr>
                      <w:rFonts w:hint="default" w:ascii="Cambria Math" w:hAnsi="Cambria Math"/>
                      <w:color w:val="auto"/>
                    </w:rPr>
                    <m:t>2</m:t>
                  </m:r>
                  <m:ctrlPr>
                    <w:rPr>
                      <w:rFonts w:hint="default" w:ascii="Cambria Math" w:hAnsi="Cambria Math"/>
                      <w:color w:val="auto"/>
                    </w:rPr>
                  </m:ctrlPr>
                </m:sub>
              </m:sSub>
              <m:ctrlPr>
                <w:rPr>
                  <w:rFonts w:hint="default" w:ascii="Cambria Math" w:hAnsi="Cambria Math"/>
                  <w:color w:val="auto"/>
                </w:rPr>
              </m:ctrlPr>
            </m:num>
            <m:den>
              <m:sSub>
                <m:sSubPr>
                  <m:ctrlPr>
                    <w:rPr>
                      <w:rFonts w:hint="default" w:ascii="Cambria Math" w:hAnsi="Cambria Math"/>
                      <w:color w:val="auto"/>
                    </w:rPr>
                  </m:ctrlPr>
                </m:sSubPr>
                <m:e>
                  <m:r>
                    <m:rPr>
                      <m:sty m:val="p"/>
                    </m:rPr>
                    <w:rPr>
                      <w:rFonts w:hint="default" w:ascii="Cambria Math" w:hAnsi="Cambria Math"/>
                      <w:color w:val="auto"/>
                    </w:rPr>
                    <m:t>Q</m:t>
                  </m:r>
                  <m:ctrlPr>
                    <w:rPr>
                      <w:rFonts w:hint="default" w:ascii="Cambria Math" w:hAnsi="Cambria Math"/>
                      <w:color w:val="auto"/>
                    </w:rPr>
                  </m:ctrlPr>
                </m:e>
                <m:sub>
                  <m:r>
                    <m:rPr>
                      <m:sty m:val="p"/>
                    </m:rPr>
                    <w:rPr>
                      <w:rFonts w:hint="default" w:ascii="Cambria Math" w:hAnsi="Cambria Math"/>
                      <w:color w:val="auto"/>
                    </w:rPr>
                    <m:t>2</m:t>
                  </m:r>
                  <m:ctrlPr>
                    <w:rPr>
                      <w:rFonts w:hint="default" w:ascii="Cambria Math" w:hAnsi="Cambria Math"/>
                      <w:color w:val="auto"/>
                    </w:rPr>
                  </m:ctrlPr>
                </m:sub>
              </m:sSub>
              <m:ctrlPr>
                <w:rPr>
                  <w:rFonts w:hint="default" w:ascii="Cambria Math" w:hAnsi="Cambria Math"/>
                  <w:color w:val="auto"/>
                </w:rPr>
              </m:ctrlPr>
            </m:den>
          </m:f>
          <m:r>
            <m:rPr>
              <m:sty m:val="p"/>
            </m:rPr>
            <w:rPr>
              <w:rFonts w:hint="default" w:ascii="Cambria Math" w:hAnsi="Cambria Math"/>
              <w:color w:val="auto"/>
            </w:rPr>
            <m:t>+⋯</m:t>
          </m:r>
          <m:f>
            <m:fPr>
              <m:ctrlPr>
                <w:rPr>
                  <w:rFonts w:hint="default" w:ascii="Cambria Math" w:hAnsi="Cambria Math"/>
                  <w:color w:val="auto"/>
                </w:rPr>
              </m:ctrlPr>
            </m:fPr>
            <m:num>
              <m:sSub>
                <m:sSubPr>
                  <m:ctrlPr>
                    <w:rPr>
                      <w:rFonts w:hint="default" w:ascii="Cambria Math" w:hAnsi="Cambria Math"/>
                      <w:color w:val="auto"/>
                    </w:rPr>
                  </m:ctrlPr>
                </m:sSubPr>
                <m:e>
                  <m:r>
                    <m:rPr>
                      <m:sty m:val="p"/>
                    </m:rPr>
                    <w:rPr>
                      <w:rFonts w:hint="default" w:ascii="Cambria Math" w:hAnsi="Cambria Math"/>
                      <w:color w:val="auto"/>
                    </w:rPr>
                    <m:t>q</m:t>
                  </m:r>
                  <m:ctrlPr>
                    <w:rPr>
                      <w:rFonts w:hint="default" w:ascii="Cambria Math" w:hAnsi="Cambria Math"/>
                      <w:color w:val="auto"/>
                    </w:rPr>
                  </m:ctrlPr>
                </m:e>
                <m:sub>
                  <m:r>
                    <m:rPr>
                      <m:sty m:val="p"/>
                    </m:rPr>
                    <w:rPr>
                      <w:rFonts w:hint="default" w:ascii="Cambria Math" w:hAnsi="Cambria Math"/>
                      <w:color w:val="auto"/>
                    </w:rPr>
                    <m:t>n</m:t>
                  </m:r>
                  <m:ctrlPr>
                    <w:rPr>
                      <w:rFonts w:hint="default" w:ascii="Cambria Math" w:hAnsi="Cambria Math"/>
                      <w:color w:val="auto"/>
                    </w:rPr>
                  </m:ctrlPr>
                </m:sub>
              </m:sSub>
              <m:ctrlPr>
                <w:rPr>
                  <w:rFonts w:hint="default" w:ascii="Cambria Math" w:hAnsi="Cambria Math"/>
                  <w:color w:val="auto"/>
                </w:rPr>
              </m:ctrlPr>
            </m:num>
            <m:den>
              <m:sSub>
                <m:sSubPr>
                  <m:ctrlPr>
                    <w:rPr>
                      <w:rFonts w:hint="default" w:ascii="Cambria Math" w:hAnsi="Cambria Math"/>
                      <w:color w:val="auto"/>
                    </w:rPr>
                  </m:ctrlPr>
                </m:sSubPr>
                <m:e>
                  <m:r>
                    <m:rPr>
                      <m:sty m:val="p"/>
                    </m:rPr>
                    <w:rPr>
                      <w:rFonts w:hint="default" w:ascii="Cambria Math" w:hAnsi="Cambria Math"/>
                      <w:color w:val="auto"/>
                    </w:rPr>
                    <m:t>Q</m:t>
                  </m:r>
                  <m:ctrlPr>
                    <w:rPr>
                      <w:rFonts w:hint="default" w:ascii="Cambria Math" w:hAnsi="Cambria Math"/>
                      <w:color w:val="auto"/>
                    </w:rPr>
                  </m:ctrlPr>
                </m:e>
                <m:sub>
                  <m:r>
                    <m:rPr>
                      <m:sty m:val="p"/>
                    </m:rPr>
                    <w:rPr>
                      <w:rFonts w:hint="default" w:ascii="Cambria Math" w:hAnsi="Cambria Math"/>
                      <w:color w:val="auto"/>
                    </w:rPr>
                    <m:t>n</m:t>
                  </m:r>
                  <m:ctrlPr>
                    <w:rPr>
                      <w:rFonts w:hint="default" w:ascii="Cambria Math" w:hAnsi="Cambria Math"/>
                      <w:color w:val="auto"/>
                    </w:rPr>
                  </m:ctrlPr>
                </m:sub>
              </m:sSub>
              <m:ctrlPr>
                <w:rPr>
                  <w:rFonts w:hint="default" w:ascii="Cambria Math" w:hAnsi="Cambria Math"/>
                  <w:color w:val="auto"/>
                </w:rPr>
              </m:ctrlPr>
            </m:den>
          </m:f>
        </m:oMath>
      </m:oMathPara>
    </w:p>
    <w:p>
      <w:pPr>
        <w:pStyle w:val="33"/>
        <w:bidi w:val="0"/>
        <w:rPr>
          <w:color w:val="auto"/>
          <w:lang w:val="en-US" w:eastAsia="zh-CN"/>
        </w:rPr>
      </w:pPr>
      <w:r>
        <w:rPr>
          <w:color w:val="auto"/>
          <w:lang w:val="en-US" w:eastAsia="zh-CN"/>
        </w:rPr>
        <w:t>式中：</w:t>
      </w:r>
      <w:r>
        <w:rPr>
          <w:rFonts w:hint="eastAsia"/>
          <w:color w:val="auto"/>
          <w:lang w:val="en-US" w:eastAsia="zh-CN"/>
        </w:rPr>
        <w:t>q</w:t>
      </w:r>
      <w:r>
        <w:rPr>
          <w:rFonts w:hint="eastAsia"/>
          <w:color w:val="auto"/>
          <w:vertAlign w:val="subscript"/>
          <w:lang w:val="en-US" w:eastAsia="zh-CN"/>
        </w:rPr>
        <w:t>1</w:t>
      </w:r>
      <w:r>
        <w:rPr>
          <w:color w:val="auto"/>
          <w:lang w:val="en-US" w:eastAsia="zh-CN"/>
        </w:rPr>
        <w:t>，q</w:t>
      </w:r>
      <w:r>
        <w:rPr>
          <w:color w:val="auto"/>
          <w:vertAlign w:val="subscript"/>
          <w:lang w:val="en-US" w:eastAsia="zh-CN"/>
        </w:rPr>
        <w:t>2</w:t>
      </w:r>
      <w:r>
        <w:rPr>
          <w:color w:val="auto"/>
          <w:lang w:val="en-US" w:eastAsia="zh-CN"/>
        </w:rPr>
        <w:t>，…，qn</w:t>
      </w:r>
      <w:r>
        <w:rPr>
          <w:rFonts w:hint="eastAsia"/>
          <w:color w:val="auto"/>
          <w:lang w:val="en-US" w:eastAsia="zh-CN"/>
        </w:rPr>
        <w:t>——</w:t>
      </w:r>
      <w:r>
        <w:rPr>
          <w:color w:val="auto"/>
          <w:lang w:val="en-US" w:eastAsia="zh-CN"/>
        </w:rPr>
        <w:t>每种危险物质的最大存在量，t；</w:t>
      </w:r>
    </w:p>
    <w:p>
      <w:pPr>
        <w:pStyle w:val="33"/>
        <w:bidi w:val="0"/>
        <w:rPr>
          <w:color w:val="auto"/>
          <w:lang w:val="en-US" w:eastAsia="zh-CN"/>
        </w:rPr>
      </w:pPr>
      <w:r>
        <w:rPr>
          <w:color w:val="auto"/>
          <w:lang w:val="en-US" w:eastAsia="zh-CN"/>
        </w:rPr>
        <w:t>Q</w:t>
      </w:r>
      <w:r>
        <w:rPr>
          <w:color w:val="auto"/>
          <w:vertAlign w:val="subscript"/>
          <w:lang w:val="en-US" w:eastAsia="zh-CN"/>
        </w:rPr>
        <w:t>1</w:t>
      </w:r>
      <w:r>
        <w:rPr>
          <w:color w:val="auto"/>
          <w:lang w:val="en-US" w:eastAsia="zh-CN"/>
        </w:rPr>
        <w:t>，Q</w:t>
      </w:r>
      <w:r>
        <w:rPr>
          <w:color w:val="auto"/>
          <w:vertAlign w:val="subscript"/>
          <w:lang w:val="en-US" w:eastAsia="zh-CN"/>
        </w:rPr>
        <w:t>2</w:t>
      </w:r>
      <w:r>
        <w:rPr>
          <w:color w:val="auto"/>
          <w:lang w:val="en-US" w:eastAsia="zh-CN"/>
        </w:rPr>
        <w:t>，…，Qn</w:t>
      </w:r>
      <w:r>
        <w:rPr>
          <w:rFonts w:hint="eastAsia"/>
          <w:color w:val="auto"/>
          <w:lang w:val="en-US" w:eastAsia="zh-CN"/>
        </w:rPr>
        <w:t>——</w:t>
      </w:r>
      <w:r>
        <w:rPr>
          <w:color w:val="auto"/>
          <w:lang w:val="en-US" w:eastAsia="zh-CN"/>
        </w:rPr>
        <w:t>每种危险物质的临界量，t。</w:t>
      </w:r>
    </w:p>
    <w:p>
      <w:pPr>
        <w:pStyle w:val="33"/>
        <w:bidi w:val="0"/>
        <w:rPr>
          <w:color w:val="auto"/>
          <w:lang w:val="en-US" w:eastAsia="zh-CN"/>
        </w:rPr>
      </w:pPr>
      <w:r>
        <w:rPr>
          <w:color w:val="auto"/>
          <w:lang w:val="en-US" w:eastAsia="zh-CN"/>
        </w:rPr>
        <w:t>当Q＜1时，该项目风险潜势为</w:t>
      </w:r>
      <w:r>
        <w:rPr>
          <w:color w:val="auto"/>
          <w:lang w:val="en-US" w:eastAsia="zh-CN"/>
        </w:rPr>
        <w:fldChar w:fldCharType="begin"/>
      </w:r>
      <w:r>
        <w:rPr>
          <w:color w:val="auto"/>
          <w:lang w:val="en-US" w:eastAsia="zh-CN"/>
        </w:rPr>
        <w:instrText xml:space="preserve"> = 1 \* ROMAN </w:instrText>
      </w:r>
      <w:r>
        <w:rPr>
          <w:color w:val="auto"/>
          <w:lang w:val="en-US" w:eastAsia="zh-CN"/>
        </w:rPr>
        <w:fldChar w:fldCharType="separate"/>
      </w:r>
      <w:r>
        <w:rPr>
          <w:color w:val="auto"/>
          <w:lang w:val="en-US" w:eastAsia="zh-CN"/>
        </w:rPr>
        <w:t>I</w:t>
      </w:r>
      <w:r>
        <w:rPr>
          <w:color w:val="auto"/>
          <w:lang w:val="en-US" w:eastAsia="zh-CN"/>
        </w:rPr>
        <w:fldChar w:fldCharType="end"/>
      </w:r>
      <w:r>
        <w:rPr>
          <w:color w:val="auto"/>
          <w:lang w:val="en-US" w:eastAsia="zh-CN"/>
        </w:rPr>
        <w:t>；</w:t>
      </w:r>
    </w:p>
    <w:p>
      <w:pPr>
        <w:pStyle w:val="33"/>
        <w:bidi w:val="0"/>
        <w:rPr>
          <w:color w:val="auto"/>
          <w:lang w:val="en-US" w:eastAsia="zh-CN"/>
        </w:rPr>
      </w:pPr>
      <w:r>
        <w:rPr>
          <w:color w:val="auto"/>
          <w:lang w:val="en-US" w:eastAsia="zh-CN"/>
        </w:rPr>
        <w:t>当Q</w:t>
      </w:r>
      <w:r>
        <w:rPr>
          <w:rFonts w:hint="eastAsia"/>
          <w:color w:val="auto"/>
          <w:lang w:val="en-US" w:eastAsia="zh-CN"/>
        </w:rPr>
        <w:t>≧</w:t>
      </w:r>
      <w:r>
        <w:rPr>
          <w:color w:val="auto"/>
          <w:lang w:val="en-US" w:eastAsia="zh-CN"/>
        </w:rPr>
        <w:t>1时，将Q值划分为：（1）1</w:t>
      </w:r>
      <w:r>
        <w:rPr>
          <w:rFonts w:hint="eastAsia"/>
          <w:color w:val="auto"/>
          <w:lang w:val="en-US" w:eastAsia="zh-CN"/>
        </w:rPr>
        <w:t>≦</w:t>
      </w:r>
      <w:r>
        <w:rPr>
          <w:color w:val="auto"/>
          <w:lang w:val="en-US" w:eastAsia="zh-CN"/>
        </w:rPr>
        <w:t>Q＜10；（2）10</w:t>
      </w:r>
      <w:r>
        <w:rPr>
          <w:rFonts w:hint="eastAsia"/>
          <w:color w:val="auto"/>
          <w:lang w:val="en-US" w:eastAsia="zh-CN"/>
        </w:rPr>
        <w:t>≦</w:t>
      </w:r>
      <w:r>
        <w:rPr>
          <w:color w:val="auto"/>
          <w:lang w:val="en-US" w:eastAsia="zh-CN"/>
        </w:rPr>
        <w:t>Q＜100；（3）Q</w:t>
      </w:r>
      <w:r>
        <w:rPr>
          <w:rFonts w:hint="eastAsia"/>
          <w:color w:val="auto"/>
          <w:lang w:val="en-US" w:eastAsia="zh-CN"/>
        </w:rPr>
        <w:t>≧</w:t>
      </w:r>
      <w:r>
        <w:rPr>
          <w:color w:val="auto"/>
          <w:lang w:val="en-US" w:eastAsia="zh-CN"/>
        </w:rPr>
        <w:t>100。</w:t>
      </w:r>
    </w:p>
    <w:p>
      <w:pPr>
        <w:pStyle w:val="36"/>
        <w:bidi w:val="0"/>
        <w:rPr>
          <w:rFonts w:ascii="Times New Roman" w:hAnsi="Times New Roman" w:eastAsia="宋体" w:cs="Times New Roman"/>
          <w:b/>
          <w:color w:val="auto"/>
          <w:kern w:val="2"/>
          <w:sz w:val="24"/>
          <w:szCs w:val="24"/>
          <w:lang w:val="en-US" w:eastAsia="zh-CN" w:bidi="ar-SA"/>
        </w:rPr>
      </w:pPr>
      <w:bookmarkStart w:id="309" w:name="_Ref9153"/>
      <w:r>
        <w:rPr>
          <w:rFonts w:ascii="Times New Roman" w:hAnsi="Times New Roman" w:eastAsia="宋体" w:cs="Times New Roman"/>
          <w:b/>
          <w:color w:val="auto"/>
          <w:kern w:val="2"/>
          <w:sz w:val="24"/>
          <w:szCs w:val="24"/>
          <w:lang w:val="en-US" w:eastAsia="zh-CN" w:bidi="ar-SA"/>
        </w:rPr>
        <w:t>表</w:t>
      </w:r>
      <w:r>
        <w:rPr>
          <w:rFonts w:hint="eastAsia" w:ascii="Times New Roman" w:hAnsi="Times New Roman" w:eastAsia="宋体" w:cs="Times New Roman"/>
          <w:b/>
          <w:color w:val="auto"/>
          <w:kern w:val="2"/>
          <w:sz w:val="24"/>
          <w:szCs w:val="24"/>
          <w:lang w:val="en-US" w:eastAsia="zh-CN" w:bidi="ar-SA"/>
        </w:rPr>
        <w:t>9.2-</w:t>
      </w:r>
      <w:r>
        <w:rPr>
          <w:rFonts w:ascii="Times New Roman" w:hAnsi="Times New Roman" w:eastAsia="宋体" w:cs="Times New Roman"/>
          <w:b/>
          <w:color w:val="auto"/>
          <w:kern w:val="2"/>
          <w:sz w:val="24"/>
          <w:szCs w:val="24"/>
          <w:lang w:val="en-US" w:eastAsia="zh-CN" w:bidi="ar-SA"/>
        </w:rPr>
        <w:fldChar w:fldCharType="begin"/>
      </w:r>
      <w:r>
        <w:rPr>
          <w:rFonts w:ascii="Times New Roman" w:hAnsi="Times New Roman" w:eastAsia="宋体" w:cs="Times New Roman"/>
          <w:b/>
          <w:color w:val="auto"/>
          <w:kern w:val="2"/>
          <w:sz w:val="24"/>
          <w:szCs w:val="24"/>
          <w:lang w:val="en-US" w:eastAsia="zh-CN" w:bidi="ar-SA"/>
        </w:rPr>
        <w:instrText xml:space="preserve"> SEQ 表 \* ARABIC \s 1 </w:instrText>
      </w:r>
      <w:r>
        <w:rPr>
          <w:rFonts w:ascii="Times New Roman" w:hAnsi="Times New Roman" w:eastAsia="宋体" w:cs="Times New Roman"/>
          <w:b/>
          <w:color w:val="auto"/>
          <w:kern w:val="2"/>
          <w:sz w:val="24"/>
          <w:szCs w:val="24"/>
          <w:lang w:val="en-US" w:eastAsia="zh-CN" w:bidi="ar-SA"/>
        </w:rPr>
        <w:fldChar w:fldCharType="separate"/>
      </w:r>
      <w:r>
        <w:rPr>
          <w:rFonts w:ascii="Times New Roman" w:hAnsi="Times New Roman" w:eastAsia="宋体" w:cs="Times New Roman"/>
          <w:b/>
          <w:color w:val="auto"/>
          <w:kern w:val="2"/>
          <w:sz w:val="24"/>
          <w:szCs w:val="24"/>
          <w:lang w:val="en-US" w:eastAsia="zh-CN" w:bidi="ar-SA"/>
        </w:rPr>
        <w:t>2</w:t>
      </w:r>
      <w:r>
        <w:rPr>
          <w:rFonts w:ascii="Times New Roman" w:hAnsi="Times New Roman" w:eastAsia="宋体" w:cs="Times New Roman"/>
          <w:b/>
          <w:color w:val="auto"/>
          <w:kern w:val="2"/>
          <w:sz w:val="24"/>
          <w:szCs w:val="24"/>
          <w:lang w:val="en-US" w:eastAsia="zh-CN" w:bidi="ar-SA"/>
        </w:rPr>
        <w:fldChar w:fldCharType="end"/>
      </w:r>
      <w:bookmarkEnd w:id="309"/>
      <w:r>
        <w:rPr>
          <w:rFonts w:ascii="Times New Roman" w:hAnsi="Times New Roman" w:eastAsia="宋体" w:cs="Times New Roman"/>
          <w:b/>
          <w:color w:val="auto"/>
          <w:kern w:val="2"/>
          <w:sz w:val="24"/>
          <w:szCs w:val="24"/>
          <w:lang w:val="en-US" w:eastAsia="zh-CN" w:bidi="ar-SA"/>
        </w:rPr>
        <w:t>涉及的风险物质及Q值计算一览表</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30" w:type="dxa"/>
          <w:bottom w:w="0" w:type="dxa"/>
          <w:right w:w="30" w:type="dxa"/>
        </w:tblCellMar>
      </w:tblPr>
      <w:tblGrid>
        <w:gridCol w:w="723"/>
        <w:gridCol w:w="1549"/>
        <w:gridCol w:w="1081"/>
        <w:gridCol w:w="1796"/>
        <w:gridCol w:w="978"/>
        <w:gridCol w:w="1289"/>
        <w:gridCol w:w="1055"/>
        <w:gridCol w:w="8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387" w:type="pct"/>
            <w:noWrap w:val="0"/>
            <w:vAlign w:val="center"/>
          </w:tcPr>
          <w:p>
            <w:pPr>
              <w:pStyle w:val="35"/>
              <w:bidi w:val="0"/>
              <w:jc w:val="center"/>
              <w:rPr>
                <w:b/>
                <w:bCs/>
                <w:color w:val="auto"/>
                <w:lang w:val="en-US" w:eastAsia="zh-CN"/>
              </w:rPr>
            </w:pPr>
            <w:r>
              <w:rPr>
                <w:b/>
                <w:bCs/>
                <w:color w:val="auto"/>
                <w:lang w:val="en-US" w:eastAsia="zh-CN"/>
              </w:rPr>
              <w:t>序号</w:t>
            </w:r>
          </w:p>
        </w:tc>
        <w:tc>
          <w:tcPr>
            <w:tcW w:w="828" w:type="pct"/>
            <w:noWrap w:val="0"/>
            <w:vAlign w:val="center"/>
          </w:tcPr>
          <w:p>
            <w:pPr>
              <w:pStyle w:val="35"/>
              <w:bidi w:val="0"/>
              <w:jc w:val="center"/>
              <w:rPr>
                <w:b/>
                <w:bCs/>
                <w:color w:val="auto"/>
                <w:lang w:val="en-US" w:eastAsia="zh-CN"/>
              </w:rPr>
            </w:pPr>
            <w:r>
              <w:rPr>
                <w:b/>
                <w:bCs/>
                <w:color w:val="auto"/>
                <w:lang w:val="en-US" w:eastAsia="zh-CN"/>
              </w:rPr>
              <w:t>名称</w:t>
            </w:r>
          </w:p>
        </w:tc>
        <w:tc>
          <w:tcPr>
            <w:tcW w:w="578" w:type="pct"/>
            <w:noWrap w:val="0"/>
            <w:vAlign w:val="center"/>
          </w:tcPr>
          <w:p>
            <w:pPr>
              <w:pStyle w:val="35"/>
              <w:bidi w:val="0"/>
              <w:jc w:val="center"/>
              <w:rPr>
                <w:b/>
                <w:bCs/>
                <w:color w:val="auto"/>
                <w:lang w:val="en-US" w:eastAsia="zh-CN"/>
              </w:rPr>
            </w:pPr>
            <w:r>
              <w:rPr>
                <w:rFonts w:hint="eastAsia"/>
                <w:b/>
                <w:bCs/>
                <w:color w:val="auto"/>
                <w:lang w:val="en-US" w:eastAsia="zh-CN"/>
              </w:rPr>
              <w:t>形态</w:t>
            </w:r>
          </w:p>
        </w:tc>
        <w:tc>
          <w:tcPr>
            <w:tcW w:w="960" w:type="pct"/>
            <w:noWrap w:val="0"/>
            <w:vAlign w:val="center"/>
          </w:tcPr>
          <w:p>
            <w:pPr>
              <w:pStyle w:val="35"/>
              <w:bidi w:val="0"/>
              <w:jc w:val="center"/>
              <w:rPr>
                <w:rFonts w:hint="default"/>
                <w:b/>
                <w:bCs/>
                <w:color w:val="auto"/>
                <w:lang w:val="en-US" w:eastAsia="zh-CN"/>
              </w:rPr>
            </w:pPr>
            <w:r>
              <w:rPr>
                <w:rFonts w:hint="eastAsia"/>
                <w:b/>
                <w:bCs/>
                <w:color w:val="auto"/>
                <w:lang w:val="en-US" w:eastAsia="zh-CN"/>
              </w:rPr>
              <w:t>危险类别</w:t>
            </w:r>
          </w:p>
        </w:tc>
        <w:tc>
          <w:tcPr>
            <w:tcW w:w="523" w:type="pct"/>
            <w:noWrap w:val="0"/>
            <w:vAlign w:val="center"/>
          </w:tcPr>
          <w:p>
            <w:pPr>
              <w:pStyle w:val="35"/>
              <w:bidi w:val="0"/>
              <w:jc w:val="center"/>
              <w:rPr>
                <w:b/>
                <w:bCs/>
                <w:color w:val="auto"/>
                <w:lang w:val="en-US" w:eastAsia="zh-CN"/>
              </w:rPr>
            </w:pPr>
            <w:r>
              <w:rPr>
                <w:b/>
                <w:bCs/>
                <w:color w:val="auto"/>
                <w:lang w:val="en-US" w:eastAsia="zh-CN"/>
              </w:rPr>
              <w:t>贮存方式</w:t>
            </w:r>
          </w:p>
        </w:tc>
        <w:tc>
          <w:tcPr>
            <w:tcW w:w="689" w:type="pct"/>
            <w:noWrap w:val="0"/>
            <w:vAlign w:val="center"/>
          </w:tcPr>
          <w:p>
            <w:pPr>
              <w:pStyle w:val="35"/>
              <w:bidi w:val="0"/>
              <w:jc w:val="center"/>
              <w:rPr>
                <w:b/>
                <w:bCs/>
                <w:color w:val="auto"/>
                <w:lang w:val="en-US" w:eastAsia="zh-CN"/>
              </w:rPr>
            </w:pPr>
            <w:r>
              <w:rPr>
                <w:b/>
                <w:bCs/>
                <w:color w:val="auto"/>
                <w:lang w:val="en-US" w:eastAsia="zh-CN"/>
              </w:rPr>
              <w:t>最大贮存量q</w:t>
            </w:r>
            <w:r>
              <w:rPr>
                <w:rFonts w:hint="eastAsia"/>
                <w:b/>
                <w:bCs/>
                <w:color w:val="auto"/>
                <w:lang w:val="en-US" w:eastAsia="zh-CN"/>
              </w:rPr>
              <w:t>i（t）</w:t>
            </w:r>
          </w:p>
        </w:tc>
        <w:tc>
          <w:tcPr>
            <w:tcW w:w="560" w:type="pct"/>
            <w:noWrap w:val="0"/>
            <w:vAlign w:val="center"/>
          </w:tcPr>
          <w:p>
            <w:pPr>
              <w:pStyle w:val="35"/>
              <w:bidi w:val="0"/>
              <w:jc w:val="center"/>
              <w:rPr>
                <w:b/>
                <w:bCs/>
                <w:color w:val="auto"/>
                <w:lang w:val="en-US" w:eastAsia="zh-CN"/>
              </w:rPr>
            </w:pPr>
            <w:r>
              <w:rPr>
                <w:b/>
                <w:bCs/>
                <w:color w:val="auto"/>
                <w:lang w:val="en-US" w:eastAsia="zh-CN"/>
              </w:rPr>
              <w:t>临界量Q</w:t>
            </w:r>
            <w:r>
              <w:rPr>
                <w:rFonts w:hint="eastAsia"/>
                <w:b/>
                <w:bCs/>
                <w:color w:val="auto"/>
                <w:lang w:val="en-US" w:eastAsia="zh-CN"/>
              </w:rPr>
              <w:t>i（t）</w:t>
            </w:r>
          </w:p>
        </w:tc>
        <w:tc>
          <w:tcPr>
            <w:tcW w:w="470" w:type="pct"/>
            <w:noWrap w:val="0"/>
            <w:vAlign w:val="center"/>
          </w:tcPr>
          <w:p>
            <w:pPr>
              <w:pStyle w:val="35"/>
              <w:bidi w:val="0"/>
              <w:jc w:val="center"/>
              <w:rPr>
                <w:b/>
                <w:bCs/>
                <w:color w:val="auto"/>
                <w:lang w:val="en-US" w:eastAsia="zh-CN"/>
              </w:rPr>
            </w:pPr>
            <w:r>
              <w:rPr>
                <w:b/>
                <w:bCs/>
                <w:color w:val="auto"/>
                <w:lang w:val="en-US" w:eastAsia="zh-CN"/>
              </w:rPr>
              <w:t>q</w:t>
            </w:r>
            <w:r>
              <w:rPr>
                <w:rFonts w:hint="eastAsia"/>
                <w:b/>
                <w:bCs/>
                <w:color w:val="auto"/>
                <w:lang w:val="en-US" w:eastAsia="zh-CN"/>
              </w:rPr>
              <w:t>i</w:t>
            </w:r>
            <w:r>
              <w:rPr>
                <w:b/>
                <w:bCs/>
                <w:color w:val="auto"/>
                <w:lang w:val="en-US" w:eastAsia="zh-CN"/>
              </w:rPr>
              <w:t>/Q</w:t>
            </w:r>
            <w:r>
              <w:rPr>
                <w:rFonts w:hint="eastAsia"/>
                <w:b/>
                <w:bCs/>
                <w:color w:val="auto"/>
                <w:lang w:val="en-US" w:eastAsia="zh-CN"/>
              </w:rPr>
              <w:t>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37" w:hRule="atLeast"/>
          <w:jc w:val="center"/>
        </w:trPr>
        <w:tc>
          <w:tcPr>
            <w:tcW w:w="387" w:type="pct"/>
            <w:noWrap w:val="0"/>
            <w:vAlign w:val="center"/>
          </w:tcPr>
          <w:p>
            <w:pPr>
              <w:pStyle w:val="35"/>
              <w:bidi w:val="0"/>
              <w:jc w:val="center"/>
              <w:rPr>
                <w:color w:val="auto"/>
                <w:u w:val="single"/>
                <w:lang w:val="en-US" w:eastAsia="zh-CN"/>
              </w:rPr>
            </w:pPr>
            <w:r>
              <w:rPr>
                <w:rFonts w:hint="eastAsia"/>
                <w:color w:val="auto"/>
                <w:u w:val="single"/>
                <w:lang w:val="en-US" w:eastAsia="zh-CN"/>
              </w:rPr>
              <w:t>1</w:t>
            </w:r>
          </w:p>
        </w:tc>
        <w:tc>
          <w:tcPr>
            <w:tcW w:w="828"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粗碳酸二甲酯（甲醇）</w:t>
            </w:r>
          </w:p>
        </w:tc>
        <w:tc>
          <w:tcPr>
            <w:tcW w:w="578" w:type="pct"/>
            <w:noWrap w:val="0"/>
            <w:vAlign w:val="center"/>
          </w:tcPr>
          <w:p>
            <w:pPr>
              <w:pStyle w:val="35"/>
              <w:bidi w:val="0"/>
              <w:jc w:val="center"/>
              <w:rPr>
                <w:color w:val="auto"/>
                <w:u w:val="single"/>
                <w:lang w:val="en-US" w:eastAsia="zh-CN"/>
              </w:rPr>
            </w:pPr>
            <w:r>
              <w:rPr>
                <w:rFonts w:hint="eastAsia"/>
                <w:color w:val="auto"/>
                <w:u w:val="single"/>
                <w:lang w:val="en-US" w:eastAsia="zh-CN"/>
              </w:rPr>
              <w:t>液体</w:t>
            </w:r>
          </w:p>
        </w:tc>
        <w:tc>
          <w:tcPr>
            <w:tcW w:w="960" w:type="pct"/>
            <w:noWrap w:val="0"/>
            <w:vAlign w:val="center"/>
          </w:tcPr>
          <w:p>
            <w:pPr>
              <w:pStyle w:val="35"/>
              <w:bidi w:val="0"/>
              <w:jc w:val="center"/>
              <w:rPr>
                <w:rFonts w:hint="eastAsia"/>
                <w:color w:val="auto"/>
                <w:u w:val="single"/>
                <w:lang w:val="en-US" w:eastAsia="zh-CN"/>
              </w:rPr>
            </w:pPr>
            <w:r>
              <w:rPr>
                <w:color w:val="auto"/>
                <w:u w:val="single"/>
              </w:rPr>
              <w:t>第3.2类 中闪点易燃液体</w:t>
            </w:r>
          </w:p>
        </w:tc>
        <w:tc>
          <w:tcPr>
            <w:tcW w:w="523"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储罐</w:t>
            </w:r>
          </w:p>
        </w:tc>
        <w:tc>
          <w:tcPr>
            <w:tcW w:w="689"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80</w:t>
            </w:r>
          </w:p>
        </w:tc>
        <w:tc>
          <w:tcPr>
            <w:tcW w:w="56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10</w:t>
            </w:r>
          </w:p>
        </w:tc>
        <w:tc>
          <w:tcPr>
            <w:tcW w:w="47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92" w:hRule="atLeast"/>
          <w:jc w:val="center"/>
        </w:trPr>
        <w:tc>
          <w:tcPr>
            <w:tcW w:w="387" w:type="pct"/>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2</w:t>
            </w:r>
          </w:p>
        </w:tc>
        <w:tc>
          <w:tcPr>
            <w:tcW w:w="828" w:type="pct"/>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醋酸甲酯</w:t>
            </w:r>
          </w:p>
        </w:tc>
        <w:tc>
          <w:tcPr>
            <w:tcW w:w="578" w:type="pct"/>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液体</w:t>
            </w:r>
          </w:p>
        </w:tc>
        <w:tc>
          <w:tcPr>
            <w:tcW w:w="960" w:type="pct"/>
            <w:noWrap w:val="0"/>
            <w:vAlign w:val="center"/>
          </w:tcPr>
          <w:p>
            <w:pPr>
              <w:pStyle w:val="35"/>
              <w:bidi w:val="0"/>
              <w:jc w:val="center"/>
              <w:rPr>
                <w:rFonts w:hint="eastAsia"/>
                <w:color w:val="auto"/>
                <w:u w:val="single"/>
                <w:lang w:val="en-US" w:eastAsia="zh-CN"/>
              </w:rPr>
            </w:pPr>
            <w:r>
              <w:rPr>
                <w:color w:val="auto"/>
                <w:u w:val="single"/>
              </w:rPr>
              <w:t>第3.2类 中闪点易燃液体</w:t>
            </w:r>
          </w:p>
        </w:tc>
        <w:tc>
          <w:tcPr>
            <w:tcW w:w="523" w:type="pct"/>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储罐</w:t>
            </w:r>
          </w:p>
        </w:tc>
        <w:tc>
          <w:tcPr>
            <w:tcW w:w="689"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200</w:t>
            </w:r>
          </w:p>
        </w:tc>
        <w:tc>
          <w:tcPr>
            <w:tcW w:w="56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10</w:t>
            </w:r>
          </w:p>
        </w:tc>
        <w:tc>
          <w:tcPr>
            <w:tcW w:w="47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37" w:hRule="atLeast"/>
          <w:jc w:val="center"/>
        </w:trPr>
        <w:tc>
          <w:tcPr>
            <w:tcW w:w="387"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3</w:t>
            </w:r>
          </w:p>
        </w:tc>
        <w:tc>
          <w:tcPr>
            <w:tcW w:w="828" w:type="pct"/>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乙酸</w:t>
            </w:r>
          </w:p>
        </w:tc>
        <w:tc>
          <w:tcPr>
            <w:tcW w:w="578" w:type="pct"/>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液体</w:t>
            </w:r>
          </w:p>
        </w:tc>
        <w:tc>
          <w:tcPr>
            <w:tcW w:w="960" w:type="pct"/>
            <w:noWrap w:val="0"/>
            <w:vAlign w:val="center"/>
          </w:tcPr>
          <w:p>
            <w:pPr>
              <w:pStyle w:val="35"/>
              <w:bidi w:val="0"/>
              <w:jc w:val="center"/>
              <w:rPr>
                <w:rFonts w:hint="eastAsia"/>
                <w:color w:val="auto"/>
                <w:u w:val="single"/>
                <w:lang w:val="en-US" w:eastAsia="zh-CN"/>
              </w:rPr>
            </w:pPr>
            <w:r>
              <w:rPr>
                <w:color w:val="auto"/>
                <w:u w:val="single"/>
              </w:rPr>
              <w:t>第8.1类 酸性腐蚀品</w:t>
            </w:r>
          </w:p>
        </w:tc>
        <w:tc>
          <w:tcPr>
            <w:tcW w:w="523"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反应罐</w:t>
            </w:r>
          </w:p>
        </w:tc>
        <w:tc>
          <w:tcPr>
            <w:tcW w:w="689"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10</w:t>
            </w:r>
          </w:p>
        </w:tc>
        <w:tc>
          <w:tcPr>
            <w:tcW w:w="56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10</w:t>
            </w:r>
          </w:p>
        </w:tc>
        <w:tc>
          <w:tcPr>
            <w:tcW w:w="47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37" w:hRule="atLeast"/>
          <w:jc w:val="center"/>
        </w:trPr>
        <w:tc>
          <w:tcPr>
            <w:tcW w:w="387"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4</w:t>
            </w:r>
          </w:p>
        </w:tc>
        <w:tc>
          <w:tcPr>
            <w:tcW w:w="828" w:type="pct"/>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氢氧化钠</w:t>
            </w:r>
          </w:p>
        </w:tc>
        <w:tc>
          <w:tcPr>
            <w:tcW w:w="578"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固体</w:t>
            </w:r>
          </w:p>
        </w:tc>
        <w:tc>
          <w:tcPr>
            <w:tcW w:w="960" w:type="pct"/>
            <w:noWrap w:val="0"/>
            <w:vAlign w:val="center"/>
          </w:tcPr>
          <w:p>
            <w:pPr>
              <w:pStyle w:val="35"/>
              <w:bidi w:val="0"/>
              <w:jc w:val="center"/>
              <w:rPr>
                <w:rFonts w:hint="eastAsia"/>
                <w:color w:val="auto"/>
                <w:u w:val="single"/>
                <w:lang w:val="en-US" w:eastAsia="zh-CN"/>
              </w:rPr>
            </w:pPr>
            <w:r>
              <w:rPr>
                <w:color w:val="auto"/>
                <w:u w:val="single"/>
              </w:rPr>
              <w:t>第8.2类 碱性腐蚀品</w:t>
            </w:r>
          </w:p>
        </w:tc>
        <w:tc>
          <w:tcPr>
            <w:tcW w:w="523"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袋装</w:t>
            </w:r>
          </w:p>
        </w:tc>
        <w:tc>
          <w:tcPr>
            <w:tcW w:w="689"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2</w:t>
            </w:r>
          </w:p>
        </w:tc>
        <w:tc>
          <w:tcPr>
            <w:tcW w:w="56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w:t>
            </w:r>
          </w:p>
        </w:tc>
        <w:tc>
          <w:tcPr>
            <w:tcW w:w="47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37" w:hRule="atLeast"/>
          <w:jc w:val="center"/>
        </w:trPr>
        <w:tc>
          <w:tcPr>
            <w:tcW w:w="387"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5</w:t>
            </w:r>
          </w:p>
        </w:tc>
        <w:tc>
          <w:tcPr>
            <w:tcW w:w="828"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对甲苯磺酸</w:t>
            </w:r>
          </w:p>
        </w:tc>
        <w:tc>
          <w:tcPr>
            <w:tcW w:w="578"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固体</w:t>
            </w:r>
          </w:p>
        </w:tc>
        <w:tc>
          <w:tcPr>
            <w:tcW w:w="96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w:t>
            </w:r>
          </w:p>
        </w:tc>
        <w:tc>
          <w:tcPr>
            <w:tcW w:w="523" w:type="pct"/>
            <w:noWrap w:val="0"/>
            <w:vAlign w:val="center"/>
          </w:tcPr>
          <w:p>
            <w:pPr>
              <w:pStyle w:val="35"/>
              <w:bidi w:val="0"/>
              <w:jc w:val="center"/>
              <w:rPr>
                <w:rFonts w:hint="eastAsia"/>
                <w:color w:val="auto"/>
                <w:u w:val="single"/>
                <w:lang w:val="en-US" w:eastAsia="zh-CN"/>
              </w:rPr>
            </w:pPr>
            <w:r>
              <w:rPr>
                <w:rFonts w:hint="eastAsia"/>
                <w:color w:val="auto"/>
                <w:u w:val="single"/>
                <w:lang w:val="en-US" w:eastAsia="zh-CN"/>
              </w:rPr>
              <w:t>袋装</w:t>
            </w:r>
          </w:p>
        </w:tc>
        <w:tc>
          <w:tcPr>
            <w:tcW w:w="689"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19</w:t>
            </w:r>
          </w:p>
        </w:tc>
        <w:tc>
          <w:tcPr>
            <w:tcW w:w="56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w:t>
            </w:r>
          </w:p>
        </w:tc>
        <w:tc>
          <w:tcPr>
            <w:tcW w:w="47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37" w:hRule="atLeast"/>
          <w:jc w:val="center"/>
        </w:trPr>
        <w:tc>
          <w:tcPr>
            <w:tcW w:w="387"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6</w:t>
            </w:r>
          </w:p>
        </w:tc>
        <w:tc>
          <w:tcPr>
            <w:tcW w:w="828"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高COD浓度废水</w:t>
            </w:r>
          </w:p>
        </w:tc>
        <w:tc>
          <w:tcPr>
            <w:tcW w:w="578"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液体</w:t>
            </w:r>
          </w:p>
        </w:tc>
        <w:tc>
          <w:tcPr>
            <w:tcW w:w="96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w:t>
            </w:r>
          </w:p>
        </w:tc>
        <w:tc>
          <w:tcPr>
            <w:tcW w:w="523"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污水池</w:t>
            </w:r>
          </w:p>
        </w:tc>
        <w:tc>
          <w:tcPr>
            <w:tcW w:w="689"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9.79</w:t>
            </w:r>
          </w:p>
        </w:tc>
        <w:tc>
          <w:tcPr>
            <w:tcW w:w="56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100</w:t>
            </w:r>
          </w:p>
        </w:tc>
        <w:tc>
          <w:tcPr>
            <w:tcW w:w="470" w:type="pct"/>
            <w:noWrap w:val="0"/>
            <w:vAlign w:val="center"/>
          </w:tcPr>
          <w:p>
            <w:pPr>
              <w:pStyle w:val="35"/>
              <w:bidi w:val="0"/>
              <w:jc w:val="center"/>
              <w:rPr>
                <w:rFonts w:hint="default"/>
                <w:color w:val="auto"/>
                <w:u w:val="single"/>
                <w:lang w:val="en-US" w:eastAsia="zh-CN"/>
              </w:rPr>
            </w:pPr>
            <w:r>
              <w:rPr>
                <w:rFonts w:hint="eastAsia"/>
                <w:color w:val="auto"/>
                <w:u w:val="single"/>
                <w:lang w:val="en-US" w:eastAsia="zh-CN"/>
              </w:rPr>
              <w:t>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4529" w:type="pct"/>
            <w:gridSpan w:val="7"/>
            <w:noWrap w:val="0"/>
            <w:vAlign w:val="center"/>
          </w:tcPr>
          <w:p>
            <w:pPr>
              <w:pStyle w:val="35"/>
              <w:bidi w:val="0"/>
              <w:jc w:val="center"/>
              <w:rPr>
                <w:color w:val="auto"/>
                <w:lang w:val="en-US" w:eastAsia="zh-CN"/>
              </w:rPr>
            </w:pPr>
            <w:r>
              <w:rPr>
                <w:color w:val="auto"/>
                <w:lang w:val="en-US" w:eastAsia="zh-CN"/>
              </w:rPr>
              <w:t>合计（Q）</w:t>
            </w:r>
          </w:p>
        </w:tc>
        <w:tc>
          <w:tcPr>
            <w:tcW w:w="470" w:type="pct"/>
            <w:noWrap w:val="0"/>
            <w:vAlign w:val="center"/>
          </w:tcPr>
          <w:p>
            <w:pPr>
              <w:pStyle w:val="35"/>
              <w:bidi w:val="0"/>
              <w:jc w:val="center"/>
              <w:rPr>
                <w:rFonts w:hint="default"/>
                <w:color w:val="auto"/>
                <w:lang w:val="en-US" w:eastAsia="zh-CN"/>
              </w:rPr>
            </w:pPr>
            <w:r>
              <w:rPr>
                <w:rFonts w:hint="eastAsia"/>
                <w:color w:val="auto"/>
                <w:lang w:val="en-US" w:eastAsia="zh-CN"/>
              </w:rPr>
              <w:t>29.09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37" w:hRule="atLeast"/>
          <w:jc w:val="center"/>
        </w:trPr>
        <w:tc>
          <w:tcPr>
            <w:tcW w:w="5000" w:type="pct"/>
            <w:gridSpan w:val="8"/>
            <w:noWrap w:val="0"/>
            <w:vAlign w:val="center"/>
          </w:tcPr>
          <w:p>
            <w:pPr>
              <w:pStyle w:val="35"/>
              <w:bidi w:val="0"/>
              <w:jc w:val="center"/>
              <w:rPr>
                <w:rFonts w:hint="eastAsia"/>
                <w:color w:val="auto"/>
                <w:lang w:val="en-US" w:eastAsia="zh-CN"/>
              </w:rPr>
            </w:pPr>
            <w:r>
              <w:rPr>
                <w:color w:val="auto"/>
                <w:lang w:val="en-US" w:eastAsia="zh-CN"/>
              </w:rPr>
              <w:t>注：</w:t>
            </w:r>
            <w:r>
              <w:rPr>
                <w:rFonts w:hint="eastAsia"/>
                <w:color w:val="auto"/>
                <w:lang w:val="en-US" w:eastAsia="zh-CN"/>
              </w:rPr>
              <w:t>临界量Qi参照《建设项目环境风险评价技术导则》（HJ169-2018）附录B里所列的临界值，均以纯物质来计。</w:t>
            </w:r>
          </w:p>
        </w:tc>
      </w:tr>
    </w:tbl>
    <w:p>
      <w:pPr>
        <w:pStyle w:val="33"/>
        <w:bidi w:val="0"/>
        <w:rPr>
          <w:rFonts w:ascii="Times New Roman" w:hAnsi="Times New Roman" w:eastAsia="宋体" w:cs="宋体"/>
          <w:color w:val="auto"/>
          <w:kern w:val="2"/>
          <w:sz w:val="24"/>
          <w:szCs w:val="24"/>
          <w:u w:val="none"/>
          <w:lang w:val="en-US" w:eastAsia="zh-CN" w:bidi="ar-SA"/>
        </w:rPr>
      </w:pPr>
      <w:r>
        <w:rPr>
          <w:rFonts w:ascii="Times New Roman" w:hAnsi="Times New Roman" w:eastAsia="宋体" w:cs="宋体"/>
          <w:color w:val="auto"/>
          <w:kern w:val="2"/>
          <w:sz w:val="24"/>
          <w:szCs w:val="24"/>
          <w:u w:val="none"/>
          <w:lang w:val="en-US" w:eastAsia="zh-CN" w:bidi="ar-SA"/>
        </w:rPr>
        <w:t>所以本项目危险物质的</w:t>
      </w:r>
      <w:r>
        <w:rPr>
          <w:rFonts w:hint="eastAsia" w:cs="宋体"/>
          <w:color w:val="auto"/>
          <w:kern w:val="2"/>
          <w:sz w:val="24"/>
          <w:szCs w:val="24"/>
          <w:u w:val="none"/>
          <w:lang w:val="en-US" w:eastAsia="zh-CN" w:bidi="ar-SA"/>
        </w:rPr>
        <w:t>总</w:t>
      </w:r>
      <w:r>
        <w:rPr>
          <w:rFonts w:ascii="Times New Roman" w:hAnsi="Times New Roman" w:eastAsia="宋体" w:cs="宋体"/>
          <w:color w:val="auto"/>
          <w:kern w:val="2"/>
          <w:sz w:val="24"/>
          <w:szCs w:val="24"/>
          <w:u w:val="none"/>
          <w:lang w:val="en-US" w:eastAsia="zh-CN" w:bidi="ar-SA"/>
        </w:rPr>
        <w:t>量与临界量比值Q</w:t>
      </w:r>
      <w:r>
        <w:rPr>
          <w:rFonts w:hint="eastAsia" w:ascii="Times New Roman" w:hAnsi="Times New Roman" w:eastAsia="宋体" w:cs="宋体"/>
          <w:color w:val="auto"/>
          <w:kern w:val="2"/>
          <w:sz w:val="24"/>
          <w:szCs w:val="24"/>
          <w:u w:val="none"/>
          <w:lang w:val="en-US" w:eastAsia="zh-CN" w:bidi="ar-SA"/>
        </w:rPr>
        <w:t>=</w:t>
      </w:r>
      <w:r>
        <w:rPr>
          <w:rFonts w:hint="eastAsia" w:cs="宋体"/>
          <w:color w:val="auto"/>
          <w:kern w:val="2"/>
          <w:sz w:val="24"/>
          <w:szCs w:val="24"/>
          <w:u w:val="none"/>
          <w:lang w:val="en-US" w:eastAsia="zh-CN" w:bidi="ar-SA"/>
        </w:rPr>
        <w:t>29.09</w:t>
      </w:r>
      <w:r>
        <w:rPr>
          <w:rFonts w:ascii="Times New Roman" w:hAnsi="Times New Roman" w:eastAsia="宋体" w:cs="宋体"/>
          <w:color w:val="auto"/>
          <w:kern w:val="2"/>
          <w:sz w:val="24"/>
          <w:szCs w:val="24"/>
          <w:u w:val="none"/>
          <w:lang w:val="en-US" w:eastAsia="zh-CN" w:bidi="ar-SA"/>
        </w:rPr>
        <w:t>＜1</w:t>
      </w:r>
      <w:r>
        <w:rPr>
          <w:rFonts w:hint="eastAsia" w:ascii="Times New Roman" w:hAnsi="Times New Roman" w:eastAsia="宋体" w:cs="宋体"/>
          <w:color w:val="auto"/>
          <w:kern w:val="2"/>
          <w:sz w:val="24"/>
          <w:szCs w:val="24"/>
          <w:u w:val="none"/>
          <w:lang w:val="en-US" w:eastAsia="zh-CN" w:bidi="ar-SA"/>
        </w:rPr>
        <w:t>00</w:t>
      </w:r>
      <w:r>
        <w:rPr>
          <w:rFonts w:ascii="Times New Roman" w:hAnsi="Times New Roman" w:eastAsia="宋体" w:cs="宋体"/>
          <w:color w:val="auto"/>
          <w:kern w:val="2"/>
          <w:sz w:val="24"/>
          <w:szCs w:val="24"/>
          <w:u w:val="none"/>
          <w:lang w:val="en-US" w:eastAsia="zh-CN" w:bidi="ar-SA"/>
        </w:rPr>
        <w:t>。</w:t>
      </w:r>
    </w:p>
    <w:p>
      <w:pPr>
        <w:pStyle w:val="32"/>
        <w:bidi w:val="0"/>
        <w:rPr>
          <w:color w:val="auto"/>
          <w:lang w:val="en-US" w:eastAsia="zh-CN"/>
        </w:rPr>
      </w:pPr>
      <w:bookmarkStart w:id="310" w:name="_Toc3724"/>
      <w:bookmarkStart w:id="311" w:name="_Toc6058"/>
      <w:bookmarkStart w:id="312" w:name="_Toc14690"/>
      <w:r>
        <w:rPr>
          <w:rFonts w:hint="eastAsia"/>
          <w:color w:val="auto"/>
          <w:lang w:val="en-US" w:eastAsia="zh-CN"/>
        </w:rPr>
        <w:t>9.2.2行业及生产工艺（M）</w:t>
      </w:r>
      <w:bookmarkEnd w:id="310"/>
      <w:bookmarkEnd w:id="311"/>
      <w:bookmarkEnd w:id="312"/>
    </w:p>
    <w:p>
      <w:pPr>
        <w:pStyle w:val="33"/>
        <w:bidi w:val="0"/>
        <w:rPr>
          <w:color w:val="auto"/>
          <w:lang w:val="en-US" w:eastAsia="zh-CN"/>
        </w:rPr>
      </w:pPr>
      <w:r>
        <w:rPr>
          <w:color w:val="auto"/>
          <w:lang w:val="en-US" w:eastAsia="zh-CN"/>
        </w:rPr>
        <w:t>根据风险导则，项目行业及生产工艺（M）由下表确定。</w:t>
      </w:r>
      <w:r>
        <w:rPr>
          <w:rFonts w:hint="eastAsia"/>
          <w:color w:val="auto"/>
          <w:lang w:val="en-US" w:eastAsia="zh-CN"/>
        </w:rPr>
        <w:t>将M划分为（1）M&gt;20；（2）10</w:t>
      </w:r>
      <w:r>
        <w:rPr>
          <w:color w:val="auto"/>
          <w:lang w:val="en-US" w:eastAsia="zh-CN"/>
        </w:rPr>
        <w:t>＜</w:t>
      </w:r>
      <w:r>
        <w:rPr>
          <w:rFonts w:hint="eastAsia"/>
          <w:color w:val="auto"/>
          <w:lang w:val="en-US" w:eastAsia="zh-CN"/>
        </w:rPr>
        <w:t>M≦20；（3）5</w:t>
      </w:r>
      <w:r>
        <w:rPr>
          <w:color w:val="auto"/>
          <w:lang w:val="en-US" w:eastAsia="zh-CN"/>
        </w:rPr>
        <w:t>＜</w:t>
      </w:r>
      <w:r>
        <w:rPr>
          <w:rFonts w:hint="eastAsia"/>
          <w:color w:val="auto"/>
          <w:lang w:val="en-US" w:eastAsia="zh-CN"/>
        </w:rPr>
        <w:t>M≦10；（4）M=5，分别以M1、M2、M3、M4。</w:t>
      </w:r>
    </w:p>
    <w:p>
      <w:pPr>
        <w:pStyle w:val="36"/>
        <w:bidi w:val="0"/>
        <w:rPr>
          <w:color w:val="auto"/>
          <w:lang w:val="en-US" w:eastAsia="zh-CN"/>
        </w:rPr>
      </w:pPr>
      <w:r>
        <w:rPr>
          <w:color w:val="auto"/>
          <w:lang w:val="en-US" w:eastAsia="zh-CN"/>
        </w:rPr>
        <w:t>表</w:t>
      </w:r>
      <w:r>
        <w:rPr>
          <w:rFonts w:hint="eastAsia"/>
          <w:color w:val="auto"/>
          <w:lang w:val="en-US" w:eastAsia="zh-CN"/>
        </w:rPr>
        <w:t>9.2-</w:t>
      </w:r>
      <w:r>
        <w:rPr>
          <w:color w:val="auto"/>
          <w:lang w:val="en-US" w:eastAsia="zh-CN"/>
        </w:rPr>
        <w:fldChar w:fldCharType="begin"/>
      </w:r>
      <w:r>
        <w:rPr>
          <w:color w:val="auto"/>
          <w:lang w:val="en-US" w:eastAsia="zh-CN"/>
        </w:rPr>
        <w:instrText xml:space="preserve"> SEQ 表 \* ARABIC \s 1 </w:instrText>
      </w:r>
      <w:r>
        <w:rPr>
          <w:color w:val="auto"/>
          <w:lang w:val="en-US" w:eastAsia="zh-CN"/>
        </w:rPr>
        <w:fldChar w:fldCharType="separate"/>
      </w:r>
      <w:r>
        <w:rPr>
          <w:color w:val="auto"/>
          <w:lang w:val="en-US" w:eastAsia="zh-CN"/>
        </w:rPr>
        <w:t>3</w:t>
      </w:r>
      <w:r>
        <w:rPr>
          <w:color w:val="auto"/>
          <w:lang w:val="en-US" w:eastAsia="zh-CN"/>
        </w:rPr>
        <w:fldChar w:fldCharType="end"/>
      </w:r>
      <w:r>
        <w:rPr>
          <w:color w:val="auto"/>
          <w:lang w:val="en-US" w:eastAsia="zh-CN"/>
        </w:rPr>
        <w:t>项目行业及生产工艺（M）值</w:t>
      </w:r>
    </w:p>
    <w:tbl>
      <w:tblPr>
        <w:tblStyle w:val="2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93"/>
        <w:gridCol w:w="3680"/>
        <w:gridCol w:w="1459"/>
        <w:gridCol w:w="1391"/>
        <w:gridCol w:w="12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854" w:type="pct"/>
            <w:noWrap w:val="0"/>
            <w:vAlign w:val="center"/>
          </w:tcPr>
          <w:p>
            <w:pPr>
              <w:pStyle w:val="35"/>
              <w:bidi w:val="0"/>
              <w:rPr>
                <w:rFonts w:hint="eastAsia"/>
                <w:b/>
                <w:bCs/>
                <w:color w:val="auto"/>
                <w:lang w:val="en-US" w:eastAsia="zh-CN"/>
              </w:rPr>
            </w:pPr>
            <w:r>
              <w:rPr>
                <w:rFonts w:hint="eastAsia"/>
                <w:b/>
                <w:bCs/>
                <w:color w:val="auto"/>
                <w:lang w:val="en-US" w:eastAsia="zh-CN"/>
              </w:rPr>
              <w:t>行业</w:t>
            </w:r>
          </w:p>
        </w:tc>
        <w:tc>
          <w:tcPr>
            <w:tcW w:w="1973" w:type="pct"/>
            <w:noWrap w:val="0"/>
            <w:vAlign w:val="center"/>
          </w:tcPr>
          <w:p>
            <w:pPr>
              <w:pStyle w:val="35"/>
              <w:bidi w:val="0"/>
              <w:rPr>
                <w:rFonts w:hint="eastAsia"/>
                <w:b/>
                <w:bCs/>
                <w:color w:val="auto"/>
                <w:lang w:val="en-US" w:eastAsia="zh-CN"/>
              </w:rPr>
            </w:pPr>
            <w:r>
              <w:rPr>
                <w:rFonts w:hint="eastAsia"/>
                <w:b/>
                <w:bCs/>
                <w:color w:val="auto"/>
                <w:lang w:val="en-US" w:eastAsia="zh-CN"/>
              </w:rPr>
              <w:t>评估依据</w:t>
            </w:r>
          </w:p>
        </w:tc>
        <w:tc>
          <w:tcPr>
            <w:tcW w:w="780" w:type="pct"/>
            <w:noWrap w:val="0"/>
            <w:vAlign w:val="center"/>
          </w:tcPr>
          <w:p>
            <w:pPr>
              <w:pStyle w:val="35"/>
              <w:bidi w:val="0"/>
              <w:rPr>
                <w:rFonts w:hint="eastAsia"/>
                <w:b/>
                <w:bCs/>
                <w:color w:val="auto"/>
                <w:lang w:val="en-US" w:eastAsia="zh-CN"/>
              </w:rPr>
            </w:pPr>
            <w:r>
              <w:rPr>
                <w:rFonts w:hint="eastAsia"/>
                <w:b/>
                <w:bCs/>
                <w:color w:val="auto"/>
                <w:lang w:val="en-US" w:eastAsia="zh-CN"/>
              </w:rPr>
              <w:t>分值</w:t>
            </w:r>
          </w:p>
        </w:tc>
        <w:tc>
          <w:tcPr>
            <w:tcW w:w="746" w:type="pct"/>
            <w:noWrap w:val="0"/>
            <w:vAlign w:val="center"/>
          </w:tcPr>
          <w:p>
            <w:pPr>
              <w:pStyle w:val="35"/>
              <w:bidi w:val="0"/>
              <w:rPr>
                <w:rFonts w:hint="eastAsia"/>
                <w:b/>
                <w:bCs/>
                <w:color w:val="auto"/>
                <w:lang w:val="en-US" w:eastAsia="zh-CN"/>
              </w:rPr>
            </w:pPr>
            <w:r>
              <w:rPr>
                <w:rFonts w:hint="eastAsia"/>
                <w:b/>
                <w:bCs/>
                <w:color w:val="auto"/>
                <w:lang w:val="en-US" w:eastAsia="zh-CN"/>
              </w:rPr>
              <w:t>本项目情况</w:t>
            </w:r>
          </w:p>
        </w:tc>
        <w:tc>
          <w:tcPr>
            <w:tcW w:w="644" w:type="pct"/>
            <w:noWrap w:val="0"/>
            <w:vAlign w:val="center"/>
          </w:tcPr>
          <w:p>
            <w:pPr>
              <w:pStyle w:val="35"/>
              <w:bidi w:val="0"/>
              <w:rPr>
                <w:rFonts w:hint="eastAsia"/>
                <w:b/>
                <w:bCs/>
                <w:color w:val="auto"/>
                <w:lang w:val="en-US" w:eastAsia="zh-CN"/>
              </w:rPr>
            </w:pPr>
            <w:r>
              <w:rPr>
                <w:rFonts w:hint="eastAsia"/>
                <w:b/>
                <w:bCs/>
                <w:color w:val="auto"/>
                <w:lang w:val="en-US" w:eastAsia="zh-CN"/>
              </w:rPr>
              <w:t>本项目得分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266" w:hRule="atLeast"/>
          <w:jc w:val="center"/>
        </w:trPr>
        <w:tc>
          <w:tcPr>
            <w:tcW w:w="854" w:type="pct"/>
            <w:vMerge w:val="restart"/>
            <w:noWrap w:val="0"/>
            <w:vAlign w:val="center"/>
          </w:tcPr>
          <w:p>
            <w:pPr>
              <w:pStyle w:val="35"/>
              <w:bidi w:val="0"/>
              <w:rPr>
                <w:rFonts w:hint="eastAsia"/>
                <w:color w:val="auto"/>
                <w:lang w:val="en-US" w:eastAsia="zh-CN"/>
              </w:rPr>
            </w:pPr>
            <w:r>
              <w:rPr>
                <w:rFonts w:hint="eastAsia"/>
                <w:color w:val="auto"/>
                <w:lang w:val="en-US" w:eastAsia="zh-CN"/>
              </w:rPr>
              <w:t>石化、化工、医药、轻工、化纤、有色冶炼等</w:t>
            </w:r>
          </w:p>
        </w:tc>
        <w:tc>
          <w:tcPr>
            <w:tcW w:w="1973" w:type="pct"/>
            <w:noWrap w:val="0"/>
            <w:vAlign w:val="center"/>
          </w:tcPr>
          <w:p>
            <w:pPr>
              <w:pStyle w:val="35"/>
              <w:bidi w:val="0"/>
              <w:rPr>
                <w:rFonts w:hint="eastAsia"/>
                <w:color w:val="auto"/>
                <w:lang w:val="en-US" w:eastAsia="zh-CN"/>
              </w:rPr>
            </w:pPr>
            <w:r>
              <w:rPr>
                <w:rFonts w:hint="eastAsia"/>
                <w:color w:val="auto"/>
                <w:lang w:val="en-US" w:eastAsia="zh-CN"/>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780" w:type="pct"/>
            <w:noWrap w:val="0"/>
            <w:vAlign w:val="center"/>
          </w:tcPr>
          <w:p>
            <w:pPr>
              <w:pStyle w:val="35"/>
              <w:bidi w:val="0"/>
              <w:rPr>
                <w:rFonts w:hint="eastAsia"/>
                <w:color w:val="auto"/>
                <w:lang w:val="en-US" w:eastAsia="zh-CN"/>
              </w:rPr>
            </w:pPr>
            <w:r>
              <w:rPr>
                <w:rFonts w:hint="eastAsia"/>
                <w:color w:val="auto"/>
                <w:lang w:val="en-US" w:eastAsia="zh-CN"/>
              </w:rPr>
              <w:t>10/套</w:t>
            </w:r>
          </w:p>
        </w:tc>
        <w:tc>
          <w:tcPr>
            <w:tcW w:w="746" w:type="pct"/>
            <w:noWrap w:val="0"/>
            <w:vAlign w:val="center"/>
          </w:tcPr>
          <w:p>
            <w:pPr>
              <w:pStyle w:val="35"/>
              <w:bidi w:val="0"/>
              <w:rPr>
                <w:rFonts w:hint="eastAsia"/>
                <w:color w:val="auto"/>
                <w:lang w:val="en-US" w:eastAsia="zh-CN"/>
              </w:rPr>
            </w:pPr>
            <w:r>
              <w:rPr>
                <w:rFonts w:hint="eastAsia"/>
                <w:color w:val="auto"/>
                <w:lang w:val="en-US" w:eastAsia="zh-CN"/>
              </w:rPr>
              <w:t>本项目不涉及</w:t>
            </w:r>
          </w:p>
        </w:tc>
        <w:tc>
          <w:tcPr>
            <w:tcW w:w="644" w:type="pct"/>
            <w:noWrap w:val="0"/>
            <w:vAlign w:val="center"/>
          </w:tcPr>
          <w:p>
            <w:pPr>
              <w:pStyle w:val="35"/>
              <w:bidi w:val="0"/>
              <w:rPr>
                <w:rFonts w:hint="eastAsia"/>
                <w:color w:val="auto"/>
                <w:lang w:val="en-US" w:eastAsia="zh-CN"/>
              </w:rPr>
            </w:pPr>
            <w:r>
              <w:rPr>
                <w:rFonts w:hint="eastAsia"/>
                <w:color w:val="auto"/>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854" w:type="pct"/>
            <w:vMerge w:val="continue"/>
            <w:noWrap w:val="0"/>
            <w:vAlign w:val="center"/>
          </w:tcPr>
          <w:p>
            <w:pPr>
              <w:pStyle w:val="35"/>
              <w:bidi w:val="0"/>
              <w:rPr>
                <w:rFonts w:hint="eastAsia"/>
                <w:color w:val="auto"/>
                <w:lang w:val="en-US" w:eastAsia="zh-CN"/>
              </w:rPr>
            </w:pPr>
          </w:p>
        </w:tc>
        <w:tc>
          <w:tcPr>
            <w:tcW w:w="1973" w:type="pct"/>
            <w:noWrap w:val="0"/>
            <w:vAlign w:val="center"/>
          </w:tcPr>
          <w:p>
            <w:pPr>
              <w:pStyle w:val="35"/>
              <w:bidi w:val="0"/>
              <w:rPr>
                <w:rFonts w:hint="eastAsia"/>
                <w:color w:val="auto"/>
                <w:lang w:val="en-US" w:eastAsia="zh-CN"/>
              </w:rPr>
            </w:pPr>
            <w:r>
              <w:rPr>
                <w:rFonts w:hint="eastAsia"/>
                <w:color w:val="auto"/>
                <w:lang w:val="en-US" w:eastAsia="zh-CN"/>
              </w:rPr>
              <w:t>无机酸制酸工艺、焦化工艺</w:t>
            </w:r>
          </w:p>
        </w:tc>
        <w:tc>
          <w:tcPr>
            <w:tcW w:w="780" w:type="pct"/>
            <w:noWrap w:val="0"/>
            <w:vAlign w:val="center"/>
          </w:tcPr>
          <w:p>
            <w:pPr>
              <w:pStyle w:val="35"/>
              <w:bidi w:val="0"/>
              <w:rPr>
                <w:rFonts w:hint="eastAsia"/>
                <w:color w:val="auto"/>
                <w:lang w:val="en-US" w:eastAsia="zh-CN"/>
              </w:rPr>
            </w:pPr>
            <w:r>
              <w:rPr>
                <w:rFonts w:hint="eastAsia"/>
                <w:color w:val="auto"/>
                <w:lang w:val="en-US" w:eastAsia="zh-CN"/>
              </w:rPr>
              <w:t>5/套</w:t>
            </w:r>
          </w:p>
        </w:tc>
        <w:tc>
          <w:tcPr>
            <w:tcW w:w="746" w:type="pct"/>
            <w:noWrap w:val="0"/>
            <w:vAlign w:val="center"/>
          </w:tcPr>
          <w:p>
            <w:pPr>
              <w:pStyle w:val="35"/>
              <w:bidi w:val="0"/>
              <w:rPr>
                <w:rFonts w:hint="eastAsia"/>
                <w:color w:val="auto"/>
                <w:lang w:val="en-US" w:eastAsia="zh-CN"/>
              </w:rPr>
            </w:pPr>
            <w:r>
              <w:rPr>
                <w:rFonts w:hint="eastAsia"/>
                <w:color w:val="auto"/>
                <w:lang w:val="en-US" w:eastAsia="zh-CN"/>
              </w:rPr>
              <w:t>本项目不涉及</w:t>
            </w:r>
          </w:p>
        </w:tc>
        <w:tc>
          <w:tcPr>
            <w:tcW w:w="644" w:type="pct"/>
            <w:noWrap w:val="0"/>
            <w:vAlign w:val="center"/>
          </w:tcPr>
          <w:p>
            <w:pPr>
              <w:pStyle w:val="35"/>
              <w:bidi w:val="0"/>
              <w:rPr>
                <w:rFonts w:hint="eastAsia"/>
                <w:color w:val="auto"/>
                <w:lang w:val="en-US" w:eastAsia="zh-CN"/>
              </w:rPr>
            </w:pPr>
            <w:r>
              <w:rPr>
                <w:rFonts w:hint="eastAsia"/>
                <w:color w:val="auto"/>
                <w:lang w:val="en-US" w:eastAsia="zh-CN"/>
              </w:rPr>
              <w:t>0</w:t>
            </w:r>
          </w:p>
        </w:tc>
      </w:tr>
      <w:tr>
        <w:trPr>
          <w:trHeight w:val="737" w:hRule="atLeast"/>
          <w:jc w:val="center"/>
        </w:trPr>
        <w:tc>
          <w:tcPr>
            <w:tcW w:w="854" w:type="pct"/>
            <w:vMerge w:val="continue"/>
            <w:noWrap w:val="0"/>
            <w:vAlign w:val="center"/>
          </w:tcPr>
          <w:p>
            <w:pPr>
              <w:pStyle w:val="35"/>
              <w:bidi w:val="0"/>
              <w:rPr>
                <w:rFonts w:hint="eastAsia"/>
                <w:color w:val="auto"/>
                <w:lang w:val="en-US" w:eastAsia="zh-CN"/>
              </w:rPr>
            </w:pPr>
          </w:p>
        </w:tc>
        <w:tc>
          <w:tcPr>
            <w:tcW w:w="1973" w:type="pct"/>
            <w:noWrap w:val="0"/>
            <w:vAlign w:val="center"/>
          </w:tcPr>
          <w:p>
            <w:pPr>
              <w:pStyle w:val="35"/>
              <w:bidi w:val="0"/>
              <w:rPr>
                <w:rFonts w:hint="eastAsia"/>
                <w:color w:val="auto"/>
                <w:lang w:val="en-US" w:eastAsia="zh-CN"/>
              </w:rPr>
            </w:pPr>
            <w:r>
              <w:rPr>
                <w:rFonts w:hint="eastAsia"/>
                <w:color w:val="auto"/>
                <w:lang w:val="en-US" w:eastAsia="zh-CN"/>
              </w:rPr>
              <w:t>其他高温或高压，且涉及危险物质的工艺过程a、危险物质贮存罐区</w:t>
            </w:r>
          </w:p>
        </w:tc>
        <w:tc>
          <w:tcPr>
            <w:tcW w:w="780" w:type="pct"/>
            <w:noWrap w:val="0"/>
            <w:vAlign w:val="center"/>
          </w:tcPr>
          <w:p>
            <w:pPr>
              <w:pStyle w:val="35"/>
              <w:bidi w:val="0"/>
              <w:rPr>
                <w:rFonts w:hint="eastAsia"/>
                <w:color w:val="auto"/>
                <w:lang w:val="en-US" w:eastAsia="zh-CN"/>
              </w:rPr>
            </w:pPr>
            <w:r>
              <w:rPr>
                <w:rFonts w:hint="eastAsia"/>
                <w:color w:val="auto"/>
                <w:lang w:val="en-US" w:eastAsia="zh-CN"/>
              </w:rPr>
              <w:t>5/套（罐区）</w:t>
            </w:r>
          </w:p>
        </w:tc>
        <w:tc>
          <w:tcPr>
            <w:tcW w:w="746" w:type="pct"/>
            <w:noWrap w:val="0"/>
            <w:vAlign w:val="center"/>
          </w:tcPr>
          <w:p>
            <w:pPr>
              <w:pStyle w:val="35"/>
              <w:bidi w:val="0"/>
              <w:rPr>
                <w:rFonts w:hint="eastAsia"/>
                <w:color w:val="auto"/>
                <w:lang w:val="en-US" w:eastAsia="zh-CN"/>
              </w:rPr>
            </w:pPr>
            <w:r>
              <w:rPr>
                <w:rFonts w:hint="eastAsia"/>
                <w:color w:val="auto"/>
                <w:lang w:val="en-US" w:eastAsia="zh-CN"/>
              </w:rPr>
              <w:t>危险物质储存</w:t>
            </w:r>
          </w:p>
        </w:tc>
        <w:tc>
          <w:tcPr>
            <w:tcW w:w="644" w:type="pct"/>
            <w:noWrap w:val="0"/>
            <w:vAlign w:val="center"/>
          </w:tcPr>
          <w:p>
            <w:pPr>
              <w:pStyle w:val="35"/>
              <w:bidi w:val="0"/>
              <w:rPr>
                <w:rFonts w:hint="eastAsia"/>
                <w:color w:val="auto"/>
                <w:lang w:val="en-US" w:eastAsia="zh-CN"/>
              </w:rPr>
            </w:pPr>
            <w:r>
              <w:rPr>
                <w:rFonts w:hint="eastAsia"/>
                <w:color w:val="auto"/>
                <w:lang w:val="en-US" w:eastAsia="zh-CN"/>
              </w:rPr>
              <w:t>5</w:t>
            </w:r>
          </w:p>
        </w:tc>
      </w:tr>
      <w:tr>
        <w:trPr>
          <w:trHeight w:val="737" w:hRule="atLeast"/>
          <w:jc w:val="center"/>
        </w:trPr>
        <w:tc>
          <w:tcPr>
            <w:tcW w:w="3609" w:type="pct"/>
            <w:gridSpan w:val="3"/>
            <w:noWrap w:val="0"/>
            <w:vAlign w:val="center"/>
          </w:tcPr>
          <w:p>
            <w:pPr>
              <w:pStyle w:val="35"/>
              <w:bidi w:val="0"/>
              <w:rPr>
                <w:rFonts w:hint="eastAsia"/>
                <w:color w:val="auto"/>
                <w:lang w:val="en-US" w:eastAsia="zh-CN"/>
              </w:rPr>
            </w:pPr>
            <w:r>
              <w:rPr>
                <w:rFonts w:hint="eastAsia"/>
                <w:color w:val="auto"/>
                <w:lang w:val="en-US" w:eastAsia="zh-CN"/>
              </w:rPr>
              <w:t>a 高温指工艺温度≧300 ℃，高压指压力容器的设计压力（P）≧10.0 MPa；b 长输管道运输项目应按站场、管线分段进行评价。</w:t>
            </w:r>
          </w:p>
        </w:tc>
        <w:tc>
          <w:tcPr>
            <w:tcW w:w="746" w:type="pct"/>
            <w:noWrap w:val="0"/>
            <w:vAlign w:val="center"/>
          </w:tcPr>
          <w:p>
            <w:pPr>
              <w:pStyle w:val="35"/>
              <w:bidi w:val="0"/>
              <w:rPr>
                <w:rFonts w:hint="eastAsia"/>
                <w:color w:val="auto"/>
                <w:lang w:val="en-US" w:eastAsia="zh-CN"/>
              </w:rPr>
            </w:pPr>
            <w:r>
              <w:rPr>
                <w:rFonts w:hint="eastAsia"/>
                <w:color w:val="auto"/>
                <w:lang w:val="en-US" w:eastAsia="zh-CN"/>
              </w:rPr>
              <w:t>本项目合计</w:t>
            </w:r>
          </w:p>
        </w:tc>
        <w:tc>
          <w:tcPr>
            <w:tcW w:w="644" w:type="pct"/>
            <w:noWrap w:val="0"/>
            <w:vAlign w:val="center"/>
          </w:tcPr>
          <w:p>
            <w:pPr>
              <w:pStyle w:val="35"/>
              <w:bidi w:val="0"/>
              <w:rPr>
                <w:rFonts w:hint="eastAsia"/>
                <w:color w:val="auto"/>
                <w:lang w:val="en-US" w:eastAsia="zh-CN"/>
              </w:rPr>
            </w:pPr>
            <w:r>
              <w:rPr>
                <w:rFonts w:hint="eastAsia"/>
                <w:color w:val="auto"/>
                <w:lang w:val="en-US" w:eastAsia="zh-CN"/>
              </w:rPr>
              <w:t>5</w:t>
            </w:r>
          </w:p>
        </w:tc>
      </w:tr>
    </w:tbl>
    <w:p>
      <w:pPr>
        <w:pStyle w:val="33"/>
        <w:bidi w:val="0"/>
        <w:rPr>
          <w:color w:val="auto"/>
        </w:rPr>
      </w:pPr>
      <w:r>
        <w:rPr>
          <w:color w:val="auto"/>
        </w:rPr>
        <w:t>由上表可知，本项目行业及生产工艺为M</w:t>
      </w:r>
      <w:r>
        <w:rPr>
          <w:rFonts w:hint="eastAsia"/>
          <w:color w:val="auto"/>
        </w:rPr>
        <w:t>4</w:t>
      </w:r>
      <w:r>
        <w:rPr>
          <w:color w:val="auto"/>
        </w:rPr>
        <w:t>类。</w:t>
      </w:r>
    </w:p>
    <w:p>
      <w:pPr>
        <w:pStyle w:val="32"/>
        <w:bidi w:val="0"/>
        <w:rPr>
          <w:rFonts w:hint="eastAsia"/>
          <w:color w:val="auto"/>
          <w:lang w:val="en-US" w:eastAsia="zh-CN"/>
        </w:rPr>
      </w:pPr>
      <w:bookmarkStart w:id="313" w:name="_Toc10960"/>
      <w:bookmarkStart w:id="314" w:name="_Toc15734"/>
      <w:bookmarkStart w:id="315" w:name="_Toc27741"/>
      <w:r>
        <w:rPr>
          <w:rFonts w:hint="eastAsia"/>
          <w:color w:val="auto"/>
          <w:lang w:val="en-US" w:eastAsia="zh-CN"/>
        </w:rPr>
        <w:t>9.2.3危险物质及工艺系统危险性（P）分级</w:t>
      </w:r>
      <w:bookmarkEnd w:id="313"/>
      <w:bookmarkEnd w:id="314"/>
      <w:bookmarkEnd w:id="315"/>
    </w:p>
    <w:p>
      <w:pPr>
        <w:pStyle w:val="33"/>
        <w:bidi w:val="0"/>
        <w:rPr>
          <w:color w:val="auto"/>
          <w:lang w:val="en-US" w:eastAsia="zh-CN"/>
        </w:rPr>
      </w:pPr>
      <w:r>
        <w:rPr>
          <w:color w:val="auto"/>
          <w:lang w:val="en-US" w:eastAsia="zh-CN"/>
        </w:rPr>
        <w:t>根据危险物质数量与临界量比值（Q）和行业及生产工艺（M），按照</w:t>
      </w:r>
      <w:r>
        <w:rPr>
          <w:rFonts w:hint="eastAsia"/>
          <w:color w:val="auto"/>
          <w:lang w:val="en-US" w:eastAsia="zh-CN"/>
        </w:rPr>
        <w:t>下表</w:t>
      </w:r>
      <w:r>
        <w:rPr>
          <w:color w:val="auto"/>
          <w:lang w:val="en-US" w:eastAsia="zh-CN"/>
        </w:rPr>
        <w:t>确定危险物质及工艺系统危险性等级（P）。</w:t>
      </w:r>
    </w:p>
    <w:p>
      <w:pPr>
        <w:pStyle w:val="36"/>
        <w:bidi w:val="0"/>
        <w:rPr>
          <w:rFonts w:hint="eastAsia" w:ascii="Times New Roman" w:hAnsi="Times New Roman" w:eastAsia="宋体" w:cs="Times New Roman"/>
          <w:b/>
          <w:color w:val="auto"/>
          <w:kern w:val="2"/>
          <w:sz w:val="24"/>
          <w:szCs w:val="24"/>
          <w:lang w:val="en-US" w:eastAsia="zh-CN" w:bidi="ar-SA"/>
        </w:rPr>
      </w:pPr>
      <w:bookmarkStart w:id="316" w:name="_Ref9271"/>
      <w:r>
        <w:rPr>
          <w:rFonts w:ascii="Times New Roman" w:hAnsi="Times New Roman" w:eastAsia="宋体" w:cs="Times New Roman"/>
          <w:b/>
          <w:color w:val="auto"/>
          <w:kern w:val="2"/>
          <w:sz w:val="24"/>
          <w:szCs w:val="24"/>
          <w:lang w:val="en-US" w:eastAsia="zh-CN" w:bidi="ar-SA"/>
        </w:rPr>
        <w:t>表</w:t>
      </w:r>
      <w:r>
        <w:rPr>
          <w:rFonts w:hint="eastAsia" w:ascii="Times New Roman" w:hAnsi="Times New Roman" w:eastAsia="宋体" w:cs="Times New Roman"/>
          <w:b/>
          <w:color w:val="auto"/>
          <w:kern w:val="2"/>
          <w:sz w:val="24"/>
          <w:szCs w:val="24"/>
          <w:lang w:val="en-US" w:eastAsia="zh-CN" w:bidi="ar-SA"/>
        </w:rPr>
        <w:t>9.2-</w:t>
      </w:r>
      <w:r>
        <w:rPr>
          <w:rFonts w:ascii="Times New Roman" w:hAnsi="Times New Roman" w:eastAsia="宋体" w:cs="Times New Roman"/>
          <w:b/>
          <w:color w:val="auto"/>
          <w:kern w:val="2"/>
          <w:sz w:val="24"/>
          <w:szCs w:val="24"/>
          <w:lang w:val="en-US" w:eastAsia="zh-CN" w:bidi="ar-SA"/>
        </w:rPr>
        <w:fldChar w:fldCharType="begin"/>
      </w:r>
      <w:r>
        <w:rPr>
          <w:rFonts w:ascii="Times New Roman" w:hAnsi="Times New Roman" w:eastAsia="宋体" w:cs="Times New Roman"/>
          <w:b/>
          <w:color w:val="auto"/>
          <w:kern w:val="2"/>
          <w:sz w:val="24"/>
          <w:szCs w:val="24"/>
          <w:lang w:val="en-US" w:eastAsia="zh-CN" w:bidi="ar-SA"/>
        </w:rPr>
        <w:instrText xml:space="preserve"> SEQ 表 \* ARABIC \s 1 </w:instrText>
      </w:r>
      <w:r>
        <w:rPr>
          <w:rFonts w:ascii="Times New Roman" w:hAnsi="Times New Roman" w:eastAsia="宋体" w:cs="Times New Roman"/>
          <w:b/>
          <w:color w:val="auto"/>
          <w:kern w:val="2"/>
          <w:sz w:val="24"/>
          <w:szCs w:val="24"/>
          <w:lang w:val="en-US" w:eastAsia="zh-CN" w:bidi="ar-SA"/>
        </w:rPr>
        <w:fldChar w:fldCharType="separate"/>
      </w:r>
      <w:r>
        <w:rPr>
          <w:rFonts w:ascii="Times New Roman" w:hAnsi="Times New Roman" w:eastAsia="宋体" w:cs="Times New Roman"/>
          <w:b/>
          <w:color w:val="auto"/>
          <w:kern w:val="2"/>
          <w:sz w:val="24"/>
          <w:szCs w:val="24"/>
          <w:lang w:val="en-US" w:eastAsia="zh-CN" w:bidi="ar-SA"/>
        </w:rPr>
        <w:t>4</w:t>
      </w:r>
      <w:r>
        <w:rPr>
          <w:rFonts w:ascii="Times New Roman" w:hAnsi="Times New Roman" w:eastAsia="宋体" w:cs="Times New Roman"/>
          <w:b/>
          <w:color w:val="auto"/>
          <w:kern w:val="2"/>
          <w:sz w:val="24"/>
          <w:szCs w:val="24"/>
          <w:lang w:val="en-US" w:eastAsia="zh-CN" w:bidi="ar-SA"/>
        </w:rPr>
        <w:fldChar w:fldCharType="end"/>
      </w:r>
      <w:bookmarkEnd w:id="316"/>
      <w:r>
        <w:rPr>
          <w:rFonts w:hint="eastAsia" w:ascii="Times New Roman" w:hAnsi="Times New Roman" w:eastAsia="宋体" w:cs="Times New Roman"/>
          <w:b/>
          <w:color w:val="auto"/>
          <w:kern w:val="2"/>
          <w:sz w:val="24"/>
          <w:szCs w:val="24"/>
          <w:lang w:val="en-US" w:eastAsia="zh-CN" w:bidi="ar-SA"/>
        </w:rPr>
        <w:t>危险物质及工艺系统危险性等级判断（P）</w:t>
      </w:r>
    </w:p>
    <w:tbl>
      <w:tblPr>
        <w:tblStyle w:val="27"/>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146"/>
        <w:gridCol w:w="1795"/>
        <w:gridCol w:w="1795"/>
        <w:gridCol w:w="1795"/>
        <w:gridCol w:w="17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151" w:type="pct"/>
            <w:vMerge w:val="restart"/>
            <w:noWrap w:val="0"/>
            <w:vAlign w:val="center"/>
          </w:tcPr>
          <w:p>
            <w:pPr>
              <w:pStyle w:val="35"/>
              <w:bidi w:val="0"/>
              <w:rPr>
                <w:rFonts w:hint="eastAsia"/>
                <w:b/>
                <w:bCs/>
                <w:color w:val="auto"/>
                <w:lang w:val="en-US" w:eastAsia="zh-CN"/>
              </w:rPr>
            </w:pPr>
            <w:r>
              <w:rPr>
                <w:rFonts w:hint="eastAsia"/>
                <w:b/>
                <w:bCs/>
                <w:color w:val="auto"/>
                <w:lang w:val="en-US" w:eastAsia="zh-CN"/>
              </w:rPr>
              <w:t>危险物质数量与临界量比值（Q）</w:t>
            </w:r>
          </w:p>
        </w:tc>
        <w:tc>
          <w:tcPr>
            <w:tcW w:w="3848" w:type="pct"/>
            <w:gridSpan w:val="4"/>
            <w:noWrap w:val="0"/>
            <w:vAlign w:val="center"/>
          </w:tcPr>
          <w:p>
            <w:pPr>
              <w:pStyle w:val="35"/>
              <w:bidi w:val="0"/>
              <w:rPr>
                <w:rFonts w:hint="eastAsia"/>
                <w:b/>
                <w:bCs/>
                <w:color w:val="auto"/>
                <w:lang w:val="en-US" w:eastAsia="zh-CN"/>
              </w:rPr>
            </w:pPr>
            <w:r>
              <w:rPr>
                <w:rFonts w:hint="eastAsia"/>
                <w:b/>
                <w:bCs/>
                <w:color w:val="auto"/>
                <w:lang w:val="en-US" w:eastAsia="zh-CN"/>
              </w:rPr>
              <w:t>行业及生产工艺（M）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1151" w:type="pct"/>
            <w:vMerge w:val="continue"/>
            <w:noWrap w:val="0"/>
            <w:vAlign w:val="center"/>
          </w:tcPr>
          <w:p>
            <w:pPr>
              <w:pStyle w:val="35"/>
              <w:bidi w:val="0"/>
              <w:rPr>
                <w:rFonts w:hint="eastAsia"/>
                <w:b/>
                <w:bCs/>
                <w:color w:val="auto"/>
                <w:lang w:val="en-US" w:eastAsia="zh-CN"/>
              </w:rPr>
            </w:pPr>
          </w:p>
        </w:tc>
        <w:tc>
          <w:tcPr>
            <w:tcW w:w="962" w:type="pct"/>
            <w:noWrap w:val="0"/>
            <w:vAlign w:val="center"/>
          </w:tcPr>
          <w:p>
            <w:pPr>
              <w:pStyle w:val="35"/>
              <w:bidi w:val="0"/>
              <w:rPr>
                <w:rFonts w:hint="eastAsia"/>
                <w:b/>
                <w:bCs/>
                <w:color w:val="auto"/>
                <w:lang w:val="en-US" w:eastAsia="zh-CN"/>
              </w:rPr>
            </w:pPr>
            <w:r>
              <w:rPr>
                <w:rFonts w:hint="eastAsia"/>
                <w:b/>
                <w:bCs/>
                <w:color w:val="auto"/>
                <w:lang w:val="en-US" w:eastAsia="zh-CN"/>
              </w:rPr>
              <w:t>M1</w:t>
            </w:r>
          </w:p>
        </w:tc>
        <w:tc>
          <w:tcPr>
            <w:tcW w:w="962" w:type="pct"/>
            <w:noWrap w:val="0"/>
            <w:vAlign w:val="center"/>
          </w:tcPr>
          <w:p>
            <w:pPr>
              <w:pStyle w:val="35"/>
              <w:bidi w:val="0"/>
              <w:rPr>
                <w:rFonts w:hint="eastAsia"/>
                <w:b/>
                <w:bCs/>
                <w:color w:val="auto"/>
                <w:lang w:val="en-US" w:eastAsia="zh-CN"/>
              </w:rPr>
            </w:pPr>
            <w:r>
              <w:rPr>
                <w:rFonts w:hint="eastAsia"/>
                <w:b/>
                <w:bCs/>
                <w:color w:val="auto"/>
                <w:lang w:val="en-US" w:eastAsia="zh-CN"/>
              </w:rPr>
              <w:t>M2</w:t>
            </w:r>
          </w:p>
        </w:tc>
        <w:tc>
          <w:tcPr>
            <w:tcW w:w="962" w:type="pct"/>
            <w:noWrap w:val="0"/>
            <w:vAlign w:val="center"/>
          </w:tcPr>
          <w:p>
            <w:pPr>
              <w:pStyle w:val="35"/>
              <w:bidi w:val="0"/>
              <w:rPr>
                <w:rFonts w:hint="eastAsia"/>
                <w:b/>
                <w:bCs/>
                <w:color w:val="auto"/>
                <w:lang w:val="en-US" w:eastAsia="zh-CN"/>
              </w:rPr>
            </w:pPr>
            <w:r>
              <w:rPr>
                <w:rFonts w:hint="eastAsia"/>
                <w:b/>
                <w:bCs/>
                <w:color w:val="auto"/>
                <w:lang w:val="en-US" w:eastAsia="zh-CN"/>
              </w:rPr>
              <w:t>M3</w:t>
            </w:r>
          </w:p>
        </w:tc>
        <w:tc>
          <w:tcPr>
            <w:tcW w:w="960" w:type="pct"/>
            <w:noWrap w:val="0"/>
            <w:vAlign w:val="center"/>
          </w:tcPr>
          <w:p>
            <w:pPr>
              <w:pStyle w:val="35"/>
              <w:bidi w:val="0"/>
              <w:rPr>
                <w:rFonts w:hint="eastAsia"/>
                <w:b/>
                <w:bCs/>
                <w:color w:val="auto"/>
                <w:lang w:val="en-US" w:eastAsia="zh-CN"/>
              </w:rPr>
            </w:pPr>
            <w:r>
              <w:rPr>
                <w:rFonts w:hint="eastAsia"/>
                <w:b/>
                <w:bCs/>
                <w:color w:val="auto"/>
                <w:lang w:val="en-US" w:eastAsia="zh-CN"/>
              </w:rPr>
              <w:t>M4</w:t>
            </w:r>
          </w:p>
        </w:tc>
      </w:tr>
      <w:tr>
        <w:trPr>
          <w:trHeight w:val="454" w:hRule="atLeast"/>
          <w:jc w:val="center"/>
        </w:trPr>
        <w:tc>
          <w:tcPr>
            <w:tcW w:w="1151" w:type="pct"/>
            <w:noWrap w:val="0"/>
            <w:vAlign w:val="center"/>
          </w:tcPr>
          <w:p>
            <w:pPr>
              <w:pStyle w:val="35"/>
              <w:bidi w:val="0"/>
              <w:rPr>
                <w:rFonts w:hint="eastAsia"/>
                <w:color w:val="auto"/>
                <w:lang w:val="en-US" w:eastAsia="zh-CN"/>
              </w:rPr>
            </w:pPr>
            <w:r>
              <w:rPr>
                <w:rFonts w:hint="eastAsia"/>
                <w:color w:val="auto"/>
                <w:lang w:val="en-US" w:eastAsia="zh-CN"/>
              </w:rPr>
              <w:t>Q≧100</w:t>
            </w:r>
          </w:p>
        </w:tc>
        <w:tc>
          <w:tcPr>
            <w:tcW w:w="962" w:type="pct"/>
            <w:noWrap w:val="0"/>
            <w:vAlign w:val="center"/>
          </w:tcPr>
          <w:p>
            <w:pPr>
              <w:pStyle w:val="35"/>
              <w:bidi w:val="0"/>
              <w:rPr>
                <w:rFonts w:hint="eastAsia"/>
                <w:color w:val="auto"/>
                <w:lang w:val="en-US" w:eastAsia="zh-CN"/>
              </w:rPr>
            </w:pPr>
            <w:r>
              <w:rPr>
                <w:rFonts w:hint="eastAsia"/>
                <w:color w:val="auto"/>
                <w:lang w:val="en-US" w:eastAsia="zh-CN"/>
              </w:rPr>
              <w:t>P1</w:t>
            </w:r>
          </w:p>
        </w:tc>
        <w:tc>
          <w:tcPr>
            <w:tcW w:w="962" w:type="pct"/>
            <w:noWrap w:val="0"/>
            <w:vAlign w:val="center"/>
          </w:tcPr>
          <w:p>
            <w:pPr>
              <w:pStyle w:val="35"/>
              <w:bidi w:val="0"/>
              <w:rPr>
                <w:rFonts w:hint="eastAsia"/>
                <w:color w:val="auto"/>
                <w:lang w:val="en-US" w:eastAsia="zh-CN"/>
              </w:rPr>
            </w:pPr>
            <w:r>
              <w:rPr>
                <w:rFonts w:hint="eastAsia"/>
                <w:color w:val="auto"/>
                <w:lang w:val="en-US" w:eastAsia="zh-CN"/>
              </w:rPr>
              <w:t>P1</w:t>
            </w:r>
          </w:p>
        </w:tc>
        <w:tc>
          <w:tcPr>
            <w:tcW w:w="962" w:type="pct"/>
            <w:noWrap w:val="0"/>
            <w:vAlign w:val="center"/>
          </w:tcPr>
          <w:p>
            <w:pPr>
              <w:pStyle w:val="35"/>
              <w:bidi w:val="0"/>
              <w:rPr>
                <w:rFonts w:hint="eastAsia"/>
                <w:color w:val="auto"/>
                <w:lang w:val="en-US" w:eastAsia="zh-CN"/>
              </w:rPr>
            </w:pPr>
            <w:r>
              <w:rPr>
                <w:rFonts w:hint="eastAsia"/>
                <w:color w:val="auto"/>
                <w:lang w:val="en-US" w:eastAsia="zh-CN"/>
              </w:rPr>
              <w:t>P2</w:t>
            </w:r>
          </w:p>
        </w:tc>
        <w:tc>
          <w:tcPr>
            <w:tcW w:w="960" w:type="pct"/>
            <w:noWrap w:val="0"/>
            <w:vAlign w:val="center"/>
          </w:tcPr>
          <w:p>
            <w:pPr>
              <w:pStyle w:val="35"/>
              <w:bidi w:val="0"/>
              <w:rPr>
                <w:rFonts w:hint="eastAsia"/>
                <w:color w:val="auto"/>
                <w:lang w:val="en-US" w:eastAsia="zh-CN"/>
              </w:rPr>
            </w:pPr>
            <w:r>
              <w:rPr>
                <w:rFonts w:hint="eastAsia"/>
                <w:color w:val="auto"/>
                <w:lang w:val="en-US" w:eastAsia="zh-CN"/>
              </w:rPr>
              <w:t>P3</w:t>
            </w:r>
          </w:p>
        </w:tc>
      </w:tr>
      <w:tr>
        <w:trPr>
          <w:trHeight w:val="454" w:hRule="atLeast"/>
          <w:jc w:val="center"/>
        </w:trPr>
        <w:tc>
          <w:tcPr>
            <w:tcW w:w="1151" w:type="pct"/>
            <w:noWrap w:val="0"/>
            <w:vAlign w:val="center"/>
          </w:tcPr>
          <w:p>
            <w:pPr>
              <w:pStyle w:val="35"/>
              <w:bidi w:val="0"/>
              <w:rPr>
                <w:rFonts w:hint="eastAsia"/>
                <w:color w:val="auto"/>
                <w:lang w:val="en-US" w:eastAsia="zh-CN"/>
              </w:rPr>
            </w:pPr>
            <w:r>
              <w:rPr>
                <w:rFonts w:hint="eastAsia"/>
                <w:color w:val="auto"/>
                <w:lang w:val="en-US" w:eastAsia="zh-CN"/>
              </w:rPr>
              <w:t>10≦Q＜100</w:t>
            </w:r>
          </w:p>
        </w:tc>
        <w:tc>
          <w:tcPr>
            <w:tcW w:w="962" w:type="pct"/>
            <w:noWrap w:val="0"/>
            <w:vAlign w:val="center"/>
          </w:tcPr>
          <w:p>
            <w:pPr>
              <w:pStyle w:val="35"/>
              <w:bidi w:val="0"/>
              <w:rPr>
                <w:rFonts w:hint="eastAsia"/>
                <w:color w:val="auto"/>
                <w:lang w:val="en-US" w:eastAsia="zh-CN"/>
              </w:rPr>
            </w:pPr>
            <w:r>
              <w:rPr>
                <w:rFonts w:hint="eastAsia"/>
                <w:color w:val="auto"/>
                <w:lang w:val="en-US" w:eastAsia="zh-CN"/>
              </w:rPr>
              <w:t>P1</w:t>
            </w:r>
          </w:p>
        </w:tc>
        <w:tc>
          <w:tcPr>
            <w:tcW w:w="962" w:type="pct"/>
            <w:noWrap w:val="0"/>
            <w:vAlign w:val="center"/>
          </w:tcPr>
          <w:p>
            <w:pPr>
              <w:pStyle w:val="35"/>
              <w:bidi w:val="0"/>
              <w:rPr>
                <w:rFonts w:hint="eastAsia"/>
                <w:color w:val="auto"/>
                <w:lang w:val="en-US" w:eastAsia="zh-CN"/>
              </w:rPr>
            </w:pPr>
            <w:r>
              <w:rPr>
                <w:rFonts w:hint="eastAsia"/>
                <w:color w:val="auto"/>
                <w:lang w:val="en-US" w:eastAsia="zh-CN"/>
              </w:rPr>
              <w:t>P2</w:t>
            </w:r>
          </w:p>
        </w:tc>
        <w:tc>
          <w:tcPr>
            <w:tcW w:w="962" w:type="pct"/>
            <w:noWrap w:val="0"/>
            <w:vAlign w:val="center"/>
          </w:tcPr>
          <w:p>
            <w:pPr>
              <w:pStyle w:val="35"/>
              <w:bidi w:val="0"/>
              <w:rPr>
                <w:rFonts w:hint="eastAsia"/>
                <w:color w:val="auto"/>
                <w:lang w:val="en-US" w:eastAsia="zh-CN"/>
              </w:rPr>
            </w:pPr>
            <w:r>
              <w:rPr>
                <w:rFonts w:hint="eastAsia"/>
                <w:color w:val="auto"/>
                <w:lang w:val="en-US" w:eastAsia="zh-CN"/>
              </w:rPr>
              <w:t>P3</w:t>
            </w:r>
          </w:p>
        </w:tc>
        <w:tc>
          <w:tcPr>
            <w:tcW w:w="960" w:type="pct"/>
            <w:noWrap w:val="0"/>
            <w:vAlign w:val="center"/>
          </w:tcPr>
          <w:p>
            <w:pPr>
              <w:pStyle w:val="35"/>
              <w:bidi w:val="0"/>
              <w:rPr>
                <w:rFonts w:hint="eastAsia"/>
                <w:color w:val="auto"/>
                <w:lang w:val="en-US" w:eastAsia="zh-CN"/>
              </w:rPr>
            </w:pPr>
            <w:r>
              <w:rPr>
                <w:rFonts w:hint="eastAsia"/>
                <w:b/>
                <w:bCs/>
                <w:color w:val="auto"/>
                <w:lang w:val="en-US" w:eastAsia="zh-CN"/>
              </w:rPr>
              <w:t>P4</w:t>
            </w:r>
          </w:p>
        </w:tc>
      </w:tr>
      <w:tr>
        <w:trPr>
          <w:trHeight w:val="454" w:hRule="atLeast"/>
          <w:jc w:val="center"/>
        </w:trPr>
        <w:tc>
          <w:tcPr>
            <w:tcW w:w="1151" w:type="pct"/>
            <w:noWrap w:val="0"/>
            <w:vAlign w:val="center"/>
          </w:tcPr>
          <w:p>
            <w:pPr>
              <w:pStyle w:val="35"/>
              <w:bidi w:val="0"/>
              <w:rPr>
                <w:rFonts w:hint="eastAsia"/>
                <w:color w:val="auto"/>
                <w:lang w:val="en-US" w:eastAsia="zh-CN"/>
              </w:rPr>
            </w:pPr>
            <w:r>
              <w:rPr>
                <w:rFonts w:hint="eastAsia"/>
                <w:color w:val="auto"/>
                <w:lang w:val="en-US" w:eastAsia="zh-CN"/>
              </w:rPr>
              <w:t>1≦Q＜10</w:t>
            </w:r>
          </w:p>
        </w:tc>
        <w:tc>
          <w:tcPr>
            <w:tcW w:w="962" w:type="pct"/>
            <w:noWrap w:val="0"/>
            <w:vAlign w:val="center"/>
          </w:tcPr>
          <w:p>
            <w:pPr>
              <w:pStyle w:val="35"/>
              <w:bidi w:val="0"/>
              <w:rPr>
                <w:rFonts w:hint="eastAsia"/>
                <w:color w:val="auto"/>
                <w:lang w:val="en-US" w:eastAsia="zh-CN"/>
              </w:rPr>
            </w:pPr>
            <w:r>
              <w:rPr>
                <w:rFonts w:hint="eastAsia"/>
                <w:color w:val="auto"/>
                <w:lang w:val="en-US" w:eastAsia="zh-CN"/>
              </w:rPr>
              <w:t>P2</w:t>
            </w:r>
          </w:p>
        </w:tc>
        <w:tc>
          <w:tcPr>
            <w:tcW w:w="962" w:type="pct"/>
            <w:noWrap w:val="0"/>
            <w:vAlign w:val="center"/>
          </w:tcPr>
          <w:p>
            <w:pPr>
              <w:pStyle w:val="35"/>
              <w:bidi w:val="0"/>
              <w:rPr>
                <w:rFonts w:hint="eastAsia"/>
                <w:color w:val="auto"/>
                <w:lang w:val="en-US" w:eastAsia="zh-CN"/>
              </w:rPr>
            </w:pPr>
            <w:r>
              <w:rPr>
                <w:rFonts w:hint="eastAsia"/>
                <w:color w:val="auto"/>
                <w:lang w:val="en-US" w:eastAsia="zh-CN"/>
              </w:rPr>
              <w:t>P3</w:t>
            </w:r>
          </w:p>
        </w:tc>
        <w:tc>
          <w:tcPr>
            <w:tcW w:w="962" w:type="pct"/>
            <w:noWrap w:val="0"/>
            <w:vAlign w:val="center"/>
          </w:tcPr>
          <w:p>
            <w:pPr>
              <w:pStyle w:val="35"/>
              <w:bidi w:val="0"/>
              <w:rPr>
                <w:rFonts w:hint="eastAsia"/>
                <w:color w:val="auto"/>
                <w:lang w:val="en-US" w:eastAsia="zh-CN"/>
              </w:rPr>
            </w:pPr>
            <w:r>
              <w:rPr>
                <w:rFonts w:hint="eastAsia"/>
                <w:color w:val="auto"/>
                <w:lang w:val="en-US" w:eastAsia="zh-CN"/>
              </w:rPr>
              <w:t>P4</w:t>
            </w:r>
          </w:p>
        </w:tc>
        <w:tc>
          <w:tcPr>
            <w:tcW w:w="960" w:type="pct"/>
            <w:noWrap w:val="0"/>
            <w:vAlign w:val="center"/>
          </w:tcPr>
          <w:p>
            <w:pPr>
              <w:pStyle w:val="35"/>
              <w:bidi w:val="0"/>
              <w:rPr>
                <w:rFonts w:hint="eastAsia"/>
                <w:color w:val="auto"/>
                <w:lang w:val="en-US" w:eastAsia="zh-CN"/>
              </w:rPr>
            </w:pPr>
            <w:r>
              <w:rPr>
                <w:rFonts w:hint="eastAsia"/>
                <w:color w:val="auto"/>
                <w:lang w:val="en-US" w:eastAsia="zh-CN"/>
              </w:rPr>
              <w:t>P4</w:t>
            </w:r>
          </w:p>
        </w:tc>
      </w:tr>
    </w:tbl>
    <w:p>
      <w:pPr>
        <w:pStyle w:val="33"/>
        <w:bidi w:val="0"/>
        <w:rPr>
          <w:color w:val="auto"/>
          <w:lang w:val="en-US" w:eastAsia="zh-CN"/>
        </w:rPr>
      </w:pPr>
      <w:r>
        <w:rPr>
          <w:color w:val="auto"/>
          <w:lang w:val="en-US" w:eastAsia="zh-CN"/>
        </w:rPr>
        <w:t>本项目Q=</w:t>
      </w:r>
      <w:r>
        <w:rPr>
          <w:rFonts w:hint="eastAsia"/>
          <w:color w:val="auto"/>
          <w:lang w:val="en-US" w:eastAsia="zh-CN"/>
        </w:rPr>
        <w:t>29</w:t>
      </w:r>
      <w:r>
        <w:rPr>
          <w:color w:val="auto"/>
          <w:lang w:val="en-US" w:eastAsia="zh-CN"/>
        </w:rPr>
        <w:t>，为M</w:t>
      </w:r>
      <w:r>
        <w:rPr>
          <w:rFonts w:hint="eastAsia"/>
          <w:color w:val="auto"/>
          <w:lang w:val="en-US" w:eastAsia="zh-CN"/>
        </w:rPr>
        <w:t>4</w:t>
      </w:r>
      <w:r>
        <w:rPr>
          <w:color w:val="auto"/>
          <w:lang w:val="en-US" w:eastAsia="zh-CN"/>
        </w:rPr>
        <w:t>类，根据上表可知，本项目危险物质及工艺系统危险性（P）的分级为P</w:t>
      </w:r>
      <w:r>
        <w:rPr>
          <w:rFonts w:hint="eastAsia"/>
          <w:color w:val="auto"/>
          <w:lang w:val="en-US" w:eastAsia="zh-CN"/>
        </w:rPr>
        <w:t>4</w:t>
      </w:r>
      <w:r>
        <w:rPr>
          <w:color w:val="auto"/>
          <w:lang w:val="en-US" w:eastAsia="zh-CN"/>
        </w:rPr>
        <w:t>。</w:t>
      </w:r>
    </w:p>
    <w:p>
      <w:pPr>
        <w:pStyle w:val="32"/>
        <w:bidi w:val="0"/>
        <w:rPr>
          <w:rFonts w:hint="eastAsia"/>
          <w:color w:val="auto"/>
          <w:lang w:val="en-US" w:eastAsia="zh-CN"/>
        </w:rPr>
      </w:pPr>
      <w:bookmarkStart w:id="317" w:name="_Toc17806"/>
      <w:bookmarkStart w:id="318" w:name="_Toc8539"/>
      <w:bookmarkStart w:id="319" w:name="_Toc10280"/>
      <w:bookmarkStart w:id="320" w:name="_Toc11180"/>
      <w:bookmarkStart w:id="321" w:name="_Toc896"/>
      <w:bookmarkStart w:id="322" w:name="_Toc20648"/>
      <w:r>
        <w:rPr>
          <w:rFonts w:hint="eastAsia"/>
          <w:color w:val="auto"/>
          <w:lang w:val="en-US" w:eastAsia="zh-CN"/>
        </w:rPr>
        <w:t>9.2.4项目各环境要素敏感程度（E）的分级</w:t>
      </w:r>
      <w:bookmarkEnd w:id="317"/>
      <w:bookmarkEnd w:id="318"/>
      <w:bookmarkEnd w:id="319"/>
    </w:p>
    <w:p>
      <w:pPr>
        <w:pStyle w:val="33"/>
        <w:bidi w:val="0"/>
        <w:rPr>
          <w:b/>
          <w:bCs/>
          <w:color w:val="auto"/>
          <w:lang w:val="en-US" w:eastAsia="zh-CN"/>
        </w:rPr>
      </w:pPr>
      <w:bookmarkStart w:id="323" w:name="_Toc31233"/>
      <w:r>
        <w:rPr>
          <w:rFonts w:hint="eastAsia"/>
          <w:b/>
          <w:bCs/>
          <w:color w:val="auto"/>
          <w:lang w:val="en-US" w:eastAsia="zh-CN"/>
        </w:rPr>
        <w:t>（1）</w:t>
      </w:r>
      <w:r>
        <w:rPr>
          <w:b/>
          <w:bCs/>
          <w:color w:val="auto"/>
          <w:lang w:val="en-US" w:eastAsia="zh-CN"/>
        </w:rPr>
        <w:t>大气环境</w:t>
      </w:r>
      <w:bookmarkEnd w:id="323"/>
    </w:p>
    <w:p>
      <w:pPr>
        <w:pStyle w:val="33"/>
        <w:bidi w:val="0"/>
        <w:rPr>
          <w:color w:val="auto"/>
          <w:lang w:val="en-US" w:eastAsia="zh-CN"/>
        </w:rPr>
      </w:pPr>
      <w:r>
        <w:rPr>
          <w:color w:val="auto"/>
          <w:lang w:val="en-US" w:eastAsia="zh-CN"/>
        </w:rPr>
        <w:t>大气环境敏感程度依据环境敏感目标环境敏感性及人口密度划分环境风险受体的敏感性，共分为三种类型，E1为环境高度敏感区，E2为环境中度敏感区，E3为环境低度敏感区，分级原则见</w:t>
      </w:r>
      <w:r>
        <w:rPr>
          <w:color w:val="auto"/>
          <w:lang w:val="en-US" w:eastAsia="zh-CN"/>
        </w:rPr>
        <w:fldChar w:fldCharType="begin"/>
      </w:r>
      <w:r>
        <w:rPr>
          <w:color w:val="auto"/>
          <w:lang w:val="en-US" w:eastAsia="zh-CN"/>
        </w:rPr>
        <w:instrText xml:space="preserve"> REF _Ref13006 \h </w:instrText>
      </w:r>
      <w:r>
        <w:rPr>
          <w:color w:val="auto"/>
          <w:lang w:val="en-US" w:eastAsia="zh-CN"/>
        </w:rPr>
        <w:fldChar w:fldCharType="separate"/>
      </w:r>
      <w:r>
        <w:rPr>
          <w:color w:val="auto"/>
          <w:lang w:val="en-US" w:eastAsia="zh-CN"/>
        </w:rPr>
        <w:t>表</w:t>
      </w:r>
      <w:r>
        <w:rPr>
          <w:rFonts w:hint="eastAsia"/>
          <w:color w:val="auto"/>
          <w:lang w:val="en-US" w:eastAsia="zh-CN"/>
        </w:rPr>
        <w:t>9.2-</w:t>
      </w:r>
      <w:r>
        <w:rPr>
          <w:color w:val="auto"/>
          <w:lang w:val="en-US" w:eastAsia="zh-CN"/>
        </w:rPr>
        <w:t>5</w:t>
      </w:r>
      <w:r>
        <w:rPr>
          <w:color w:val="auto"/>
          <w:lang w:val="en-US" w:eastAsia="zh-CN"/>
        </w:rPr>
        <w:fldChar w:fldCharType="end"/>
      </w:r>
      <w:r>
        <w:rPr>
          <w:color w:val="auto"/>
          <w:lang w:val="en-US" w:eastAsia="zh-CN"/>
        </w:rPr>
        <w:t>。</w:t>
      </w:r>
    </w:p>
    <w:p>
      <w:pPr>
        <w:pStyle w:val="36"/>
        <w:bidi w:val="0"/>
        <w:rPr>
          <w:rFonts w:hint="eastAsia"/>
          <w:color w:val="auto"/>
          <w:lang w:val="en-US" w:eastAsia="zh-CN"/>
        </w:rPr>
      </w:pPr>
      <w:bookmarkStart w:id="324" w:name="_Ref13006"/>
      <w:r>
        <w:rPr>
          <w:color w:val="auto"/>
          <w:lang w:val="en-US" w:eastAsia="zh-CN"/>
        </w:rPr>
        <w:t>表</w:t>
      </w:r>
      <w:r>
        <w:rPr>
          <w:rFonts w:hint="eastAsia"/>
          <w:color w:val="auto"/>
          <w:lang w:val="en-US" w:eastAsia="zh-CN"/>
        </w:rPr>
        <w:t>9.2-</w:t>
      </w:r>
      <w:r>
        <w:rPr>
          <w:color w:val="auto"/>
          <w:lang w:val="en-US" w:eastAsia="zh-CN"/>
        </w:rPr>
        <w:fldChar w:fldCharType="begin"/>
      </w:r>
      <w:r>
        <w:rPr>
          <w:color w:val="auto"/>
          <w:lang w:val="en-US" w:eastAsia="zh-CN"/>
        </w:rPr>
        <w:instrText xml:space="preserve"> SEQ 表 \* ARABIC \s 1 </w:instrText>
      </w:r>
      <w:r>
        <w:rPr>
          <w:color w:val="auto"/>
          <w:lang w:val="en-US" w:eastAsia="zh-CN"/>
        </w:rPr>
        <w:fldChar w:fldCharType="separate"/>
      </w:r>
      <w:r>
        <w:rPr>
          <w:color w:val="auto"/>
          <w:lang w:val="en-US" w:eastAsia="zh-CN"/>
        </w:rPr>
        <w:t>5</w:t>
      </w:r>
      <w:r>
        <w:rPr>
          <w:color w:val="auto"/>
          <w:lang w:val="en-US" w:eastAsia="zh-CN"/>
        </w:rPr>
        <w:fldChar w:fldCharType="end"/>
      </w:r>
      <w:bookmarkEnd w:id="324"/>
      <w:r>
        <w:rPr>
          <w:rFonts w:hint="eastAsia"/>
          <w:color w:val="auto"/>
          <w:lang w:val="en-US" w:eastAsia="zh-CN"/>
        </w:rPr>
        <w:t>大气环境敏感程度分级</w:t>
      </w:r>
    </w:p>
    <w:tbl>
      <w:tblPr>
        <w:tblStyle w:val="27"/>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23"/>
        <w:gridCol w:w="85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tblHeader/>
          <w:jc w:val="center"/>
        </w:trPr>
        <w:tc>
          <w:tcPr>
            <w:tcW w:w="441" w:type="pct"/>
            <w:noWrap w:val="0"/>
            <w:vAlign w:val="center"/>
          </w:tcPr>
          <w:p>
            <w:pPr>
              <w:pStyle w:val="35"/>
              <w:bidi w:val="0"/>
              <w:rPr>
                <w:rFonts w:hint="eastAsia"/>
                <w:b/>
                <w:bCs/>
                <w:color w:val="auto"/>
                <w:lang w:val="en-US" w:eastAsia="zh-CN"/>
              </w:rPr>
            </w:pPr>
            <w:r>
              <w:rPr>
                <w:rFonts w:hint="eastAsia"/>
                <w:b/>
                <w:bCs/>
                <w:color w:val="auto"/>
                <w:lang w:val="en-US" w:eastAsia="zh-CN"/>
              </w:rPr>
              <w:t>分级</w:t>
            </w:r>
          </w:p>
        </w:tc>
        <w:tc>
          <w:tcPr>
            <w:tcW w:w="4558" w:type="pct"/>
            <w:noWrap w:val="0"/>
            <w:vAlign w:val="center"/>
          </w:tcPr>
          <w:p>
            <w:pPr>
              <w:pStyle w:val="35"/>
              <w:bidi w:val="0"/>
              <w:rPr>
                <w:rFonts w:hint="eastAsia"/>
                <w:b/>
                <w:bCs/>
                <w:color w:val="auto"/>
                <w:lang w:val="en-US" w:eastAsia="zh-CN"/>
              </w:rPr>
            </w:pPr>
            <w:r>
              <w:rPr>
                <w:rFonts w:hint="eastAsia"/>
                <w:b/>
                <w:bCs/>
                <w:color w:val="auto"/>
                <w:lang w:val="en-US" w:eastAsia="zh-CN"/>
              </w:rPr>
              <w:t>大气环境敏感性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304" w:hRule="atLeast"/>
          <w:jc w:val="center"/>
        </w:trPr>
        <w:tc>
          <w:tcPr>
            <w:tcW w:w="441" w:type="pct"/>
            <w:noWrap w:val="0"/>
            <w:vAlign w:val="center"/>
          </w:tcPr>
          <w:p>
            <w:pPr>
              <w:pStyle w:val="35"/>
              <w:bidi w:val="0"/>
              <w:rPr>
                <w:rFonts w:hint="eastAsia"/>
                <w:color w:val="auto"/>
                <w:lang w:val="en-US" w:eastAsia="zh-CN"/>
              </w:rPr>
            </w:pPr>
            <w:r>
              <w:rPr>
                <w:rFonts w:hint="eastAsia"/>
                <w:color w:val="auto"/>
                <w:lang w:val="en-US" w:eastAsia="zh-CN"/>
              </w:rPr>
              <w:t>E1</w:t>
            </w:r>
          </w:p>
        </w:tc>
        <w:tc>
          <w:tcPr>
            <w:tcW w:w="4558" w:type="pct"/>
            <w:noWrap w:val="0"/>
            <w:vAlign w:val="center"/>
          </w:tcPr>
          <w:p>
            <w:pPr>
              <w:pStyle w:val="35"/>
              <w:bidi w:val="0"/>
              <w:rPr>
                <w:rFonts w:hint="eastAsia"/>
                <w:color w:val="auto"/>
                <w:lang w:val="en-US" w:eastAsia="zh-CN"/>
              </w:rPr>
            </w:pPr>
            <w:r>
              <w:rPr>
                <w:rFonts w:hint="eastAsia"/>
                <w:color w:val="auto"/>
                <w:lang w:val="en-US" w:eastAsia="zh-CN"/>
              </w:rPr>
              <w:t>周边5km范围内居住区、医疗卫生、文化教育、科研、行政办公等机构人口总数大于 5万人，或其他需要特殊保护区域；或周边500m范围内人口总数大于1000人；油气、化学品输送管线管段周边200m范围内，每千米管段人口数大于200人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304" w:hRule="atLeast"/>
          <w:jc w:val="center"/>
        </w:trPr>
        <w:tc>
          <w:tcPr>
            <w:tcW w:w="441" w:type="pct"/>
            <w:noWrap w:val="0"/>
            <w:vAlign w:val="center"/>
          </w:tcPr>
          <w:p>
            <w:pPr>
              <w:pStyle w:val="35"/>
              <w:bidi w:val="0"/>
              <w:rPr>
                <w:rFonts w:hint="eastAsia"/>
                <w:color w:val="auto"/>
                <w:lang w:val="en-US" w:eastAsia="zh-CN"/>
              </w:rPr>
            </w:pPr>
            <w:r>
              <w:rPr>
                <w:rFonts w:hint="eastAsia"/>
                <w:color w:val="auto"/>
                <w:lang w:val="en-US" w:eastAsia="zh-CN"/>
              </w:rPr>
              <w:t>E2</w:t>
            </w:r>
          </w:p>
        </w:tc>
        <w:tc>
          <w:tcPr>
            <w:tcW w:w="4558" w:type="pct"/>
            <w:noWrap w:val="0"/>
            <w:vAlign w:val="center"/>
          </w:tcPr>
          <w:p>
            <w:pPr>
              <w:pStyle w:val="35"/>
              <w:bidi w:val="0"/>
              <w:rPr>
                <w:rFonts w:hint="eastAsia"/>
                <w:color w:val="auto"/>
                <w:lang w:val="en-US" w:eastAsia="zh-CN"/>
              </w:rPr>
            </w:pPr>
            <w:r>
              <w:rPr>
                <w:rFonts w:hint="eastAsia"/>
                <w:color w:val="auto"/>
                <w:lang w:val="en-US" w:eastAsia="zh-CN"/>
              </w:rPr>
              <w:t>周边5km范围内居住区、医疗卫生、文化教育、科研、行政办公等机构人口总数大于 1万人，小于5万人；或周边500m范围内人口总数大于500人，小于1000人；油气、化学品输送管线管段周边200m范围内，每千米管段人口数大于100人，小于200人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020" w:hRule="atLeast"/>
          <w:jc w:val="center"/>
        </w:trPr>
        <w:tc>
          <w:tcPr>
            <w:tcW w:w="441" w:type="pct"/>
            <w:noWrap w:val="0"/>
            <w:vAlign w:val="center"/>
          </w:tcPr>
          <w:p>
            <w:pPr>
              <w:pStyle w:val="35"/>
              <w:bidi w:val="0"/>
              <w:rPr>
                <w:rFonts w:hint="eastAsia"/>
                <w:color w:val="auto"/>
                <w:lang w:val="en-US" w:eastAsia="zh-CN"/>
              </w:rPr>
            </w:pPr>
            <w:r>
              <w:rPr>
                <w:rFonts w:hint="eastAsia"/>
                <w:color w:val="auto"/>
                <w:lang w:val="en-US" w:eastAsia="zh-CN"/>
              </w:rPr>
              <w:t>E3</w:t>
            </w:r>
          </w:p>
        </w:tc>
        <w:tc>
          <w:tcPr>
            <w:tcW w:w="4558" w:type="pct"/>
            <w:noWrap w:val="0"/>
            <w:vAlign w:val="center"/>
          </w:tcPr>
          <w:p>
            <w:pPr>
              <w:pStyle w:val="35"/>
              <w:bidi w:val="0"/>
              <w:rPr>
                <w:rFonts w:hint="eastAsia"/>
                <w:color w:val="auto"/>
                <w:lang w:val="en-US" w:eastAsia="zh-CN"/>
              </w:rPr>
            </w:pPr>
            <w:r>
              <w:rPr>
                <w:rFonts w:hint="eastAsia"/>
                <w:color w:val="auto"/>
                <w:lang w:val="en-US" w:eastAsia="zh-CN"/>
              </w:rPr>
              <w:t>周边5km范围内居住区、医疗卫生、文化教育、科研、行政办公等机构人口总数小于 1万人；或周边500m范围内人口总数小于500人；油气、化学品输送管线管段周边200m范围内，每千米管段人口数小于100人</w:t>
            </w:r>
          </w:p>
        </w:tc>
      </w:tr>
    </w:tbl>
    <w:p>
      <w:pPr>
        <w:pStyle w:val="33"/>
        <w:bidi w:val="0"/>
        <w:rPr>
          <w:color w:val="auto"/>
          <w:lang w:val="en-US" w:eastAsia="zh-CN"/>
        </w:rPr>
      </w:pPr>
      <w:bookmarkStart w:id="325" w:name="_Toc2793"/>
      <w:r>
        <w:rPr>
          <w:color w:val="auto"/>
          <w:lang w:val="en-US" w:eastAsia="zh-CN"/>
        </w:rPr>
        <w:t>项目周边5km范围包括了云溪城区，总人口大于5万。本项目大气环境敏感程度为E1，为环境高度敏感区。</w:t>
      </w:r>
    </w:p>
    <w:p>
      <w:pPr>
        <w:pStyle w:val="33"/>
        <w:bidi w:val="0"/>
        <w:rPr>
          <w:b/>
          <w:bCs/>
          <w:color w:val="auto"/>
          <w:lang w:val="en-US" w:eastAsia="zh-CN"/>
        </w:rPr>
      </w:pPr>
      <w:r>
        <w:rPr>
          <w:rFonts w:hint="eastAsia"/>
          <w:b/>
          <w:bCs/>
          <w:color w:val="auto"/>
          <w:lang w:val="en-US" w:eastAsia="zh-CN"/>
        </w:rPr>
        <w:t>（2）</w:t>
      </w:r>
      <w:r>
        <w:rPr>
          <w:b/>
          <w:bCs/>
          <w:color w:val="auto"/>
          <w:lang w:val="en-US" w:eastAsia="zh-CN"/>
        </w:rPr>
        <w:t>地表水环境</w:t>
      </w:r>
      <w:bookmarkEnd w:id="325"/>
    </w:p>
    <w:p>
      <w:pPr>
        <w:pStyle w:val="33"/>
        <w:bidi w:val="0"/>
        <w:rPr>
          <w:color w:val="auto"/>
          <w:lang w:val="en-US" w:eastAsia="zh-CN"/>
        </w:rPr>
      </w:pPr>
      <w:r>
        <w:rPr>
          <w:color w:val="auto"/>
          <w:lang w:val="en-US" w:eastAsia="zh-CN"/>
        </w:rPr>
        <w:t>项目地表水环境敏感程度依据事故情况下危险物质泄漏到水体的排放点受纳地表水体功能敏感性，与下游环境敏感目标情况确定。</w:t>
      </w:r>
    </w:p>
    <w:p>
      <w:pPr>
        <w:pStyle w:val="33"/>
        <w:bidi w:val="0"/>
        <w:rPr>
          <w:color w:val="auto"/>
          <w:lang w:val="en-US" w:eastAsia="zh-CN"/>
        </w:rPr>
      </w:pPr>
      <w:r>
        <w:rPr>
          <w:rFonts w:hint="eastAsia"/>
          <w:color w:val="auto"/>
          <w:lang w:val="en-US" w:eastAsia="zh-CN"/>
        </w:rPr>
        <w:t>①</w:t>
      </w:r>
      <w:r>
        <w:rPr>
          <w:color w:val="auto"/>
          <w:lang w:val="en-US" w:eastAsia="zh-CN"/>
        </w:rPr>
        <w:t>地表水功能敏感性分区</w:t>
      </w:r>
    </w:p>
    <w:p>
      <w:pPr>
        <w:pStyle w:val="33"/>
        <w:bidi w:val="0"/>
        <w:rPr>
          <w:color w:val="auto"/>
          <w:lang w:val="en-US" w:eastAsia="zh-CN"/>
        </w:rPr>
      </w:pPr>
      <w:r>
        <w:rPr>
          <w:color w:val="auto"/>
          <w:lang w:val="en-US" w:eastAsia="zh-CN"/>
        </w:rPr>
        <w:t>地表水功能敏感性分区见</w:t>
      </w:r>
      <w:r>
        <w:rPr>
          <w:color w:val="auto"/>
          <w:lang w:val="en-US" w:eastAsia="zh-CN"/>
        </w:rPr>
        <w:fldChar w:fldCharType="begin"/>
      </w:r>
      <w:r>
        <w:rPr>
          <w:color w:val="auto"/>
          <w:lang w:val="en-US" w:eastAsia="zh-CN"/>
        </w:rPr>
        <w:instrText xml:space="preserve"> REF _Ref13085 \h </w:instrText>
      </w:r>
      <w:r>
        <w:rPr>
          <w:color w:val="auto"/>
          <w:lang w:val="en-US" w:eastAsia="zh-CN"/>
        </w:rPr>
        <w:fldChar w:fldCharType="separate"/>
      </w:r>
      <w:r>
        <w:rPr>
          <w:color w:val="auto"/>
          <w:lang w:val="en-US" w:eastAsia="zh-CN"/>
        </w:rPr>
        <w:t>表</w:t>
      </w:r>
      <w:r>
        <w:rPr>
          <w:rFonts w:hint="eastAsia"/>
          <w:color w:val="auto"/>
          <w:lang w:val="en-US" w:eastAsia="zh-CN"/>
        </w:rPr>
        <w:t>9.2-</w:t>
      </w:r>
      <w:r>
        <w:rPr>
          <w:color w:val="auto"/>
          <w:lang w:val="en-US" w:eastAsia="zh-CN"/>
        </w:rPr>
        <w:t>6</w:t>
      </w:r>
      <w:r>
        <w:rPr>
          <w:color w:val="auto"/>
          <w:lang w:val="en-US" w:eastAsia="zh-CN"/>
        </w:rPr>
        <w:fldChar w:fldCharType="end"/>
      </w:r>
      <w:r>
        <w:rPr>
          <w:color w:val="auto"/>
          <w:lang w:val="en-US" w:eastAsia="zh-CN"/>
        </w:rPr>
        <w:t>。</w:t>
      </w:r>
    </w:p>
    <w:p>
      <w:pPr>
        <w:pStyle w:val="36"/>
        <w:bidi w:val="0"/>
        <w:rPr>
          <w:rFonts w:hint="eastAsia"/>
          <w:color w:val="auto"/>
          <w:lang w:val="en-US" w:eastAsia="zh-CN"/>
        </w:rPr>
      </w:pPr>
      <w:bookmarkStart w:id="326" w:name="_Ref13085"/>
      <w:r>
        <w:rPr>
          <w:color w:val="auto"/>
          <w:lang w:val="en-US" w:eastAsia="zh-CN"/>
        </w:rPr>
        <w:t>表</w:t>
      </w:r>
      <w:r>
        <w:rPr>
          <w:rFonts w:hint="eastAsia"/>
          <w:color w:val="auto"/>
          <w:lang w:val="en-US" w:eastAsia="zh-CN"/>
        </w:rPr>
        <w:t>9.2-</w:t>
      </w:r>
      <w:r>
        <w:rPr>
          <w:color w:val="auto"/>
          <w:lang w:val="en-US" w:eastAsia="zh-CN"/>
        </w:rPr>
        <w:fldChar w:fldCharType="begin"/>
      </w:r>
      <w:r>
        <w:rPr>
          <w:color w:val="auto"/>
          <w:lang w:val="en-US" w:eastAsia="zh-CN"/>
        </w:rPr>
        <w:instrText xml:space="preserve"> SEQ 表 \* ARABIC \s 1 </w:instrText>
      </w:r>
      <w:r>
        <w:rPr>
          <w:color w:val="auto"/>
          <w:lang w:val="en-US" w:eastAsia="zh-CN"/>
        </w:rPr>
        <w:fldChar w:fldCharType="separate"/>
      </w:r>
      <w:r>
        <w:rPr>
          <w:color w:val="auto"/>
          <w:lang w:val="en-US" w:eastAsia="zh-CN"/>
        </w:rPr>
        <w:t>6</w:t>
      </w:r>
      <w:r>
        <w:rPr>
          <w:color w:val="auto"/>
          <w:lang w:val="en-US" w:eastAsia="zh-CN"/>
        </w:rPr>
        <w:fldChar w:fldCharType="end"/>
      </w:r>
      <w:bookmarkEnd w:id="326"/>
      <w:r>
        <w:rPr>
          <w:rFonts w:hint="eastAsia"/>
          <w:color w:val="auto"/>
          <w:lang w:val="en-US" w:eastAsia="zh-CN"/>
        </w:rPr>
        <w:t>地表水功能敏感性分区</w:t>
      </w:r>
    </w:p>
    <w:tbl>
      <w:tblPr>
        <w:tblStyle w:val="27"/>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00"/>
        <w:gridCol w:w="80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trPr>
        <w:tc>
          <w:tcPr>
            <w:tcW w:w="697" w:type="pct"/>
            <w:noWrap w:val="0"/>
            <w:vAlign w:val="center"/>
          </w:tcPr>
          <w:p>
            <w:pPr>
              <w:pStyle w:val="35"/>
              <w:bidi w:val="0"/>
              <w:rPr>
                <w:rFonts w:hint="eastAsia"/>
                <w:b/>
                <w:bCs/>
                <w:color w:val="auto"/>
                <w:lang w:val="en-US" w:eastAsia="zh-CN"/>
              </w:rPr>
            </w:pPr>
            <w:r>
              <w:rPr>
                <w:rFonts w:hint="eastAsia"/>
                <w:b/>
                <w:bCs/>
                <w:color w:val="auto"/>
                <w:lang w:val="en-US" w:eastAsia="zh-CN"/>
              </w:rPr>
              <w:t>敏感性</w:t>
            </w:r>
          </w:p>
        </w:tc>
        <w:tc>
          <w:tcPr>
            <w:tcW w:w="4302" w:type="pct"/>
            <w:noWrap w:val="0"/>
            <w:vAlign w:val="center"/>
          </w:tcPr>
          <w:p>
            <w:pPr>
              <w:pStyle w:val="35"/>
              <w:bidi w:val="0"/>
              <w:rPr>
                <w:rFonts w:hint="eastAsia"/>
                <w:b/>
                <w:bCs/>
                <w:color w:val="auto"/>
                <w:lang w:val="en-US" w:eastAsia="zh-CN"/>
              </w:rPr>
            </w:pPr>
            <w:r>
              <w:rPr>
                <w:rFonts w:hint="eastAsia"/>
                <w:b/>
                <w:bCs/>
                <w:color w:val="auto"/>
                <w:lang w:val="en-US" w:eastAsia="zh-CN"/>
              </w:rPr>
              <w:t>地表水环境敏感特征</w:t>
            </w:r>
          </w:p>
        </w:tc>
      </w:tr>
      <w:tr>
        <w:trPr>
          <w:trHeight w:val="1020" w:hRule="atLeast"/>
        </w:trPr>
        <w:tc>
          <w:tcPr>
            <w:tcW w:w="697" w:type="pct"/>
            <w:noWrap w:val="0"/>
            <w:vAlign w:val="center"/>
          </w:tcPr>
          <w:p>
            <w:pPr>
              <w:pStyle w:val="35"/>
              <w:bidi w:val="0"/>
              <w:rPr>
                <w:rFonts w:hint="eastAsia"/>
                <w:color w:val="auto"/>
                <w:lang w:val="en-US" w:eastAsia="zh-CN"/>
              </w:rPr>
            </w:pPr>
            <w:r>
              <w:rPr>
                <w:rFonts w:hint="eastAsia"/>
                <w:color w:val="auto"/>
                <w:lang w:val="en-US" w:eastAsia="zh-CN"/>
              </w:rPr>
              <w:t>敏感F1</w:t>
            </w:r>
          </w:p>
        </w:tc>
        <w:tc>
          <w:tcPr>
            <w:tcW w:w="4302" w:type="pct"/>
            <w:noWrap w:val="0"/>
            <w:vAlign w:val="center"/>
          </w:tcPr>
          <w:p>
            <w:pPr>
              <w:pStyle w:val="35"/>
              <w:bidi w:val="0"/>
              <w:rPr>
                <w:rFonts w:hint="eastAsia"/>
                <w:color w:val="auto"/>
                <w:lang w:val="en-US" w:eastAsia="zh-CN"/>
              </w:rPr>
            </w:pPr>
            <w:r>
              <w:rPr>
                <w:rFonts w:hint="eastAsia"/>
                <w:color w:val="auto"/>
                <w:lang w:val="en-US" w:eastAsia="zh-CN"/>
              </w:rPr>
              <w:t>排放点进入地表水水域环境功能为Ⅱ类及以上，或海水水质分类第一类；</w:t>
            </w:r>
          </w:p>
          <w:p>
            <w:pPr>
              <w:pStyle w:val="35"/>
              <w:bidi w:val="0"/>
              <w:rPr>
                <w:rFonts w:hint="eastAsia"/>
                <w:color w:val="auto"/>
                <w:lang w:val="en-US" w:eastAsia="zh-CN"/>
              </w:rPr>
            </w:pPr>
            <w:r>
              <w:rPr>
                <w:rFonts w:hint="eastAsia"/>
                <w:color w:val="auto"/>
                <w:lang w:val="en-US" w:eastAsia="zh-CN"/>
              </w:rPr>
              <w:t>或以发生事故时，危险物质泄漏到水体的排放点算起，排放进入受纳河流最大流速时，24h流经范围内涉跨国界的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020" w:hRule="atLeast"/>
        </w:trPr>
        <w:tc>
          <w:tcPr>
            <w:tcW w:w="697" w:type="pct"/>
            <w:noWrap w:val="0"/>
            <w:vAlign w:val="center"/>
          </w:tcPr>
          <w:p>
            <w:pPr>
              <w:pStyle w:val="35"/>
              <w:bidi w:val="0"/>
              <w:rPr>
                <w:rFonts w:hint="eastAsia"/>
                <w:color w:val="auto"/>
                <w:lang w:val="en-US" w:eastAsia="zh-CN"/>
              </w:rPr>
            </w:pPr>
            <w:r>
              <w:rPr>
                <w:rFonts w:hint="eastAsia"/>
                <w:color w:val="auto"/>
                <w:lang w:val="en-US" w:eastAsia="zh-CN"/>
              </w:rPr>
              <w:t>较敏感F2</w:t>
            </w:r>
          </w:p>
        </w:tc>
        <w:tc>
          <w:tcPr>
            <w:tcW w:w="4302" w:type="pct"/>
            <w:noWrap w:val="0"/>
            <w:vAlign w:val="center"/>
          </w:tcPr>
          <w:p>
            <w:pPr>
              <w:pStyle w:val="35"/>
              <w:bidi w:val="0"/>
              <w:rPr>
                <w:rFonts w:hint="eastAsia"/>
                <w:color w:val="auto"/>
                <w:lang w:val="en-US" w:eastAsia="zh-CN"/>
              </w:rPr>
            </w:pPr>
            <w:r>
              <w:rPr>
                <w:rFonts w:hint="eastAsia"/>
                <w:color w:val="auto"/>
                <w:lang w:val="en-US" w:eastAsia="zh-CN"/>
              </w:rPr>
              <w:t>排放点进入地表水水域环境功能为Ⅲ类，或海水水质分类第二类；</w:t>
            </w:r>
          </w:p>
          <w:p>
            <w:pPr>
              <w:pStyle w:val="35"/>
              <w:bidi w:val="0"/>
              <w:rPr>
                <w:rFonts w:hint="eastAsia"/>
                <w:color w:val="auto"/>
                <w:lang w:val="en-US" w:eastAsia="zh-CN"/>
              </w:rPr>
            </w:pPr>
            <w:r>
              <w:rPr>
                <w:rFonts w:hint="eastAsia"/>
                <w:color w:val="auto"/>
                <w:lang w:val="en-US" w:eastAsia="zh-CN"/>
              </w:rPr>
              <w:t>或以发生事故时，危险物质泄漏到水体的排放点算起，排放进入受纳河流最大流速时，24h流经范围内涉跨省界的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trPr>
        <w:tc>
          <w:tcPr>
            <w:tcW w:w="697" w:type="pct"/>
            <w:noWrap w:val="0"/>
            <w:vAlign w:val="center"/>
          </w:tcPr>
          <w:p>
            <w:pPr>
              <w:pStyle w:val="35"/>
              <w:bidi w:val="0"/>
              <w:rPr>
                <w:rFonts w:hint="eastAsia"/>
                <w:color w:val="auto"/>
                <w:lang w:val="en-US" w:eastAsia="zh-CN"/>
              </w:rPr>
            </w:pPr>
            <w:r>
              <w:rPr>
                <w:rFonts w:hint="eastAsia"/>
                <w:color w:val="auto"/>
                <w:lang w:val="en-US" w:eastAsia="zh-CN"/>
              </w:rPr>
              <w:t>低敏感F3</w:t>
            </w:r>
          </w:p>
        </w:tc>
        <w:tc>
          <w:tcPr>
            <w:tcW w:w="4302" w:type="pct"/>
            <w:noWrap w:val="0"/>
            <w:vAlign w:val="center"/>
          </w:tcPr>
          <w:p>
            <w:pPr>
              <w:pStyle w:val="35"/>
              <w:bidi w:val="0"/>
              <w:rPr>
                <w:rFonts w:hint="eastAsia"/>
                <w:color w:val="auto"/>
                <w:lang w:val="en-US" w:eastAsia="zh-CN"/>
              </w:rPr>
            </w:pPr>
            <w:r>
              <w:rPr>
                <w:rFonts w:hint="eastAsia"/>
                <w:color w:val="auto"/>
                <w:lang w:val="en-US" w:eastAsia="zh-CN"/>
              </w:rPr>
              <w:t>上述地区之外的其他地区</w:t>
            </w:r>
          </w:p>
        </w:tc>
      </w:tr>
    </w:tbl>
    <w:p>
      <w:pPr>
        <w:pStyle w:val="33"/>
        <w:bidi w:val="0"/>
        <w:rPr>
          <w:rFonts w:hint="eastAsia"/>
          <w:color w:val="auto"/>
          <w:lang w:val="en-US" w:eastAsia="zh-CN"/>
        </w:rPr>
      </w:pPr>
      <w:r>
        <w:rPr>
          <w:rFonts w:hint="eastAsia"/>
          <w:color w:val="auto"/>
          <w:lang w:val="en-US" w:eastAsia="zh-CN"/>
        </w:rPr>
        <w:t>本项目废水设置有三级防控体系，事故状态下，消防废水进入事故应急池，罐区设置有围堰，罐区发生泄漏全部由围堰收集，不会外排周围环境，雨水管网排放口设置切换阀，均作为储存事故废水与调控手段，可确保发生较大或重大事故时泄漏物料和污染消防水控制在厂区，项目属于三级B间接排放项目，废水排入云溪污水处理厂处理，不直接外排地表水体，不对地表水环境进行相应的敏感程度分级。</w:t>
      </w:r>
    </w:p>
    <w:p>
      <w:pPr>
        <w:pStyle w:val="33"/>
        <w:bidi w:val="0"/>
        <w:rPr>
          <w:b/>
          <w:bCs/>
          <w:color w:val="auto"/>
          <w:lang w:val="en-US" w:eastAsia="zh-CN"/>
        </w:rPr>
      </w:pPr>
      <w:bookmarkStart w:id="327" w:name="_Toc20509"/>
      <w:r>
        <w:rPr>
          <w:rFonts w:hint="eastAsia"/>
          <w:b/>
          <w:bCs/>
          <w:color w:val="auto"/>
          <w:lang w:val="en-US" w:eastAsia="zh-CN"/>
        </w:rPr>
        <w:t>（3）</w:t>
      </w:r>
      <w:r>
        <w:rPr>
          <w:b/>
          <w:bCs/>
          <w:color w:val="auto"/>
          <w:lang w:val="en-US" w:eastAsia="zh-CN"/>
        </w:rPr>
        <w:t>地下水环境</w:t>
      </w:r>
      <w:bookmarkEnd w:id="327"/>
    </w:p>
    <w:p>
      <w:pPr>
        <w:pStyle w:val="33"/>
        <w:bidi w:val="0"/>
        <w:rPr>
          <w:color w:val="auto"/>
          <w:lang w:val="en-US" w:eastAsia="zh-CN"/>
        </w:rPr>
      </w:pPr>
      <w:r>
        <w:rPr>
          <w:color w:val="auto"/>
          <w:lang w:val="en-US" w:eastAsia="zh-CN"/>
        </w:rPr>
        <w:t>地下水环境敏感程度依据地下水功能敏感性与包气带防污性能确定，分级原则见</w:t>
      </w:r>
      <w:r>
        <w:rPr>
          <w:rFonts w:hint="default"/>
          <w:color w:val="auto"/>
          <w:lang w:val="en-US" w:eastAsia="zh-CN"/>
        </w:rPr>
        <w:fldChar w:fldCharType="begin"/>
      </w:r>
      <w:r>
        <w:rPr>
          <w:rFonts w:hint="default"/>
          <w:color w:val="auto"/>
          <w:lang w:val="en-US" w:eastAsia="zh-CN"/>
        </w:rPr>
        <w:instrText xml:space="preserve"> REF _Ref9440 \h </w:instrText>
      </w:r>
      <w:r>
        <w:rPr>
          <w:rFonts w:hint="default"/>
          <w:color w:val="auto"/>
          <w:lang w:val="en-US" w:eastAsia="zh-CN"/>
        </w:rPr>
        <w:fldChar w:fldCharType="separate"/>
      </w:r>
      <w:r>
        <w:rPr>
          <w:color w:val="auto"/>
          <w:lang w:val="en-US" w:eastAsia="zh-CN"/>
        </w:rPr>
        <w:t>表</w:t>
      </w:r>
      <w:r>
        <w:rPr>
          <w:rFonts w:hint="eastAsia"/>
          <w:color w:val="auto"/>
          <w:lang w:val="en-US" w:eastAsia="zh-CN"/>
        </w:rPr>
        <w:t>9.2-7</w:t>
      </w:r>
      <w:r>
        <w:rPr>
          <w:rFonts w:hint="default"/>
          <w:color w:val="auto"/>
          <w:lang w:val="en-US" w:eastAsia="zh-CN"/>
        </w:rPr>
        <w:fldChar w:fldCharType="end"/>
      </w:r>
      <w:r>
        <w:rPr>
          <w:color w:val="auto"/>
          <w:lang w:val="en-US" w:eastAsia="zh-CN"/>
        </w:rPr>
        <w:t>。</w:t>
      </w:r>
    </w:p>
    <w:p>
      <w:pPr>
        <w:pStyle w:val="36"/>
        <w:bidi w:val="0"/>
        <w:rPr>
          <w:rFonts w:hint="eastAsia" w:ascii="Times New Roman" w:hAnsi="Times New Roman" w:eastAsia="宋体" w:cs="Times New Roman"/>
          <w:b/>
          <w:color w:val="auto"/>
          <w:kern w:val="2"/>
          <w:sz w:val="24"/>
          <w:szCs w:val="24"/>
          <w:lang w:val="en-US" w:eastAsia="zh-CN" w:bidi="ar-SA"/>
        </w:rPr>
      </w:pPr>
      <w:bookmarkStart w:id="328" w:name="_Ref9440"/>
      <w:r>
        <w:rPr>
          <w:rFonts w:ascii="Times New Roman" w:hAnsi="Times New Roman" w:eastAsia="宋体" w:cs="Times New Roman"/>
          <w:b/>
          <w:color w:val="auto"/>
          <w:kern w:val="2"/>
          <w:sz w:val="24"/>
          <w:szCs w:val="24"/>
          <w:lang w:val="en-US" w:eastAsia="zh-CN" w:bidi="ar-SA"/>
        </w:rPr>
        <w:t>表</w:t>
      </w:r>
      <w:r>
        <w:rPr>
          <w:rFonts w:hint="eastAsia" w:ascii="Times New Roman" w:hAnsi="Times New Roman" w:cs="Times New Roman"/>
          <w:b/>
          <w:color w:val="auto"/>
          <w:kern w:val="2"/>
          <w:sz w:val="24"/>
          <w:szCs w:val="24"/>
          <w:lang w:val="en-US" w:eastAsia="zh-CN" w:bidi="ar-SA"/>
        </w:rPr>
        <w:t>9.2</w:t>
      </w:r>
      <w:r>
        <w:rPr>
          <w:rFonts w:hint="eastAsia" w:ascii="Times New Roman" w:hAnsi="Times New Roman" w:eastAsia="宋体" w:cs="Times New Roman"/>
          <w:b/>
          <w:color w:val="auto"/>
          <w:kern w:val="2"/>
          <w:sz w:val="24"/>
          <w:szCs w:val="24"/>
          <w:lang w:val="en-US" w:eastAsia="zh-CN" w:bidi="ar-SA"/>
        </w:rPr>
        <w:t>-</w:t>
      </w:r>
      <w:bookmarkEnd w:id="328"/>
      <w:r>
        <w:rPr>
          <w:rFonts w:hint="eastAsia" w:cs="Times New Roman"/>
          <w:b/>
          <w:color w:val="auto"/>
          <w:kern w:val="2"/>
          <w:sz w:val="24"/>
          <w:szCs w:val="24"/>
          <w:lang w:val="en-US" w:eastAsia="zh-CN" w:bidi="ar-SA"/>
        </w:rPr>
        <w:t>7</w:t>
      </w:r>
      <w:r>
        <w:rPr>
          <w:rFonts w:hint="eastAsia" w:ascii="Times New Roman" w:hAnsi="Times New Roman" w:eastAsia="宋体" w:cs="Times New Roman"/>
          <w:b/>
          <w:color w:val="auto"/>
          <w:kern w:val="2"/>
          <w:sz w:val="24"/>
          <w:szCs w:val="24"/>
          <w:lang w:val="en-US" w:eastAsia="zh-CN" w:bidi="ar-SA"/>
        </w:rPr>
        <w:t>地下水环境敏感程度分级</w:t>
      </w:r>
    </w:p>
    <w:tbl>
      <w:tblPr>
        <w:tblStyle w:val="27"/>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992"/>
        <w:gridCol w:w="1670"/>
        <w:gridCol w:w="2330"/>
        <w:gridCol w:w="2334"/>
      </w:tblGrid>
      <w:tr>
        <w:trPr>
          <w:trHeight w:val="454" w:hRule="atLeast"/>
          <w:jc w:val="center"/>
        </w:trPr>
        <w:tc>
          <w:tcPr>
            <w:tcW w:w="1604" w:type="pct"/>
            <w:vMerge w:val="restart"/>
            <w:noWrap w:val="0"/>
            <w:vAlign w:val="center"/>
          </w:tcPr>
          <w:p>
            <w:pPr>
              <w:pStyle w:val="35"/>
              <w:bidi w:val="0"/>
              <w:rPr>
                <w:rFonts w:hint="eastAsia"/>
                <w:b/>
                <w:bCs/>
                <w:color w:val="auto"/>
                <w:lang w:val="en-US" w:eastAsia="zh-CN"/>
              </w:rPr>
            </w:pPr>
            <w:r>
              <w:rPr>
                <w:rFonts w:hint="eastAsia"/>
                <w:b/>
                <w:bCs/>
                <w:color w:val="auto"/>
                <w:lang w:val="en-US" w:eastAsia="zh-CN"/>
              </w:rPr>
              <w:t>包气带防污性能</w:t>
            </w:r>
          </w:p>
        </w:tc>
        <w:tc>
          <w:tcPr>
            <w:tcW w:w="3395" w:type="pct"/>
            <w:gridSpan w:val="3"/>
            <w:noWrap w:val="0"/>
            <w:vAlign w:val="center"/>
          </w:tcPr>
          <w:p>
            <w:pPr>
              <w:pStyle w:val="35"/>
              <w:bidi w:val="0"/>
              <w:rPr>
                <w:rFonts w:hint="eastAsia"/>
                <w:b/>
                <w:bCs/>
                <w:color w:val="auto"/>
                <w:lang w:val="en-US" w:eastAsia="zh-CN"/>
              </w:rPr>
            </w:pPr>
            <w:r>
              <w:rPr>
                <w:rFonts w:hint="eastAsia"/>
                <w:b/>
                <w:bCs/>
                <w:color w:val="auto"/>
                <w:lang w:val="en-US" w:eastAsia="zh-CN"/>
              </w:rPr>
              <w:t>地下水功能敏感性</w:t>
            </w:r>
          </w:p>
        </w:tc>
      </w:tr>
      <w:tr>
        <w:trPr>
          <w:trHeight w:val="454" w:hRule="atLeast"/>
          <w:jc w:val="center"/>
        </w:trPr>
        <w:tc>
          <w:tcPr>
            <w:tcW w:w="1604" w:type="pct"/>
            <w:vMerge w:val="continue"/>
            <w:noWrap w:val="0"/>
            <w:vAlign w:val="center"/>
          </w:tcPr>
          <w:p>
            <w:pPr>
              <w:pStyle w:val="35"/>
              <w:bidi w:val="0"/>
              <w:rPr>
                <w:rFonts w:hint="eastAsia"/>
                <w:b/>
                <w:bCs/>
                <w:color w:val="auto"/>
                <w:lang w:val="en-US" w:eastAsia="zh-CN"/>
              </w:rPr>
            </w:pPr>
          </w:p>
        </w:tc>
        <w:tc>
          <w:tcPr>
            <w:tcW w:w="895" w:type="pct"/>
            <w:noWrap w:val="0"/>
            <w:vAlign w:val="center"/>
          </w:tcPr>
          <w:p>
            <w:pPr>
              <w:pStyle w:val="35"/>
              <w:bidi w:val="0"/>
              <w:rPr>
                <w:rFonts w:hint="eastAsia"/>
                <w:b/>
                <w:bCs/>
                <w:color w:val="auto"/>
                <w:lang w:val="en-US" w:eastAsia="zh-CN"/>
              </w:rPr>
            </w:pPr>
            <w:r>
              <w:rPr>
                <w:rFonts w:hint="eastAsia"/>
                <w:b/>
                <w:bCs/>
                <w:color w:val="auto"/>
                <w:lang w:val="en-US" w:eastAsia="zh-CN"/>
              </w:rPr>
              <w:t>G1</w:t>
            </w:r>
          </w:p>
        </w:tc>
        <w:tc>
          <w:tcPr>
            <w:tcW w:w="1249" w:type="pct"/>
            <w:noWrap w:val="0"/>
            <w:vAlign w:val="center"/>
          </w:tcPr>
          <w:p>
            <w:pPr>
              <w:pStyle w:val="35"/>
              <w:bidi w:val="0"/>
              <w:rPr>
                <w:rFonts w:hint="eastAsia"/>
                <w:b/>
                <w:bCs/>
                <w:color w:val="auto"/>
                <w:lang w:val="en-US" w:eastAsia="zh-CN"/>
              </w:rPr>
            </w:pPr>
            <w:r>
              <w:rPr>
                <w:rFonts w:hint="eastAsia"/>
                <w:b/>
                <w:bCs/>
                <w:color w:val="auto"/>
                <w:lang w:val="en-US" w:eastAsia="zh-CN"/>
              </w:rPr>
              <w:t>G2</w:t>
            </w:r>
          </w:p>
        </w:tc>
        <w:tc>
          <w:tcPr>
            <w:tcW w:w="1251" w:type="pct"/>
            <w:noWrap w:val="0"/>
            <w:vAlign w:val="center"/>
          </w:tcPr>
          <w:p>
            <w:pPr>
              <w:pStyle w:val="35"/>
              <w:bidi w:val="0"/>
              <w:rPr>
                <w:rFonts w:hint="eastAsia"/>
                <w:b/>
                <w:bCs/>
                <w:color w:val="auto"/>
                <w:lang w:val="en-US" w:eastAsia="zh-CN"/>
              </w:rPr>
            </w:pPr>
            <w:r>
              <w:rPr>
                <w:rFonts w:hint="eastAsia"/>
                <w:b/>
                <w:bCs/>
                <w:color w:val="auto"/>
                <w:lang w:val="en-US" w:eastAsia="zh-CN"/>
              </w:rPr>
              <w:t>G3</w:t>
            </w:r>
          </w:p>
        </w:tc>
      </w:tr>
      <w:tr>
        <w:trPr>
          <w:trHeight w:val="454" w:hRule="atLeast"/>
          <w:jc w:val="center"/>
        </w:trPr>
        <w:tc>
          <w:tcPr>
            <w:tcW w:w="1604" w:type="pct"/>
            <w:noWrap w:val="0"/>
            <w:vAlign w:val="center"/>
          </w:tcPr>
          <w:p>
            <w:pPr>
              <w:pStyle w:val="35"/>
              <w:bidi w:val="0"/>
              <w:rPr>
                <w:rFonts w:hint="eastAsia"/>
                <w:color w:val="auto"/>
                <w:lang w:val="en-US" w:eastAsia="zh-CN"/>
              </w:rPr>
            </w:pPr>
            <w:r>
              <w:rPr>
                <w:rFonts w:hint="eastAsia"/>
                <w:color w:val="auto"/>
                <w:lang w:val="en-US" w:eastAsia="zh-CN"/>
              </w:rPr>
              <w:t>D1</w:t>
            </w:r>
          </w:p>
        </w:tc>
        <w:tc>
          <w:tcPr>
            <w:tcW w:w="895" w:type="pct"/>
            <w:noWrap w:val="0"/>
            <w:vAlign w:val="center"/>
          </w:tcPr>
          <w:p>
            <w:pPr>
              <w:pStyle w:val="35"/>
              <w:bidi w:val="0"/>
              <w:rPr>
                <w:rFonts w:hint="eastAsia"/>
                <w:color w:val="auto"/>
                <w:lang w:val="en-US" w:eastAsia="zh-CN"/>
              </w:rPr>
            </w:pPr>
            <w:r>
              <w:rPr>
                <w:rFonts w:hint="eastAsia"/>
                <w:color w:val="auto"/>
                <w:lang w:val="en-US" w:eastAsia="zh-CN"/>
              </w:rPr>
              <w:t>E1</w:t>
            </w:r>
          </w:p>
        </w:tc>
        <w:tc>
          <w:tcPr>
            <w:tcW w:w="1249" w:type="pct"/>
            <w:noWrap w:val="0"/>
            <w:vAlign w:val="center"/>
          </w:tcPr>
          <w:p>
            <w:pPr>
              <w:pStyle w:val="35"/>
              <w:bidi w:val="0"/>
              <w:rPr>
                <w:rFonts w:hint="eastAsia"/>
                <w:color w:val="auto"/>
                <w:lang w:val="en-US" w:eastAsia="zh-CN"/>
              </w:rPr>
            </w:pPr>
            <w:r>
              <w:rPr>
                <w:rFonts w:hint="eastAsia"/>
                <w:color w:val="auto"/>
                <w:lang w:val="en-US" w:eastAsia="zh-CN"/>
              </w:rPr>
              <w:t>E1</w:t>
            </w:r>
          </w:p>
        </w:tc>
        <w:tc>
          <w:tcPr>
            <w:tcW w:w="1251" w:type="pct"/>
            <w:noWrap w:val="0"/>
            <w:vAlign w:val="center"/>
          </w:tcPr>
          <w:p>
            <w:pPr>
              <w:pStyle w:val="35"/>
              <w:bidi w:val="0"/>
              <w:rPr>
                <w:rFonts w:hint="eastAsia"/>
                <w:color w:val="auto"/>
                <w:lang w:val="en-US" w:eastAsia="zh-CN"/>
              </w:rPr>
            </w:pPr>
            <w:r>
              <w:rPr>
                <w:rFonts w:hint="eastAsia"/>
                <w:color w:val="auto"/>
                <w:lang w:val="en-US" w:eastAsia="zh-CN"/>
              </w:rPr>
              <w:t>E2</w:t>
            </w:r>
          </w:p>
        </w:tc>
      </w:tr>
      <w:tr>
        <w:trPr>
          <w:trHeight w:val="454" w:hRule="atLeast"/>
          <w:jc w:val="center"/>
        </w:trPr>
        <w:tc>
          <w:tcPr>
            <w:tcW w:w="1604" w:type="pct"/>
            <w:noWrap w:val="0"/>
            <w:vAlign w:val="center"/>
          </w:tcPr>
          <w:p>
            <w:pPr>
              <w:pStyle w:val="35"/>
              <w:bidi w:val="0"/>
              <w:rPr>
                <w:rFonts w:hint="eastAsia"/>
                <w:color w:val="auto"/>
                <w:lang w:val="en-US" w:eastAsia="zh-CN"/>
              </w:rPr>
            </w:pPr>
            <w:r>
              <w:rPr>
                <w:rFonts w:hint="eastAsia"/>
                <w:color w:val="auto"/>
                <w:lang w:val="en-US" w:eastAsia="zh-CN"/>
              </w:rPr>
              <w:t>D2</w:t>
            </w:r>
          </w:p>
        </w:tc>
        <w:tc>
          <w:tcPr>
            <w:tcW w:w="895" w:type="pct"/>
            <w:noWrap w:val="0"/>
            <w:vAlign w:val="center"/>
          </w:tcPr>
          <w:p>
            <w:pPr>
              <w:pStyle w:val="35"/>
              <w:bidi w:val="0"/>
              <w:rPr>
                <w:rFonts w:hint="eastAsia"/>
                <w:color w:val="auto"/>
                <w:lang w:val="en-US" w:eastAsia="zh-CN"/>
              </w:rPr>
            </w:pPr>
            <w:r>
              <w:rPr>
                <w:rFonts w:hint="eastAsia"/>
                <w:color w:val="auto"/>
                <w:lang w:val="en-US" w:eastAsia="zh-CN"/>
              </w:rPr>
              <w:t>E1</w:t>
            </w:r>
          </w:p>
        </w:tc>
        <w:tc>
          <w:tcPr>
            <w:tcW w:w="1249" w:type="pct"/>
            <w:noWrap w:val="0"/>
            <w:vAlign w:val="center"/>
          </w:tcPr>
          <w:p>
            <w:pPr>
              <w:pStyle w:val="35"/>
              <w:bidi w:val="0"/>
              <w:rPr>
                <w:rFonts w:hint="eastAsia"/>
                <w:color w:val="auto"/>
                <w:lang w:val="en-US" w:eastAsia="zh-CN"/>
              </w:rPr>
            </w:pPr>
            <w:r>
              <w:rPr>
                <w:rFonts w:hint="eastAsia"/>
                <w:color w:val="auto"/>
                <w:lang w:val="en-US" w:eastAsia="zh-CN"/>
              </w:rPr>
              <w:t>E2</w:t>
            </w:r>
          </w:p>
        </w:tc>
        <w:tc>
          <w:tcPr>
            <w:tcW w:w="1251" w:type="pct"/>
            <w:noWrap w:val="0"/>
            <w:vAlign w:val="center"/>
          </w:tcPr>
          <w:p>
            <w:pPr>
              <w:pStyle w:val="35"/>
              <w:bidi w:val="0"/>
              <w:rPr>
                <w:rFonts w:hint="eastAsia"/>
                <w:color w:val="auto"/>
                <w:lang w:val="en-US" w:eastAsia="zh-CN"/>
              </w:rPr>
            </w:pPr>
            <w:r>
              <w:rPr>
                <w:rFonts w:hint="eastAsia"/>
                <w:color w:val="auto"/>
                <w:lang w:val="en-US" w:eastAsia="zh-CN"/>
              </w:rPr>
              <w:t>E3</w:t>
            </w:r>
          </w:p>
        </w:tc>
      </w:tr>
      <w:tr>
        <w:trPr>
          <w:trHeight w:val="454" w:hRule="atLeast"/>
          <w:jc w:val="center"/>
        </w:trPr>
        <w:tc>
          <w:tcPr>
            <w:tcW w:w="1604" w:type="pct"/>
            <w:noWrap w:val="0"/>
            <w:vAlign w:val="center"/>
          </w:tcPr>
          <w:p>
            <w:pPr>
              <w:pStyle w:val="35"/>
              <w:bidi w:val="0"/>
              <w:rPr>
                <w:rFonts w:hint="eastAsia"/>
                <w:color w:val="auto"/>
                <w:lang w:val="en-US" w:eastAsia="zh-CN"/>
              </w:rPr>
            </w:pPr>
            <w:r>
              <w:rPr>
                <w:rFonts w:hint="eastAsia"/>
                <w:color w:val="auto"/>
                <w:lang w:val="en-US" w:eastAsia="zh-CN"/>
              </w:rPr>
              <w:t>D3</w:t>
            </w:r>
          </w:p>
        </w:tc>
        <w:tc>
          <w:tcPr>
            <w:tcW w:w="895" w:type="pct"/>
            <w:noWrap w:val="0"/>
            <w:vAlign w:val="center"/>
          </w:tcPr>
          <w:p>
            <w:pPr>
              <w:pStyle w:val="35"/>
              <w:bidi w:val="0"/>
              <w:rPr>
                <w:rFonts w:hint="eastAsia"/>
                <w:color w:val="auto"/>
                <w:lang w:val="en-US" w:eastAsia="zh-CN"/>
              </w:rPr>
            </w:pPr>
            <w:r>
              <w:rPr>
                <w:rFonts w:hint="eastAsia"/>
                <w:color w:val="auto"/>
                <w:lang w:val="en-US" w:eastAsia="zh-CN"/>
              </w:rPr>
              <w:t>E2</w:t>
            </w:r>
          </w:p>
        </w:tc>
        <w:tc>
          <w:tcPr>
            <w:tcW w:w="1249" w:type="pct"/>
            <w:noWrap w:val="0"/>
            <w:vAlign w:val="center"/>
          </w:tcPr>
          <w:p>
            <w:pPr>
              <w:pStyle w:val="35"/>
              <w:bidi w:val="0"/>
              <w:rPr>
                <w:rFonts w:hint="eastAsia"/>
                <w:color w:val="auto"/>
                <w:lang w:val="en-US" w:eastAsia="zh-CN"/>
              </w:rPr>
            </w:pPr>
            <w:r>
              <w:rPr>
                <w:rFonts w:hint="eastAsia"/>
                <w:color w:val="auto"/>
                <w:lang w:val="en-US" w:eastAsia="zh-CN"/>
              </w:rPr>
              <w:t>E3</w:t>
            </w:r>
          </w:p>
        </w:tc>
        <w:tc>
          <w:tcPr>
            <w:tcW w:w="1251" w:type="pct"/>
            <w:noWrap w:val="0"/>
            <w:vAlign w:val="center"/>
          </w:tcPr>
          <w:p>
            <w:pPr>
              <w:pStyle w:val="35"/>
              <w:bidi w:val="0"/>
              <w:rPr>
                <w:rFonts w:hint="eastAsia"/>
                <w:color w:val="auto"/>
                <w:lang w:val="en-US" w:eastAsia="zh-CN"/>
              </w:rPr>
            </w:pPr>
            <w:r>
              <w:rPr>
                <w:rFonts w:hint="eastAsia"/>
                <w:color w:val="auto"/>
                <w:lang w:val="en-US" w:eastAsia="zh-CN"/>
              </w:rPr>
              <w:t>E3</w:t>
            </w:r>
          </w:p>
        </w:tc>
      </w:tr>
    </w:tbl>
    <w:p>
      <w:pPr>
        <w:pStyle w:val="33"/>
        <w:bidi w:val="0"/>
        <w:rPr>
          <w:rFonts w:hint="eastAsia"/>
          <w:color w:val="auto"/>
          <w:lang w:val="en-US" w:eastAsia="zh-CN"/>
        </w:rPr>
      </w:pPr>
      <w:r>
        <w:rPr>
          <w:rFonts w:hint="eastAsia"/>
          <w:color w:val="auto"/>
          <w:lang w:val="en-US" w:eastAsia="zh-CN"/>
        </w:rPr>
        <w:t>本项目地下水功能敏感性分区属于G3级。</w:t>
      </w:r>
    </w:p>
    <w:p>
      <w:pPr>
        <w:pStyle w:val="33"/>
        <w:bidi w:val="0"/>
        <w:rPr>
          <w:rFonts w:hint="eastAsia"/>
          <w:color w:val="auto"/>
          <w:lang w:val="en-US" w:eastAsia="zh-CN"/>
        </w:rPr>
      </w:pPr>
      <w:r>
        <w:rPr>
          <w:rFonts w:hint="eastAsia"/>
          <w:color w:val="auto"/>
          <w:lang w:val="en-US" w:eastAsia="zh-CN"/>
        </w:rPr>
        <w:t>根据本项目工程地质特点，本项目所在区域图层为黏土，厚度大于1m，渗透系数约为4.8×10~5.79×10</w:t>
      </w:r>
      <w:r>
        <w:rPr>
          <w:rFonts w:hint="eastAsia"/>
          <w:color w:val="auto"/>
          <w:vertAlign w:val="superscript"/>
          <w:lang w:val="en-US" w:eastAsia="zh-CN"/>
        </w:rPr>
        <w:t>-4</w:t>
      </w:r>
      <w:r>
        <w:rPr>
          <w:rFonts w:hint="eastAsia"/>
          <w:color w:val="auto"/>
          <w:lang w:val="en-US" w:eastAsia="zh-CN"/>
        </w:rPr>
        <w:t>cm/s。属于D2级。.</w:t>
      </w:r>
    </w:p>
    <w:p>
      <w:pPr>
        <w:pStyle w:val="33"/>
        <w:bidi w:val="0"/>
        <w:rPr>
          <w:color w:val="auto"/>
          <w:lang w:val="en-US" w:eastAsia="zh-CN"/>
        </w:rPr>
      </w:pPr>
      <w:r>
        <w:rPr>
          <w:color w:val="auto"/>
          <w:lang w:val="en-US" w:eastAsia="zh-CN"/>
        </w:rPr>
        <w:t>因此，本项目地下水环境敏感程度为E2。</w:t>
      </w:r>
    </w:p>
    <w:p>
      <w:pPr>
        <w:pStyle w:val="33"/>
        <w:bidi w:val="0"/>
        <w:rPr>
          <w:rFonts w:hint="eastAsia"/>
          <w:color w:val="auto"/>
          <w:lang w:val="en-US" w:eastAsia="zh-CN"/>
        </w:rPr>
      </w:pPr>
      <w:r>
        <w:rPr>
          <w:rFonts w:hint="eastAsia"/>
          <w:color w:val="auto"/>
          <w:lang w:val="en-US" w:eastAsia="zh-CN"/>
        </w:rPr>
        <w:t>④环境风险潜势的划分</w:t>
      </w:r>
    </w:p>
    <w:p>
      <w:pPr>
        <w:pStyle w:val="33"/>
        <w:bidi w:val="0"/>
        <w:rPr>
          <w:rFonts w:hint="eastAsia"/>
          <w:color w:val="auto"/>
          <w:lang w:val="en-US" w:eastAsia="zh-CN"/>
        </w:rPr>
      </w:pPr>
      <w:r>
        <w:rPr>
          <w:rFonts w:hint="eastAsia"/>
          <w:color w:val="auto"/>
          <w:lang w:val="en-US" w:eastAsia="zh-CN"/>
        </w:rPr>
        <w:t>根据《建设项目环境风险评价技术导则》（HJ/169-2018）中建设项目环境风险潜势划分如表9.2-8所示。</w:t>
      </w:r>
    </w:p>
    <w:p>
      <w:pPr>
        <w:pStyle w:val="36"/>
        <w:bidi w:val="0"/>
        <w:rPr>
          <w:rFonts w:ascii="Times New Roman" w:hAnsi="Times New Roman" w:eastAsia="宋体" w:cs="Times New Roman"/>
          <w:b/>
          <w:color w:val="auto"/>
          <w:kern w:val="2"/>
          <w:sz w:val="24"/>
          <w:szCs w:val="24"/>
          <w:lang w:val="en-US" w:eastAsia="zh-CN" w:bidi="ar-SA"/>
        </w:rPr>
      </w:pPr>
      <w:r>
        <w:rPr>
          <w:rFonts w:ascii="Times New Roman" w:hAnsi="Times New Roman" w:eastAsia="宋体" w:cs="Times New Roman"/>
          <w:b/>
          <w:color w:val="auto"/>
          <w:kern w:val="2"/>
          <w:sz w:val="24"/>
          <w:szCs w:val="24"/>
          <w:lang w:val="en-US" w:eastAsia="zh-CN" w:bidi="ar-SA"/>
        </w:rPr>
        <w:t>表</w:t>
      </w:r>
      <w:r>
        <w:rPr>
          <w:rFonts w:hint="eastAsia" w:ascii="Times New Roman" w:hAnsi="Times New Roman" w:eastAsia="宋体" w:cs="Times New Roman"/>
          <w:b/>
          <w:color w:val="auto"/>
          <w:kern w:val="2"/>
          <w:sz w:val="24"/>
          <w:szCs w:val="24"/>
          <w:lang w:val="en-US" w:eastAsia="zh-CN" w:bidi="ar-SA"/>
        </w:rPr>
        <w:t>9</w:t>
      </w:r>
      <w:r>
        <w:rPr>
          <w:rFonts w:ascii="Times New Roman" w:hAnsi="Times New Roman" w:eastAsia="宋体" w:cs="Times New Roman"/>
          <w:b/>
          <w:color w:val="auto"/>
          <w:kern w:val="2"/>
          <w:sz w:val="24"/>
          <w:szCs w:val="24"/>
          <w:lang w:val="en-US" w:eastAsia="zh-CN" w:bidi="ar-SA"/>
        </w:rPr>
        <w:t>.2-</w:t>
      </w:r>
      <w:r>
        <w:rPr>
          <w:rFonts w:hint="eastAsia" w:ascii="Times New Roman" w:hAnsi="Times New Roman" w:eastAsia="宋体" w:cs="Times New Roman"/>
          <w:b/>
          <w:color w:val="auto"/>
          <w:kern w:val="2"/>
          <w:sz w:val="24"/>
          <w:szCs w:val="24"/>
          <w:lang w:val="en-US" w:eastAsia="zh-CN" w:bidi="ar-SA"/>
        </w:rPr>
        <w:t>8</w:t>
      </w:r>
      <w:r>
        <w:rPr>
          <w:rFonts w:ascii="Times New Roman" w:hAnsi="Times New Roman" w:eastAsia="宋体" w:cs="Times New Roman"/>
          <w:b/>
          <w:color w:val="auto"/>
          <w:kern w:val="2"/>
          <w:sz w:val="24"/>
          <w:szCs w:val="24"/>
          <w:lang w:val="en-US" w:eastAsia="zh-CN" w:bidi="ar-SA"/>
        </w:rPr>
        <w:t xml:space="preserve">   建设项目环境风险潜势划分</w:t>
      </w:r>
    </w:p>
    <w:tbl>
      <w:tblPr>
        <w:tblStyle w:val="27"/>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83"/>
        <w:gridCol w:w="1606"/>
        <w:gridCol w:w="1720"/>
        <w:gridCol w:w="1878"/>
        <w:gridCol w:w="1725"/>
      </w:tblGrid>
      <w:tr>
        <w:trPr>
          <w:trHeight w:val="337" w:hRule="atLeast"/>
        </w:trPr>
        <w:tc>
          <w:tcPr>
            <w:tcW w:w="1358" w:type="pct"/>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环境敏感程度（E）</w:t>
            </w:r>
          </w:p>
        </w:tc>
        <w:tc>
          <w:tcPr>
            <w:tcW w:w="3641" w:type="pct"/>
            <w:gridSpan w:val="4"/>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7" w:hRule="atLeast"/>
        </w:trPr>
        <w:tc>
          <w:tcPr>
            <w:tcW w:w="1358" w:type="pct"/>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color w:val="auto"/>
                <w:kern w:val="2"/>
                <w:sz w:val="21"/>
                <w:szCs w:val="21"/>
                <w:lang w:val="en-US" w:eastAsia="zh-CN" w:bidi="ar-SA"/>
              </w:rPr>
            </w:pPr>
          </w:p>
        </w:tc>
        <w:tc>
          <w:tcPr>
            <w:tcW w:w="844"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极高危害（P1）</w:t>
            </w:r>
          </w:p>
        </w:tc>
        <w:tc>
          <w:tcPr>
            <w:tcW w:w="904"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高度危害（P2）</w:t>
            </w:r>
          </w:p>
        </w:tc>
        <w:tc>
          <w:tcPr>
            <w:tcW w:w="987"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中度危害（P3）</w:t>
            </w:r>
          </w:p>
        </w:tc>
        <w:tc>
          <w:tcPr>
            <w:tcW w:w="905"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轻度危害（P4）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7" w:hRule="atLeast"/>
        </w:trPr>
        <w:tc>
          <w:tcPr>
            <w:tcW w:w="135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环境高度敏感区（E1）</w:t>
            </w:r>
          </w:p>
        </w:tc>
        <w:tc>
          <w:tcPr>
            <w:tcW w:w="844"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Ⅳ+</w:t>
            </w:r>
          </w:p>
        </w:tc>
        <w:tc>
          <w:tcPr>
            <w:tcW w:w="904"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Ⅳ</w:t>
            </w:r>
          </w:p>
        </w:tc>
        <w:tc>
          <w:tcPr>
            <w:tcW w:w="987"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Ⅲ</w:t>
            </w:r>
          </w:p>
        </w:tc>
        <w:tc>
          <w:tcPr>
            <w:tcW w:w="905"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7" w:hRule="atLeast"/>
        </w:trPr>
        <w:tc>
          <w:tcPr>
            <w:tcW w:w="135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环境中度敏感区（E2）</w:t>
            </w:r>
          </w:p>
        </w:tc>
        <w:tc>
          <w:tcPr>
            <w:tcW w:w="844"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Ⅳ</w:t>
            </w:r>
          </w:p>
        </w:tc>
        <w:tc>
          <w:tcPr>
            <w:tcW w:w="904"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Ⅲ</w:t>
            </w:r>
          </w:p>
        </w:tc>
        <w:tc>
          <w:tcPr>
            <w:tcW w:w="987"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Ⅲ</w:t>
            </w:r>
          </w:p>
        </w:tc>
        <w:tc>
          <w:tcPr>
            <w:tcW w:w="905"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7" w:hRule="atLeast"/>
        </w:trPr>
        <w:tc>
          <w:tcPr>
            <w:tcW w:w="135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环境低度敏感区（E3）</w:t>
            </w:r>
          </w:p>
        </w:tc>
        <w:tc>
          <w:tcPr>
            <w:tcW w:w="844"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Ⅲ</w:t>
            </w:r>
          </w:p>
        </w:tc>
        <w:tc>
          <w:tcPr>
            <w:tcW w:w="904"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Ⅲ</w:t>
            </w:r>
          </w:p>
        </w:tc>
        <w:tc>
          <w:tcPr>
            <w:tcW w:w="987"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Ⅱ</w:t>
            </w:r>
          </w:p>
        </w:tc>
        <w:tc>
          <w:tcPr>
            <w:tcW w:w="905"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7" w:hRule="atLeast"/>
        </w:trPr>
        <w:tc>
          <w:tcPr>
            <w:tcW w:w="5000" w:type="pct"/>
            <w:gridSpan w:val="5"/>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注：Ⅳ+为极高环境风险</w:t>
            </w:r>
          </w:p>
        </w:tc>
      </w:tr>
    </w:tbl>
    <w:p>
      <w:pPr>
        <w:pStyle w:val="33"/>
        <w:bidi w:val="0"/>
        <w:rPr>
          <w:rFonts w:hint="eastAsia"/>
          <w:color w:val="auto"/>
          <w:lang w:val="en-US" w:eastAsia="zh-CN"/>
        </w:rPr>
      </w:pPr>
      <w:r>
        <w:rPr>
          <w:rFonts w:hint="eastAsia"/>
          <w:color w:val="auto"/>
          <w:lang w:val="en-US" w:eastAsia="zh-CN"/>
        </w:rPr>
        <w:t>环境风险潜势综合等级选择大气、地表水、地下水等各要素等级的相对高值进行判断，按照下表确定本项目环境风险潜势为</w:t>
      </w:r>
      <w:r>
        <w:rPr>
          <w:rFonts w:hint="eastAsia" w:ascii="Times New Roman" w:hAnsi="Times New Roman" w:eastAsia="宋体" w:cs="Times New Roman"/>
          <w:color w:val="auto"/>
          <w:kern w:val="2"/>
          <w:sz w:val="24"/>
          <w:szCs w:val="24"/>
          <w:lang w:val="en-US" w:eastAsia="zh-CN" w:bidi="ar-SA"/>
        </w:rPr>
        <w:t>Ⅲ</w:t>
      </w:r>
      <w:r>
        <w:rPr>
          <w:rFonts w:hint="eastAsia"/>
          <w:color w:val="auto"/>
          <w:lang w:val="en-US" w:eastAsia="zh-CN"/>
        </w:rPr>
        <w:t>级。</w:t>
      </w:r>
    </w:p>
    <w:p>
      <w:pPr>
        <w:pStyle w:val="36"/>
        <w:bidi w:val="0"/>
        <w:rPr>
          <w:rFonts w:ascii="Times New Roman" w:hAnsi="Times New Roman" w:eastAsia="宋体" w:cs="Times New Roman"/>
          <w:b/>
          <w:color w:val="auto"/>
          <w:kern w:val="2"/>
          <w:sz w:val="24"/>
          <w:szCs w:val="24"/>
          <w:lang w:val="en-US" w:eastAsia="zh-CN" w:bidi="ar-SA"/>
        </w:rPr>
      </w:pPr>
      <w:r>
        <w:rPr>
          <w:rFonts w:ascii="Times New Roman" w:hAnsi="Times New Roman" w:eastAsia="宋体" w:cs="Times New Roman"/>
          <w:b/>
          <w:color w:val="auto"/>
          <w:kern w:val="2"/>
          <w:sz w:val="24"/>
          <w:szCs w:val="24"/>
          <w:lang w:val="en-US" w:eastAsia="zh-CN" w:bidi="ar-SA"/>
        </w:rPr>
        <w:t>表</w:t>
      </w:r>
      <w:r>
        <w:rPr>
          <w:rFonts w:hint="eastAsia" w:ascii="Times New Roman" w:hAnsi="Times New Roman" w:eastAsia="宋体" w:cs="Times New Roman"/>
          <w:b/>
          <w:color w:val="auto"/>
          <w:kern w:val="2"/>
          <w:sz w:val="24"/>
          <w:szCs w:val="24"/>
          <w:lang w:val="en-US" w:eastAsia="zh-CN" w:bidi="ar-SA"/>
        </w:rPr>
        <w:t>9</w:t>
      </w:r>
      <w:r>
        <w:rPr>
          <w:rFonts w:ascii="Times New Roman" w:hAnsi="Times New Roman" w:eastAsia="宋体" w:cs="Times New Roman"/>
          <w:b/>
          <w:color w:val="auto"/>
          <w:kern w:val="2"/>
          <w:sz w:val="24"/>
          <w:szCs w:val="24"/>
          <w:lang w:val="en-US" w:eastAsia="zh-CN" w:bidi="ar-SA"/>
        </w:rPr>
        <w:t>.2-</w:t>
      </w:r>
      <w:r>
        <w:rPr>
          <w:rFonts w:hint="eastAsia" w:ascii="Times New Roman" w:hAnsi="Times New Roman" w:eastAsia="宋体" w:cs="Times New Roman"/>
          <w:b/>
          <w:color w:val="auto"/>
          <w:kern w:val="2"/>
          <w:sz w:val="24"/>
          <w:szCs w:val="24"/>
          <w:lang w:val="en-US" w:eastAsia="zh-CN" w:bidi="ar-SA"/>
        </w:rPr>
        <w:t>9</w:t>
      </w:r>
      <w:r>
        <w:rPr>
          <w:rFonts w:ascii="Times New Roman" w:hAnsi="Times New Roman" w:eastAsia="宋体" w:cs="Times New Roman"/>
          <w:b/>
          <w:color w:val="auto"/>
          <w:kern w:val="2"/>
          <w:sz w:val="24"/>
          <w:szCs w:val="24"/>
          <w:lang w:val="en-US" w:eastAsia="zh-CN" w:bidi="ar-SA"/>
        </w:rPr>
        <w:t xml:space="preserve">   项目环境风险潜势判断结果</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5"/>
        <w:gridCol w:w="1328"/>
        <w:gridCol w:w="1937"/>
        <w:gridCol w:w="1661"/>
        <w:gridCol w:w="2337"/>
        <w:gridCol w:w="16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323"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序号</w:t>
            </w:r>
          </w:p>
        </w:tc>
        <w:tc>
          <w:tcPr>
            <w:tcW w:w="69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项目P等级</w:t>
            </w:r>
          </w:p>
        </w:tc>
        <w:tc>
          <w:tcPr>
            <w:tcW w:w="101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环境要素</w:t>
            </w:r>
          </w:p>
        </w:tc>
        <w:tc>
          <w:tcPr>
            <w:tcW w:w="873"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环境敏感程度</w:t>
            </w:r>
          </w:p>
        </w:tc>
        <w:tc>
          <w:tcPr>
            <w:tcW w:w="122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该种要素环境风险潜势等级</w:t>
            </w:r>
          </w:p>
        </w:tc>
        <w:tc>
          <w:tcPr>
            <w:tcW w:w="857"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项目综合环境风险潜势等级</w:t>
            </w:r>
          </w:p>
        </w:tc>
      </w:tr>
      <w:tr>
        <w:trPr>
          <w:trHeight w:val="340" w:hRule="atLeast"/>
          <w:jc w:val="center"/>
        </w:trPr>
        <w:tc>
          <w:tcPr>
            <w:tcW w:w="323"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w:t>
            </w:r>
          </w:p>
        </w:tc>
        <w:tc>
          <w:tcPr>
            <w:tcW w:w="698" w:type="pct"/>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P1</w:t>
            </w:r>
          </w:p>
        </w:tc>
        <w:tc>
          <w:tcPr>
            <w:tcW w:w="101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大气环境</w:t>
            </w:r>
          </w:p>
        </w:tc>
        <w:tc>
          <w:tcPr>
            <w:tcW w:w="873"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E1</w:t>
            </w:r>
          </w:p>
        </w:tc>
        <w:tc>
          <w:tcPr>
            <w:tcW w:w="122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Ⅲ</w:t>
            </w:r>
          </w:p>
        </w:tc>
        <w:tc>
          <w:tcPr>
            <w:tcW w:w="857" w:type="pct"/>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323"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w:t>
            </w:r>
          </w:p>
        </w:tc>
        <w:tc>
          <w:tcPr>
            <w:tcW w:w="698" w:type="pct"/>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p>
        </w:tc>
        <w:tc>
          <w:tcPr>
            <w:tcW w:w="101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地表水环境</w:t>
            </w:r>
          </w:p>
        </w:tc>
        <w:tc>
          <w:tcPr>
            <w:tcW w:w="873"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p>
        </w:tc>
        <w:tc>
          <w:tcPr>
            <w:tcW w:w="122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p>
        </w:tc>
        <w:tc>
          <w:tcPr>
            <w:tcW w:w="857" w:type="pct"/>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323"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w:t>
            </w:r>
          </w:p>
        </w:tc>
        <w:tc>
          <w:tcPr>
            <w:tcW w:w="698" w:type="pct"/>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p>
        </w:tc>
        <w:tc>
          <w:tcPr>
            <w:tcW w:w="101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地下水环境</w:t>
            </w:r>
          </w:p>
        </w:tc>
        <w:tc>
          <w:tcPr>
            <w:tcW w:w="873"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E2</w:t>
            </w:r>
          </w:p>
        </w:tc>
        <w:tc>
          <w:tcPr>
            <w:tcW w:w="122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Ⅳ</w:t>
            </w:r>
          </w:p>
        </w:tc>
        <w:tc>
          <w:tcPr>
            <w:tcW w:w="857" w:type="pct"/>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color w:val="auto"/>
                <w:kern w:val="2"/>
                <w:sz w:val="24"/>
                <w:szCs w:val="24"/>
                <w:lang w:val="en-US" w:eastAsia="zh-CN" w:bidi="ar-SA"/>
              </w:rPr>
            </w:pPr>
          </w:p>
        </w:tc>
      </w:tr>
    </w:tbl>
    <w:p>
      <w:pPr>
        <w:pStyle w:val="31"/>
        <w:bidi w:val="0"/>
        <w:rPr>
          <w:color w:val="auto"/>
        </w:rPr>
      </w:pPr>
      <w:bookmarkStart w:id="329" w:name="_Toc31798"/>
      <w:r>
        <w:rPr>
          <w:rFonts w:hint="eastAsia"/>
          <w:color w:val="auto"/>
          <w:lang w:val="en-US" w:eastAsia="zh-CN"/>
        </w:rPr>
        <w:t>9.3</w:t>
      </w:r>
      <w:bookmarkEnd w:id="320"/>
      <w:bookmarkEnd w:id="321"/>
      <w:bookmarkEnd w:id="322"/>
      <w:bookmarkStart w:id="330" w:name="_Toc18310"/>
      <w:bookmarkStart w:id="331" w:name="_Toc41310123"/>
      <w:bookmarkStart w:id="332" w:name="_Toc11008"/>
      <w:bookmarkStart w:id="333" w:name="_Toc32082"/>
      <w:bookmarkStart w:id="334" w:name="_Toc21604"/>
      <w:bookmarkStart w:id="335" w:name="_Toc7466"/>
      <w:bookmarkStart w:id="336" w:name="_Toc5814"/>
      <w:bookmarkStart w:id="337" w:name="_Toc10405"/>
      <w:bookmarkStart w:id="338" w:name="_Toc30399"/>
      <w:r>
        <w:rPr>
          <w:color w:val="auto"/>
        </w:rPr>
        <w:t>环境风险评价等级及评价范围</w:t>
      </w:r>
      <w:bookmarkEnd w:id="329"/>
      <w:bookmarkEnd w:id="330"/>
      <w:bookmarkEnd w:id="331"/>
    </w:p>
    <w:p>
      <w:pPr>
        <w:pStyle w:val="32"/>
        <w:bidi w:val="0"/>
        <w:rPr>
          <w:color w:val="auto"/>
        </w:rPr>
      </w:pPr>
      <w:r>
        <w:rPr>
          <w:rFonts w:hint="eastAsia"/>
          <w:color w:val="auto"/>
          <w:lang w:val="en-US" w:eastAsia="zh-CN"/>
        </w:rPr>
        <w:t>9</w:t>
      </w:r>
      <w:r>
        <w:rPr>
          <w:color w:val="auto"/>
        </w:rPr>
        <w:t>.3.1评价等级</w:t>
      </w:r>
    </w:p>
    <w:p>
      <w:pPr>
        <w:pStyle w:val="33"/>
        <w:bidi w:val="0"/>
        <w:rPr>
          <w:color w:val="auto"/>
          <w:lang w:val="en-US" w:eastAsia="zh-CN"/>
        </w:rPr>
      </w:pPr>
      <w:r>
        <w:rPr>
          <w:color w:val="auto"/>
          <w:lang w:val="en-US" w:eastAsia="zh-CN"/>
        </w:rPr>
        <w:t>根据《建设项目环境风险评价技术导则》（HJ169-2018）的有关规定，风险评价工作等级判定详见下表。</w:t>
      </w:r>
    </w:p>
    <w:p>
      <w:pPr>
        <w:pStyle w:val="36"/>
        <w:bidi w:val="0"/>
        <w:rPr>
          <w:rFonts w:ascii="Times New Roman" w:hAnsi="Times New Roman" w:eastAsia="宋体" w:cs="Times New Roman"/>
          <w:b/>
          <w:color w:val="auto"/>
          <w:kern w:val="2"/>
          <w:sz w:val="24"/>
          <w:szCs w:val="24"/>
          <w:lang w:val="en-US" w:eastAsia="zh-CN" w:bidi="ar-SA"/>
        </w:rPr>
      </w:pPr>
      <w:r>
        <w:rPr>
          <w:rFonts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9</w:t>
      </w:r>
      <w:r>
        <w:rPr>
          <w:rFonts w:ascii="Times New Roman" w:hAnsi="Times New Roman" w:eastAsia="宋体" w:cs="Times New Roman"/>
          <w:b/>
          <w:color w:val="auto"/>
          <w:kern w:val="2"/>
          <w:sz w:val="24"/>
          <w:szCs w:val="24"/>
          <w:lang w:val="en-US" w:eastAsia="zh-CN" w:bidi="ar-SA"/>
        </w:rPr>
        <w:t>.3-1   评价等级划分</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58"/>
        <w:gridCol w:w="1858"/>
        <w:gridCol w:w="1858"/>
        <w:gridCol w:w="1858"/>
        <w:gridCol w:w="2078"/>
      </w:tblGrid>
      <w:tr>
        <w:trPr>
          <w:trHeight w:val="340" w:hRule="atLeast"/>
        </w:trPr>
        <w:tc>
          <w:tcPr>
            <w:tcW w:w="977" w:type="pct"/>
            <w:noWrap w:val="0"/>
            <w:vAlign w:val="center"/>
          </w:tcPr>
          <w:p>
            <w:pPr>
              <w:overflowPunct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环境风险潜势</w:t>
            </w:r>
          </w:p>
        </w:tc>
        <w:tc>
          <w:tcPr>
            <w:tcW w:w="977" w:type="pct"/>
            <w:noWrap w:val="0"/>
            <w:vAlign w:val="center"/>
          </w:tcPr>
          <w:p>
            <w:pPr>
              <w:overflowPunct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Ⅳ、Ⅳ</w:t>
            </w:r>
            <w:r>
              <w:rPr>
                <w:rFonts w:hint="default" w:ascii="Times New Roman" w:hAnsi="Times New Roman" w:cs="Times New Roman"/>
                <w:color w:val="auto"/>
                <w:sz w:val="21"/>
                <w:szCs w:val="21"/>
                <w:vertAlign w:val="superscript"/>
              </w:rPr>
              <w:t>+</w:t>
            </w:r>
          </w:p>
        </w:tc>
        <w:tc>
          <w:tcPr>
            <w:tcW w:w="977" w:type="pct"/>
            <w:noWrap w:val="0"/>
            <w:vAlign w:val="center"/>
          </w:tcPr>
          <w:p>
            <w:pPr>
              <w:overflowPunct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977" w:type="pct"/>
            <w:noWrap w:val="0"/>
            <w:vAlign w:val="center"/>
          </w:tcPr>
          <w:p>
            <w:pPr>
              <w:overflowPunct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1090" w:type="pct"/>
            <w:noWrap w:val="0"/>
            <w:vAlign w:val="center"/>
          </w:tcPr>
          <w:p>
            <w:pPr>
              <w:overflowPunct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r>
      <w:tr>
        <w:trPr>
          <w:trHeight w:val="340" w:hRule="atLeast"/>
        </w:trPr>
        <w:tc>
          <w:tcPr>
            <w:tcW w:w="977" w:type="pct"/>
            <w:noWrap w:val="0"/>
            <w:vAlign w:val="center"/>
          </w:tcPr>
          <w:p>
            <w:pPr>
              <w:overflowPunct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评价工作等级</w:t>
            </w:r>
          </w:p>
        </w:tc>
        <w:tc>
          <w:tcPr>
            <w:tcW w:w="977" w:type="pct"/>
            <w:noWrap w:val="0"/>
            <w:vAlign w:val="center"/>
          </w:tcPr>
          <w:p>
            <w:pPr>
              <w:overflowPunct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977" w:type="pct"/>
            <w:noWrap w:val="0"/>
            <w:vAlign w:val="center"/>
          </w:tcPr>
          <w:p>
            <w:pPr>
              <w:overflowPunct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977" w:type="pct"/>
            <w:noWrap w:val="0"/>
            <w:vAlign w:val="center"/>
          </w:tcPr>
          <w:p>
            <w:pPr>
              <w:overflowPunct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c>
          <w:tcPr>
            <w:tcW w:w="1090" w:type="pct"/>
            <w:noWrap w:val="0"/>
            <w:vAlign w:val="center"/>
          </w:tcPr>
          <w:p>
            <w:pPr>
              <w:overflowPunct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简单分析</w:t>
            </w:r>
          </w:p>
        </w:tc>
      </w:tr>
      <w:tr>
        <w:trPr>
          <w:trHeight w:val="340" w:hRule="atLeast"/>
        </w:trPr>
        <w:tc>
          <w:tcPr>
            <w:tcW w:w="5000" w:type="pct"/>
            <w:gridSpan w:val="5"/>
            <w:noWrap w:val="0"/>
            <w:vAlign w:val="center"/>
          </w:tcPr>
          <w:p>
            <w:pPr>
              <w:overflowPunct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注：a是相对于详细评价工作内容而言，在描述危险物质、环境影响途径、环境危险后果、风险防范措施等方面给出定性的说明。见附录A。</w:t>
            </w:r>
          </w:p>
        </w:tc>
      </w:tr>
    </w:tbl>
    <w:p>
      <w:pPr>
        <w:overflowPunct w:val="0"/>
        <w:adjustRightInd w:val="0"/>
        <w:snapToGrid w:val="0"/>
        <w:spacing w:before="120" w:beforeLines="50" w:line="360" w:lineRule="auto"/>
        <w:ind w:firstLine="480"/>
        <w:rPr>
          <w:color w:val="auto"/>
          <w:sz w:val="24"/>
        </w:rPr>
      </w:pPr>
      <w:r>
        <w:rPr>
          <w:color w:val="auto"/>
          <w:sz w:val="24"/>
        </w:rPr>
        <w:t>项目的风险潜势为</w:t>
      </w:r>
      <w:r>
        <w:rPr>
          <w:rFonts w:hint="eastAsia" w:ascii="宋体" w:hAnsi="宋体" w:cs="宋体"/>
          <w:color w:val="auto"/>
        </w:rPr>
        <w:t>Ⅲ</w:t>
      </w:r>
      <w:r>
        <w:rPr>
          <w:color w:val="auto"/>
          <w:sz w:val="24"/>
        </w:rPr>
        <w:t>，确定风险评价工作级别为</w:t>
      </w:r>
      <w:r>
        <w:rPr>
          <w:rFonts w:hint="eastAsia"/>
          <w:color w:val="auto"/>
          <w:sz w:val="24"/>
          <w:lang w:val="en-US" w:eastAsia="zh-CN"/>
        </w:rPr>
        <w:t>二</w:t>
      </w:r>
      <w:r>
        <w:rPr>
          <w:color w:val="auto"/>
          <w:sz w:val="24"/>
        </w:rPr>
        <w:t>级。</w:t>
      </w:r>
    </w:p>
    <w:p>
      <w:pPr>
        <w:pStyle w:val="32"/>
        <w:bidi w:val="0"/>
        <w:rPr>
          <w:b/>
          <w:color w:val="auto"/>
        </w:rPr>
      </w:pPr>
      <w:r>
        <w:rPr>
          <w:rFonts w:hint="eastAsia"/>
          <w:b/>
          <w:color w:val="auto"/>
          <w:lang w:val="en-US" w:eastAsia="zh-CN"/>
        </w:rPr>
        <w:t>9</w:t>
      </w:r>
      <w:r>
        <w:rPr>
          <w:b/>
          <w:color w:val="auto"/>
        </w:rPr>
        <w:t>.3.2风险评价范围</w:t>
      </w:r>
    </w:p>
    <w:p>
      <w:pPr>
        <w:pStyle w:val="33"/>
        <w:bidi w:val="0"/>
        <w:rPr>
          <w:color w:val="auto"/>
          <w:lang w:val="en-US" w:eastAsia="zh-CN"/>
        </w:rPr>
      </w:pPr>
      <w:r>
        <w:rPr>
          <w:color w:val="auto"/>
          <w:lang w:val="en-US" w:eastAsia="zh-CN"/>
        </w:rPr>
        <w:t>结合项目风险评价等级，确定项目大气评价范围为距离项目边界5km范围，地下水风险评价范围为厂区范围内地下水。</w:t>
      </w:r>
    </w:p>
    <w:p>
      <w:pPr>
        <w:pStyle w:val="36"/>
        <w:bidi w:val="0"/>
        <w:rPr>
          <w:color w:val="auto"/>
        </w:rPr>
      </w:pPr>
      <w:r>
        <w:rPr>
          <w:color w:val="auto"/>
        </w:rPr>
        <w:t>表</w:t>
      </w:r>
      <w:r>
        <w:rPr>
          <w:rFonts w:hint="eastAsia"/>
          <w:color w:val="auto"/>
          <w:lang w:val="en-US" w:eastAsia="zh-CN"/>
        </w:rPr>
        <w:t>9</w:t>
      </w:r>
      <w:r>
        <w:rPr>
          <w:color w:val="auto"/>
        </w:rPr>
        <w:t>.3-2   各环境要素风险评价范围</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731"/>
        <w:gridCol w:w="6931"/>
      </w:tblGrid>
      <w:tr>
        <w:trPr>
          <w:cantSplit/>
          <w:trHeight w:val="340" w:hRule="atLeast"/>
          <w:jc w:val="center"/>
        </w:trPr>
        <w:tc>
          <w:tcPr>
            <w:tcW w:w="446" w:type="pc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编号</w:t>
            </w:r>
          </w:p>
        </w:tc>
        <w:tc>
          <w:tcPr>
            <w:tcW w:w="910" w:type="pc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w:t>
            </w:r>
          </w:p>
        </w:tc>
        <w:tc>
          <w:tcPr>
            <w:tcW w:w="3643" w:type="pc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风险评价范围</w:t>
            </w:r>
          </w:p>
        </w:tc>
      </w:tr>
      <w:tr>
        <w:trPr>
          <w:cantSplit/>
          <w:trHeight w:val="340" w:hRule="atLeast"/>
          <w:jc w:val="center"/>
        </w:trPr>
        <w:tc>
          <w:tcPr>
            <w:tcW w:w="44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10"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364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以项目厂界边，外扩5km的区域。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44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910"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364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44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910"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地下水环境</w:t>
            </w:r>
          </w:p>
        </w:tc>
        <w:tc>
          <w:tcPr>
            <w:tcW w:w="364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厂区范围内地下水</w:t>
            </w:r>
          </w:p>
        </w:tc>
      </w:tr>
    </w:tbl>
    <w:p>
      <w:pPr>
        <w:pStyle w:val="31"/>
        <w:bidi w:val="0"/>
        <w:rPr>
          <w:rFonts w:hint="eastAsia"/>
          <w:b/>
          <w:color w:val="auto"/>
          <w:lang w:val="en-US" w:eastAsia="zh-CN"/>
        </w:rPr>
      </w:pPr>
      <w:bookmarkStart w:id="339" w:name="_Toc10522"/>
      <w:bookmarkStart w:id="340" w:name="_Toc9828"/>
      <w:bookmarkStart w:id="341" w:name="_Toc41310124"/>
      <w:r>
        <w:rPr>
          <w:rFonts w:hint="eastAsia"/>
          <w:b/>
          <w:color w:val="auto"/>
          <w:lang w:val="en-US" w:eastAsia="zh-CN"/>
        </w:rPr>
        <w:t>9.4风险识别</w:t>
      </w:r>
      <w:bookmarkEnd w:id="339"/>
      <w:bookmarkEnd w:id="340"/>
      <w:bookmarkEnd w:id="341"/>
    </w:p>
    <w:p>
      <w:pPr>
        <w:pStyle w:val="32"/>
        <w:bidi w:val="0"/>
        <w:rPr>
          <w:b/>
          <w:color w:val="auto"/>
        </w:rPr>
      </w:pPr>
      <w:r>
        <w:rPr>
          <w:rFonts w:hint="eastAsia"/>
          <w:b/>
          <w:color w:val="auto"/>
          <w:lang w:val="en-US" w:eastAsia="zh-CN"/>
        </w:rPr>
        <w:t>9</w:t>
      </w:r>
      <w:r>
        <w:rPr>
          <w:b/>
          <w:color w:val="auto"/>
        </w:rPr>
        <w:t>.4.1物质危险性识别</w:t>
      </w:r>
    </w:p>
    <w:p>
      <w:pPr>
        <w:pStyle w:val="33"/>
        <w:bidi w:val="0"/>
        <w:rPr>
          <w:color w:val="auto"/>
          <w:lang w:val="zh-TW" w:eastAsia="zh-CN"/>
        </w:rPr>
      </w:pPr>
      <w:r>
        <w:rPr>
          <w:color w:val="auto"/>
          <w:lang w:val="zh-TW" w:eastAsia="zh-CN"/>
        </w:rPr>
        <w:t>根据《建设项目环境风险评价技术导则》（HJ169-2018），</w:t>
      </w:r>
      <w:r>
        <w:rPr>
          <w:color w:val="auto"/>
          <w:lang w:val="en-US" w:eastAsia="zh-CN"/>
        </w:rPr>
        <w:t>经统计，企业涉及的物质属于《建设项目环境风险评价技术导则》（HJ169-2018）附录B危险废物有：甲醇、</w:t>
      </w:r>
      <w:r>
        <w:rPr>
          <w:rFonts w:hint="eastAsia"/>
          <w:color w:val="auto"/>
          <w:lang w:val="en-US" w:eastAsia="zh-CN"/>
        </w:rPr>
        <w:t>醋酸甲酯、乙酸</w:t>
      </w:r>
      <w:r>
        <w:rPr>
          <w:color w:val="auto"/>
          <w:lang w:val="en-US" w:eastAsia="zh-CN"/>
        </w:rPr>
        <w:t>。</w:t>
      </w:r>
    </w:p>
    <w:p>
      <w:pPr>
        <w:pStyle w:val="32"/>
        <w:bidi w:val="0"/>
        <w:rPr>
          <w:color w:val="auto"/>
        </w:rPr>
      </w:pPr>
      <w:r>
        <w:rPr>
          <w:rFonts w:hint="eastAsia"/>
          <w:color w:val="auto"/>
          <w:lang w:val="en-US" w:eastAsia="zh-CN"/>
        </w:rPr>
        <w:t>9</w:t>
      </w:r>
      <w:r>
        <w:rPr>
          <w:color w:val="auto"/>
        </w:rPr>
        <w:t>.4.2生产系统危险性识别及影响环境途径</w:t>
      </w:r>
    </w:p>
    <w:p>
      <w:pPr>
        <w:widowControl w:val="0"/>
        <w:spacing w:line="360" w:lineRule="auto"/>
        <w:ind w:firstLine="480" w:firstLineChars="200"/>
        <w:jc w:val="both"/>
        <w:rPr>
          <w:color w:val="auto"/>
          <w:sz w:val="24"/>
        </w:rPr>
      </w:pPr>
      <w:r>
        <w:rPr>
          <w:color w:val="auto"/>
          <w:sz w:val="24"/>
        </w:rPr>
        <w:t>本项目生产设施的的环境风险识别见下表。</w:t>
      </w:r>
    </w:p>
    <w:p>
      <w:pPr>
        <w:pStyle w:val="36"/>
        <w:bidi w:val="0"/>
        <w:rPr>
          <w:color w:val="auto"/>
        </w:rPr>
      </w:pPr>
      <w:r>
        <w:rPr>
          <w:color w:val="auto"/>
        </w:rPr>
        <w:t>表</w:t>
      </w:r>
      <w:r>
        <w:rPr>
          <w:rFonts w:hint="eastAsia"/>
          <w:color w:val="auto"/>
          <w:lang w:val="en-US" w:eastAsia="zh-CN"/>
        </w:rPr>
        <w:t>9</w:t>
      </w:r>
      <w:r>
        <w:rPr>
          <w:color w:val="auto"/>
        </w:rPr>
        <w:t>.4-1   项目生产设施环境风险识别</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36"/>
        <w:gridCol w:w="1246"/>
        <w:gridCol w:w="4053"/>
        <w:gridCol w:w="3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492" w:type="pct"/>
            <w:noWrap w:val="0"/>
            <w:vAlign w:val="center"/>
          </w:tcPr>
          <w:p>
            <w:pPr>
              <w:pStyle w:val="35"/>
              <w:bidi w:val="0"/>
              <w:rPr>
                <w:color w:val="auto"/>
              </w:rPr>
            </w:pPr>
            <w:r>
              <w:rPr>
                <w:color w:val="auto"/>
              </w:rPr>
              <w:t>设施名称</w:t>
            </w:r>
          </w:p>
        </w:tc>
        <w:tc>
          <w:tcPr>
            <w:tcW w:w="655" w:type="pct"/>
            <w:noWrap w:val="0"/>
            <w:vAlign w:val="center"/>
          </w:tcPr>
          <w:p>
            <w:pPr>
              <w:pStyle w:val="35"/>
              <w:bidi w:val="0"/>
              <w:rPr>
                <w:color w:val="auto"/>
              </w:rPr>
            </w:pPr>
            <w:r>
              <w:rPr>
                <w:color w:val="auto"/>
              </w:rPr>
              <w:t>事故类型</w:t>
            </w:r>
          </w:p>
        </w:tc>
        <w:tc>
          <w:tcPr>
            <w:tcW w:w="2130" w:type="pct"/>
            <w:noWrap w:val="0"/>
            <w:vAlign w:val="center"/>
          </w:tcPr>
          <w:p>
            <w:pPr>
              <w:pStyle w:val="35"/>
              <w:bidi w:val="0"/>
              <w:rPr>
                <w:color w:val="auto"/>
              </w:rPr>
            </w:pPr>
            <w:r>
              <w:rPr>
                <w:color w:val="auto"/>
              </w:rPr>
              <w:t>事故引发可能原因</w:t>
            </w:r>
          </w:p>
        </w:tc>
        <w:tc>
          <w:tcPr>
            <w:tcW w:w="1721" w:type="pct"/>
            <w:noWrap w:val="0"/>
            <w:vAlign w:val="center"/>
          </w:tcPr>
          <w:p>
            <w:pPr>
              <w:pStyle w:val="35"/>
              <w:bidi w:val="0"/>
              <w:rPr>
                <w:color w:val="auto"/>
              </w:rPr>
            </w:pPr>
            <w:r>
              <w:rPr>
                <w:color w:val="auto"/>
              </w:rPr>
              <w:t>影响途径及可能受影响的环保目标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492" w:type="pct"/>
            <w:vMerge w:val="restart"/>
            <w:noWrap w:val="0"/>
            <w:vAlign w:val="center"/>
          </w:tcPr>
          <w:p>
            <w:pPr>
              <w:pStyle w:val="35"/>
              <w:bidi w:val="0"/>
              <w:rPr>
                <w:color w:val="auto"/>
              </w:rPr>
            </w:pPr>
            <w:r>
              <w:rPr>
                <w:color w:val="auto"/>
              </w:rPr>
              <w:t>生产车间</w:t>
            </w:r>
          </w:p>
        </w:tc>
        <w:tc>
          <w:tcPr>
            <w:tcW w:w="655" w:type="pct"/>
            <w:vMerge w:val="restart"/>
            <w:noWrap w:val="0"/>
            <w:vAlign w:val="center"/>
          </w:tcPr>
          <w:p>
            <w:pPr>
              <w:pStyle w:val="35"/>
              <w:bidi w:val="0"/>
              <w:rPr>
                <w:color w:val="auto"/>
              </w:rPr>
            </w:pPr>
            <w:r>
              <w:rPr>
                <w:color w:val="auto"/>
              </w:rPr>
              <w:t>泄漏、爆炸</w:t>
            </w:r>
          </w:p>
        </w:tc>
        <w:tc>
          <w:tcPr>
            <w:tcW w:w="2130" w:type="pct"/>
            <w:noWrap w:val="0"/>
            <w:vAlign w:val="center"/>
          </w:tcPr>
          <w:p>
            <w:pPr>
              <w:pStyle w:val="35"/>
              <w:bidi w:val="0"/>
              <w:rPr>
                <w:color w:val="auto"/>
              </w:rPr>
            </w:pPr>
            <w:r>
              <w:rPr>
                <w:color w:val="auto"/>
              </w:rPr>
              <w:t>反应釜发生泄漏</w:t>
            </w:r>
          </w:p>
        </w:tc>
        <w:tc>
          <w:tcPr>
            <w:tcW w:w="1721" w:type="pct"/>
            <w:noWrap w:val="0"/>
            <w:vAlign w:val="center"/>
          </w:tcPr>
          <w:p>
            <w:pPr>
              <w:pStyle w:val="35"/>
              <w:bidi w:val="0"/>
              <w:rPr>
                <w:color w:val="auto"/>
              </w:rPr>
            </w:pPr>
            <w:r>
              <w:rPr>
                <w:color w:val="auto"/>
              </w:rPr>
              <w:t>排入大气，影响环境空气保护目标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492" w:type="pct"/>
            <w:vMerge w:val="continue"/>
            <w:noWrap w:val="0"/>
            <w:vAlign w:val="center"/>
          </w:tcPr>
          <w:p>
            <w:pPr>
              <w:pStyle w:val="35"/>
              <w:bidi w:val="0"/>
              <w:rPr>
                <w:color w:val="auto"/>
              </w:rPr>
            </w:pPr>
          </w:p>
        </w:tc>
        <w:tc>
          <w:tcPr>
            <w:tcW w:w="655" w:type="pct"/>
            <w:vMerge w:val="continue"/>
            <w:noWrap w:val="0"/>
            <w:vAlign w:val="center"/>
          </w:tcPr>
          <w:p>
            <w:pPr>
              <w:pStyle w:val="35"/>
              <w:bidi w:val="0"/>
              <w:rPr>
                <w:color w:val="auto"/>
              </w:rPr>
            </w:pPr>
          </w:p>
        </w:tc>
        <w:tc>
          <w:tcPr>
            <w:tcW w:w="2130" w:type="pct"/>
            <w:noWrap w:val="0"/>
            <w:vAlign w:val="center"/>
          </w:tcPr>
          <w:p>
            <w:pPr>
              <w:pStyle w:val="35"/>
              <w:bidi w:val="0"/>
              <w:rPr>
                <w:color w:val="auto"/>
              </w:rPr>
            </w:pPr>
            <w:r>
              <w:rPr>
                <w:color w:val="auto"/>
              </w:rPr>
              <w:t>各种物料输送管道破损引起物料泄漏</w:t>
            </w:r>
          </w:p>
        </w:tc>
        <w:tc>
          <w:tcPr>
            <w:tcW w:w="1721" w:type="pct"/>
            <w:noWrap w:val="0"/>
            <w:vAlign w:val="center"/>
          </w:tcPr>
          <w:p>
            <w:pPr>
              <w:pStyle w:val="35"/>
              <w:bidi w:val="0"/>
              <w:rPr>
                <w:color w:val="auto"/>
              </w:rPr>
            </w:pPr>
            <w:r>
              <w:rPr>
                <w:color w:val="auto"/>
              </w:rPr>
              <w:t>排入大气，影响环境空气保护目标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492" w:type="pct"/>
            <w:vMerge w:val="continue"/>
            <w:noWrap w:val="0"/>
            <w:vAlign w:val="center"/>
          </w:tcPr>
          <w:p>
            <w:pPr>
              <w:pStyle w:val="35"/>
              <w:bidi w:val="0"/>
              <w:rPr>
                <w:color w:val="auto"/>
              </w:rPr>
            </w:pPr>
          </w:p>
        </w:tc>
        <w:tc>
          <w:tcPr>
            <w:tcW w:w="655" w:type="pct"/>
            <w:vMerge w:val="continue"/>
            <w:noWrap w:val="0"/>
            <w:vAlign w:val="center"/>
          </w:tcPr>
          <w:p>
            <w:pPr>
              <w:pStyle w:val="35"/>
              <w:bidi w:val="0"/>
              <w:rPr>
                <w:color w:val="auto"/>
              </w:rPr>
            </w:pPr>
          </w:p>
        </w:tc>
        <w:tc>
          <w:tcPr>
            <w:tcW w:w="2130" w:type="pct"/>
            <w:noWrap w:val="0"/>
            <w:vAlign w:val="center"/>
          </w:tcPr>
          <w:p>
            <w:pPr>
              <w:pStyle w:val="35"/>
              <w:bidi w:val="0"/>
              <w:rPr>
                <w:color w:val="auto"/>
              </w:rPr>
            </w:pPr>
            <w:r>
              <w:rPr>
                <w:color w:val="auto"/>
              </w:rPr>
              <w:t>生产控制操作不当，引起装置内容物料压力或温度过高，引起爆炸或泄漏</w:t>
            </w:r>
          </w:p>
        </w:tc>
        <w:tc>
          <w:tcPr>
            <w:tcW w:w="1721" w:type="pct"/>
            <w:noWrap w:val="0"/>
            <w:vAlign w:val="center"/>
          </w:tcPr>
          <w:p>
            <w:pPr>
              <w:pStyle w:val="35"/>
              <w:bidi w:val="0"/>
              <w:rPr>
                <w:color w:val="auto"/>
              </w:rPr>
            </w:pPr>
            <w:r>
              <w:rPr>
                <w:color w:val="auto"/>
              </w:rPr>
              <w:t>排入大气，影响环境空气保护目标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492" w:type="pct"/>
            <w:noWrap w:val="0"/>
            <w:vAlign w:val="center"/>
          </w:tcPr>
          <w:p>
            <w:pPr>
              <w:pStyle w:val="35"/>
              <w:bidi w:val="0"/>
              <w:rPr>
                <w:color w:val="auto"/>
              </w:rPr>
            </w:pPr>
            <w:r>
              <w:rPr>
                <w:color w:val="auto"/>
              </w:rPr>
              <w:t>储罐区</w:t>
            </w:r>
          </w:p>
        </w:tc>
        <w:tc>
          <w:tcPr>
            <w:tcW w:w="655" w:type="pct"/>
            <w:noWrap w:val="0"/>
            <w:vAlign w:val="center"/>
          </w:tcPr>
          <w:p>
            <w:pPr>
              <w:pStyle w:val="35"/>
              <w:bidi w:val="0"/>
              <w:rPr>
                <w:color w:val="auto"/>
              </w:rPr>
            </w:pPr>
            <w:r>
              <w:rPr>
                <w:color w:val="auto"/>
              </w:rPr>
              <w:t>泄漏</w:t>
            </w:r>
          </w:p>
        </w:tc>
        <w:tc>
          <w:tcPr>
            <w:tcW w:w="2130" w:type="pct"/>
            <w:noWrap w:val="0"/>
            <w:vAlign w:val="center"/>
          </w:tcPr>
          <w:p>
            <w:pPr>
              <w:pStyle w:val="35"/>
              <w:bidi w:val="0"/>
              <w:rPr>
                <w:color w:val="auto"/>
              </w:rPr>
            </w:pPr>
            <w:r>
              <w:rPr>
                <w:color w:val="auto"/>
              </w:rPr>
              <w:t>储罐罐体破裂引起液态物料泄漏</w:t>
            </w:r>
          </w:p>
        </w:tc>
        <w:tc>
          <w:tcPr>
            <w:tcW w:w="1721" w:type="pct"/>
            <w:noWrap w:val="0"/>
            <w:vAlign w:val="center"/>
          </w:tcPr>
          <w:p>
            <w:pPr>
              <w:pStyle w:val="35"/>
              <w:bidi w:val="0"/>
              <w:rPr>
                <w:color w:val="auto"/>
              </w:rPr>
            </w:pPr>
            <w:r>
              <w:rPr>
                <w:color w:val="auto"/>
              </w:rPr>
              <w:t>被围堰收集，微量蒸发进入空气，影响环境空气保护目标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492" w:type="pct"/>
            <w:vMerge w:val="restart"/>
            <w:noWrap w:val="0"/>
            <w:vAlign w:val="center"/>
          </w:tcPr>
          <w:p>
            <w:pPr>
              <w:pStyle w:val="35"/>
              <w:bidi w:val="0"/>
              <w:rPr>
                <w:color w:val="auto"/>
              </w:rPr>
            </w:pPr>
            <w:r>
              <w:rPr>
                <w:color w:val="auto"/>
              </w:rPr>
              <w:t>废气、废水处理设施</w:t>
            </w:r>
          </w:p>
        </w:tc>
        <w:tc>
          <w:tcPr>
            <w:tcW w:w="655" w:type="pct"/>
            <w:noWrap w:val="0"/>
            <w:vAlign w:val="center"/>
          </w:tcPr>
          <w:p>
            <w:pPr>
              <w:pStyle w:val="35"/>
              <w:bidi w:val="0"/>
              <w:rPr>
                <w:color w:val="auto"/>
              </w:rPr>
            </w:pPr>
            <w:r>
              <w:rPr>
                <w:color w:val="auto"/>
              </w:rPr>
              <w:t>废气事故排放</w:t>
            </w:r>
          </w:p>
        </w:tc>
        <w:tc>
          <w:tcPr>
            <w:tcW w:w="2130" w:type="pct"/>
            <w:noWrap w:val="0"/>
            <w:vAlign w:val="center"/>
          </w:tcPr>
          <w:p>
            <w:pPr>
              <w:pStyle w:val="35"/>
              <w:bidi w:val="0"/>
              <w:rPr>
                <w:color w:val="auto"/>
              </w:rPr>
            </w:pPr>
            <w:r>
              <w:rPr>
                <w:color w:val="auto"/>
              </w:rPr>
              <w:t>项目废气处理设施不正常运行时，可能导致废气事故排放，发生大气污染事故</w:t>
            </w:r>
          </w:p>
        </w:tc>
        <w:tc>
          <w:tcPr>
            <w:tcW w:w="1721" w:type="pct"/>
            <w:noWrap w:val="0"/>
            <w:vAlign w:val="center"/>
          </w:tcPr>
          <w:p>
            <w:pPr>
              <w:pStyle w:val="35"/>
              <w:bidi w:val="0"/>
              <w:rPr>
                <w:color w:val="auto"/>
              </w:rPr>
            </w:pPr>
            <w:r>
              <w:rPr>
                <w:color w:val="auto"/>
              </w:rPr>
              <w:t>排入大气，影响环境空气保护目标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492" w:type="pct"/>
            <w:vMerge w:val="continue"/>
            <w:noWrap w:val="0"/>
            <w:vAlign w:val="center"/>
          </w:tcPr>
          <w:p>
            <w:pPr>
              <w:pStyle w:val="35"/>
              <w:bidi w:val="0"/>
              <w:rPr>
                <w:color w:val="auto"/>
              </w:rPr>
            </w:pPr>
          </w:p>
        </w:tc>
        <w:tc>
          <w:tcPr>
            <w:tcW w:w="655" w:type="pct"/>
            <w:noWrap w:val="0"/>
            <w:vAlign w:val="center"/>
          </w:tcPr>
          <w:p>
            <w:pPr>
              <w:pStyle w:val="35"/>
              <w:bidi w:val="0"/>
              <w:rPr>
                <w:color w:val="auto"/>
              </w:rPr>
            </w:pPr>
            <w:r>
              <w:rPr>
                <w:color w:val="auto"/>
              </w:rPr>
              <w:t>废水事故排放</w:t>
            </w:r>
          </w:p>
        </w:tc>
        <w:tc>
          <w:tcPr>
            <w:tcW w:w="2130" w:type="pct"/>
            <w:noWrap w:val="0"/>
            <w:vAlign w:val="center"/>
          </w:tcPr>
          <w:p>
            <w:pPr>
              <w:pStyle w:val="35"/>
              <w:bidi w:val="0"/>
              <w:rPr>
                <w:color w:val="auto"/>
              </w:rPr>
            </w:pPr>
            <w:r>
              <w:rPr>
                <w:color w:val="auto"/>
              </w:rPr>
              <w:t>项目废水未经预处理直接进入园区污水管进入云溪工业园污水处理厂</w:t>
            </w:r>
          </w:p>
        </w:tc>
        <w:tc>
          <w:tcPr>
            <w:tcW w:w="1721" w:type="pct"/>
            <w:noWrap w:val="0"/>
            <w:vAlign w:val="center"/>
          </w:tcPr>
          <w:p>
            <w:pPr>
              <w:pStyle w:val="35"/>
              <w:bidi w:val="0"/>
              <w:rPr>
                <w:color w:val="auto"/>
              </w:rPr>
            </w:pPr>
            <w:r>
              <w:rPr>
                <w:color w:val="auto"/>
              </w:rPr>
              <w:t>进入云溪区污水处理厂，不直接影响水环境</w:t>
            </w:r>
          </w:p>
        </w:tc>
      </w:tr>
    </w:tbl>
    <w:p>
      <w:pPr>
        <w:widowControl w:val="0"/>
        <w:adjustRightInd w:val="0"/>
        <w:snapToGrid w:val="0"/>
        <w:spacing w:before="120" w:beforeLines="50" w:line="360" w:lineRule="auto"/>
        <w:ind w:firstLine="480" w:firstLineChars="200"/>
        <w:jc w:val="both"/>
        <w:rPr>
          <w:color w:val="auto"/>
          <w:sz w:val="24"/>
        </w:rPr>
      </w:pPr>
      <w:r>
        <w:rPr>
          <w:color w:val="auto"/>
          <w:sz w:val="24"/>
        </w:rPr>
        <w:t>本项目环境风险识别详见下表。</w:t>
      </w:r>
    </w:p>
    <w:p>
      <w:pPr>
        <w:pStyle w:val="36"/>
        <w:bidi w:val="0"/>
        <w:rPr>
          <w:color w:val="auto"/>
        </w:rPr>
      </w:pPr>
      <w:r>
        <w:rPr>
          <w:color w:val="auto"/>
        </w:rPr>
        <w:t>表</w:t>
      </w:r>
      <w:r>
        <w:rPr>
          <w:rFonts w:hint="eastAsia"/>
          <w:color w:val="auto"/>
          <w:lang w:val="en-US" w:eastAsia="zh-CN"/>
        </w:rPr>
        <w:t>9</w:t>
      </w:r>
      <w:r>
        <w:rPr>
          <w:color w:val="auto"/>
        </w:rPr>
        <w:t>.4-2   建设项目环境风险识别表</w:t>
      </w:r>
    </w:p>
    <w:tbl>
      <w:tblPr>
        <w:tblStyle w:val="27"/>
        <w:tblW w:w="4997"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638"/>
        <w:gridCol w:w="1220"/>
        <w:gridCol w:w="1091"/>
        <w:gridCol w:w="1194"/>
        <w:gridCol w:w="1058"/>
        <w:gridCol w:w="1067"/>
        <w:gridCol w:w="1680"/>
        <w:gridCol w:w="137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cantSplit/>
          <w:trHeight w:val="340" w:hRule="atLeast"/>
        </w:trPr>
        <w:tc>
          <w:tcPr>
            <w:tcW w:w="342" w:type="pct"/>
            <w:noWrap w:val="0"/>
            <w:vAlign w:val="center"/>
          </w:tcPr>
          <w:p>
            <w:pPr>
              <w:pStyle w:val="35"/>
              <w:bidi w:val="0"/>
              <w:rPr>
                <w:color w:val="auto"/>
              </w:rPr>
            </w:pPr>
            <w:r>
              <w:rPr>
                <w:color w:val="auto"/>
              </w:rPr>
              <w:t>序号</w:t>
            </w:r>
          </w:p>
        </w:tc>
        <w:tc>
          <w:tcPr>
            <w:tcW w:w="654" w:type="pct"/>
            <w:noWrap w:val="0"/>
            <w:vAlign w:val="center"/>
          </w:tcPr>
          <w:p>
            <w:pPr>
              <w:pStyle w:val="35"/>
              <w:bidi w:val="0"/>
              <w:rPr>
                <w:color w:val="auto"/>
              </w:rPr>
            </w:pPr>
            <w:r>
              <w:rPr>
                <w:color w:val="auto"/>
              </w:rPr>
              <w:t>危险单元</w:t>
            </w:r>
          </w:p>
        </w:tc>
        <w:tc>
          <w:tcPr>
            <w:tcW w:w="585" w:type="pct"/>
            <w:noWrap w:val="0"/>
            <w:vAlign w:val="center"/>
          </w:tcPr>
          <w:p>
            <w:pPr>
              <w:pStyle w:val="35"/>
              <w:bidi w:val="0"/>
              <w:rPr>
                <w:color w:val="auto"/>
              </w:rPr>
            </w:pPr>
            <w:r>
              <w:rPr>
                <w:color w:val="auto"/>
              </w:rPr>
              <w:t>风险源</w:t>
            </w:r>
          </w:p>
        </w:tc>
        <w:tc>
          <w:tcPr>
            <w:tcW w:w="640" w:type="pct"/>
            <w:noWrap w:val="0"/>
            <w:vAlign w:val="center"/>
          </w:tcPr>
          <w:p>
            <w:pPr>
              <w:pStyle w:val="35"/>
              <w:bidi w:val="0"/>
              <w:rPr>
                <w:color w:val="auto"/>
              </w:rPr>
            </w:pPr>
            <w:r>
              <w:rPr>
                <w:color w:val="auto"/>
              </w:rPr>
              <w:t>主要危险物质</w:t>
            </w:r>
          </w:p>
        </w:tc>
        <w:tc>
          <w:tcPr>
            <w:tcW w:w="567" w:type="pct"/>
            <w:noWrap w:val="0"/>
            <w:vAlign w:val="center"/>
          </w:tcPr>
          <w:p>
            <w:pPr>
              <w:pStyle w:val="35"/>
              <w:bidi w:val="0"/>
              <w:rPr>
                <w:color w:val="auto"/>
              </w:rPr>
            </w:pPr>
            <w:r>
              <w:rPr>
                <w:color w:val="auto"/>
              </w:rPr>
              <w:t>环境风险类型</w:t>
            </w:r>
          </w:p>
        </w:tc>
        <w:tc>
          <w:tcPr>
            <w:tcW w:w="572" w:type="pct"/>
            <w:noWrap w:val="0"/>
            <w:vAlign w:val="center"/>
          </w:tcPr>
          <w:p>
            <w:pPr>
              <w:pStyle w:val="35"/>
              <w:bidi w:val="0"/>
              <w:rPr>
                <w:color w:val="auto"/>
              </w:rPr>
            </w:pPr>
            <w:r>
              <w:rPr>
                <w:color w:val="auto"/>
              </w:rPr>
              <w:t>环境影响途径</w:t>
            </w:r>
          </w:p>
        </w:tc>
        <w:tc>
          <w:tcPr>
            <w:tcW w:w="900" w:type="pct"/>
            <w:noWrap w:val="0"/>
            <w:vAlign w:val="center"/>
          </w:tcPr>
          <w:p>
            <w:pPr>
              <w:pStyle w:val="35"/>
              <w:bidi w:val="0"/>
              <w:rPr>
                <w:color w:val="auto"/>
                <w:lang w:eastAsia="zh-CN"/>
              </w:rPr>
            </w:pPr>
            <w:r>
              <w:rPr>
                <w:color w:val="auto"/>
                <w:lang w:eastAsia="zh-CN"/>
              </w:rPr>
              <w:t>可能受影响的环境敏感目标</w:t>
            </w:r>
          </w:p>
        </w:tc>
        <w:tc>
          <w:tcPr>
            <w:tcW w:w="736" w:type="pct"/>
            <w:noWrap w:val="0"/>
            <w:vAlign w:val="center"/>
          </w:tcPr>
          <w:p>
            <w:pPr>
              <w:pStyle w:val="35"/>
              <w:bidi w:val="0"/>
              <w:rPr>
                <w:color w:val="auto"/>
              </w:rPr>
            </w:pPr>
            <w:r>
              <w:rPr>
                <w:color w:val="auto"/>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cantSplit/>
          <w:trHeight w:val="340" w:hRule="atLeast"/>
        </w:trPr>
        <w:tc>
          <w:tcPr>
            <w:tcW w:w="342" w:type="pct"/>
            <w:noWrap w:val="0"/>
            <w:vAlign w:val="center"/>
          </w:tcPr>
          <w:p>
            <w:pPr>
              <w:pStyle w:val="35"/>
              <w:bidi w:val="0"/>
              <w:rPr>
                <w:color w:val="auto"/>
                <w:lang w:eastAsia="zh-CN"/>
              </w:rPr>
            </w:pPr>
            <w:r>
              <w:rPr>
                <w:color w:val="auto"/>
                <w:lang w:eastAsia="zh-CN"/>
              </w:rPr>
              <w:t>1</w:t>
            </w:r>
          </w:p>
        </w:tc>
        <w:tc>
          <w:tcPr>
            <w:tcW w:w="654" w:type="pct"/>
            <w:noWrap w:val="0"/>
            <w:vAlign w:val="center"/>
          </w:tcPr>
          <w:p>
            <w:pPr>
              <w:pStyle w:val="35"/>
              <w:bidi w:val="0"/>
              <w:rPr>
                <w:color w:val="auto"/>
                <w:lang w:eastAsia="zh-CN"/>
              </w:rPr>
            </w:pPr>
            <w:r>
              <w:rPr>
                <w:color w:val="auto"/>
              </w:rPr>
              <w:t>生产车间</w:t>
            </w:r>
          </w:p>
        </w:tc>
        <w:tc>
          <w:tcPr>
            <w:tcW w:w="585" w:type="pct"/>
            <w:noWrap w:val="0"/>
            <w:vAlign w:val="center"/>
          </w:tcPr>
          <w:p>
            <w:pPr>
              <w:pStyle w:val="35"/>
              <w:bidi w:val="0"/>
              <w:rPr>
                <w:color w:val="auto"/>
                <w:lang w:eastAsia="zh-CN"/>
              </w:rPr>
            </w:pPr>
            <w:r>
              <w:rPr>
                <w:color w:val="auto"/>
                <w:lang w:eastAsia="zh-CN"/>
              </w:rPr>
              <w:t>反应釜及连接管道</w:t>
            </w:r>
          </w:p>
        </w:tc>
        <w:tc>
          <w:tcPr>
            <w:tcW w:w="640" w:type="pct"/>
            <w:noWrap w:val="0"/>
            <w:vAlign w:val="center"/>
          </w:tcPr>
          <w:p>
            <w:pPr>
              <w:pStyle w:val="35"/>
              <w:bidi w:val="0"/>
              <w:rPr>
                <w:color w:val="auto"/>
                <w:lang w:eastAsia="zh-CN"/>
              </w:rPr>
            </w:pPr>
            <w:r>
              <w:rPr>
                <w:color w:val="auto"/>
                <w:lang w:eastAsia="zh-CN"/>
              </w:rPr>
              <w:t>危险化学品（</w:t>
            </w:r>
            <w:r>
              <w:rPr>
                <w:rFonts w:hint="eastAsia"/>
                <w:color w:val="auto"/>
                <w:lang w:val="en-US" w:eastAsia="zh-CN"/>
              </w:rPr>
              <w:t>乙酸</w:t>
            </w:r>
            <w:r>
              <w:rPr>
                <w:color w:val="auto"/>
                <w:lang w:eastAsia="zh-CN"/>
              </w:rPr>
              <w:t>、甲醇等）</w:t>
            </w:r>
          </w:p>
        </w:tc>
        <w:tc>
          <w:tcPr>
            <w:tcW w:w="567" w:type="pct"/>
            <w:noWrap w:val="0"/>
            <w:vAlign w:val="center"/>
          </w:tcPr>
          <w:p>
            <w:pPr>
              <w:pStyle w:val="35"/>
              <w:bidi w:val="0"/>
              <w:rPr>
                <w:color w:val="auto"/>
              </w:rPr>
            </w:pPr>
            <w:r>
              <w:rPr>
                <w:color w:val="auto"/>
                <w:lang w:eastAsia="zh-CN"/>
              </w:rPr>
              <w:t>泄漏</w:t>
            </w:r>
          </w:p>
        </w:tc>
        <w:tc>
          <w:tcPr>
            <w:tcW w:w="572" w:type="pct"/>
            <w:noWrap w:val="0"/>
            <w:vAlign w:val="center"/>
          </w:tcPr>
          <w:p>
            <w:pPr>
              <w:pStyle w:val="35"/>
              <w:bidi w:val="0"/>
              <w:rPr>
                <w:color w:val="auto"/>
                <w:lang w:eastAsia="zh-CN"/>
              </w:rPr>
            </w:pPr>
            <w:r>
              <w:rPr>
                <w:color w:val="auto"/>
                <w:lang w:eastAsia="zh-CN"/>
              </w:rPr>
              <w:t>大气</w:t>
            </w:r>
          </w:p>
        </w:tc>
        <w:tc>
          <w:tcPr>
            <w:tcW w:w="900" w:type="pct"/>
            <w:noWrap w:val="0"/>
            <w:vAlign w:val="center"/>
          </w:tcPr>
          <w:p>
            <w:pPr>
              <w:pStyle w:val="35"/>
              <w:bidi w:val="0"/>
              <w:rPr>
                <w:color w:val="auto"/>
                <w:lang w:eastAsia="zh-CN"/>
              </w:rPr>
            </w:pPr>
            <w:r>
              <w:rPr>
                <w:color w:val="auto"/>
                <w:lang w:eastAsia="zh-CN"/>
              </w:rPr>
              <w:t>大气保护目标</w:t>
            </w:r>
          </w:p>
        </w:tc>
        <w:tc>
          <w:tcPr>
            <w:tcW w:w="736" w:type="pct"/>
            <w:noWrap w:val="0"/>
            <w:vAlign w:val="center"/>
          </w:tcPr>
          <w:p>
            <w:pPr>
              <w:pStyle w:val="35"/>
              <w:bidi w:val="0"/>
              <w:rPr>
                <w:color w:val="auto"/>
                <w:lang w:eastAsia="zh-CN"/>
              </w:rPr>
            </w:pPr>
            <w:r>
              <w:rPr>
                <w:color w:val="auto"/>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cantSplit/>
          <w:trHeight w:val="340" w:hRule="atLeast"/>
        </w:trPr>
        <w:tc>
          <w:tcPr>
            <w:tcW w:w="342" w:type="pct"/>
            <w:noWrap w:val="0"/>
            <w:vAlign w:val="center"/>
          </w:tcPr>
          <w:p>
            <w:pPr>
              <w:pStyle w:val="35"/>
              <w:bidi w:val="0"/>
              <w:rPr>
                <w:color w:val="auto"/>
                <w:lang w:eastAsia="zh-CN"/>
              </w:rPr>
            </w:pPr>
            <w:r>
              <w:rPr>
                <w:color w:val="auto"/>
                <w:lang w:eastAsia="zh-CN"/>
              </w:rPr>
              <w:t>2</w:t>
            </w:r>
          </w:p>
        </w:tc>
        <w:tc>
          <w:tcPr>
            <w:tcW w:w="654" w:type="pct"/>
            <w:noWrap w:val="0"/>
            <w:vAlign w:val="center"/>
          </w:tcPr>
          <w:p>
            <w:pPr>
              <w:pStyle w:val="35"/>
              <w:bidi w:val="0"/>
              <w:rPr>
                <w:color w:val="auto"/>
                <w:lang w:eastAsia="zh-CN"/>
              </w:rPr>
            </w:pPr>
            <w:r>
              <w:rPr>
                <w:color w:val="auto"/>
                <w:lang w:eastAsia="zh-CN"/>
              </w:rPr>
              <w:t>储罐区</w:t>
            </w:r>
          </w:p>
        </w:tc>
        <w:tc>
          <w:tcPr>
            <w:tcW w:w="585" w:type="pct"/>
            <w:noWrap w:val="0"/>
            <w:vAlign w:val="center"/>
          </w:tcPr>
          <w:p>
            <w:pPr>
              <w:pStyle w:val="35"/>
              <w:bidi w:val="0"/>
              <w:rPr>
                <w:color w:val="auto"/>
                <w:lang w:eastAsia="zh-CN"/>
              </w:rPr>
            </w:pPr>
            <w:r>
              <w:rPr>
                <w:color w:val="auto"/>
                <w:lang w:eastAsia="zh-CN"/>
              </w:rPr>
              <w:t>储罐</w:t>
            </w:r>
          </w:p>
        </w:tc>
        <w:tc>
          <w:tcPr>
            <w:tcW w:w="640" w:type="pct"/>
            <w:noWrap w:val="0"/>
            <w:vAlign w:val="center"/>
          </w:tcPr>
          <w:p>
            <w:pPr>
              <w:pStyle w:val="35"/>
              <w:bidi w:val="0"/>
              <w:rPr>
                <w:color w:val="auto"/>
                <w:lang w:eastAsia="zh-CN"/>
              </w:rPr>
            </w:pPr>
            <w:r>
              <w:rPr>
                <w:color w:val="auto"/>
                <w:lang w:eastAsia="zh-CN"/>
              </w:rPr>
              <w:t>甲醇、</w:t>
            </w:r>
            <w:r>
              <w:rPr>
                <w:rFonts w:hint="eastAsia"/>
                <w:color w:val="auto"/>
                <w:lang w:val="en-US" w:eastAsia="zh-CN"/>
              </w:rPr>
              <w:t>乙酸、醋酸甲酯</w:t>
            </w:r>
          </w:p>
        </w:tc>
        <w:tc>
          <w:tcPr>
            <w:tcW w:w="567" w:type="pct"/>
            <w:noWrap w:val="0"/>
            <w:vAlign w:val="center"/>
          </w:tcPr>
          <w:p>
            <w:pPr>
              <w:pStyle w:val="35"/>
              <w:bidi w:val="0"/>
              <w:rPr>
                <w:color w:val="auto"/>
                <w:lang w:eastAsia="zh-CN"/>
              </w:rPr>
            </w:pPr>
            <w:r>
              <w:rPr>
                <w:color w:val="auto"/>
                <w:lang w:eastAsia="zh-CN"/>
              </w:rPr>
              <w:t>泄漏</w:t>
            </w:r>
          </w:p>
        </w:tc>
        <w:tc>
          <w:tcPr>
            <w:tcW w:w="572" w:type="pct"/>
            <w:noWrap w:val="0"/>
            <w:vAlign w:val="center"/>
          </w:tcPr>
          <w:p>
            <w:pPr>
              <w:pStyle w:val="35"/>
              <w:bidi w:val="0"/>
              <w:rPr>
                <w:color w:val="auto"/>
                <w:lang w:eastAsia="zh-CN"/>
              </w:rPr>
            </w:pPr>
            <w:r>
              <w:rPr>
                <w:color w:val="auto"/>
                <w:lang w:eastAsia="zh-CN"/>
              </w:rPr>
              <w:t>大气、地下水、土壤</w:t>
            </w:r>
          </w:p>
        </w:tc>
        <w:tc>
          <w:tcPr>
            <w:tcW w:w="900" w:type="pct"/>
            <w:noWrap w:val="0"/>
            <w:vAlign w:val="center"/>
          </w:tcPr>
          <w:p>
            <w:pPr>
              <w:pStyle w:val="35"/>
              <w:bidi w:val="0"/>
              <w:rPr>
                <w:color w:val="auto"/>
                <w:lang w:eastAsia="zh-CN"/>
              </w:rPr>
            </w:pPr>
            <w:r>
              <w:rPr>
                <w:color w:val="auto"/>
                <w:lang w:eastAsia="zh-CN"/>
              </w:rPr>
              <w:t>泄漏后会被围堰收集，不会泄漏到围堰外，采取防渗后基本不影响地下水，泄漏后蒸发可能会影响大气保护目标</w:t>
            </w:r>
          </w:p>
        </w:tc>
        <w:tc>
          <w:tcPr>
            <w:tcW w:w="736" w:type="pct"/>
            <w:noWrap w:val="0"/>
            <w:vAlign w:val="center"/>
          </w:tcPr>
          <w:p>
            <w:pPr>
              <w:pStyle w:val="35"/>
              <w:bidi w:val="0"/>
              <w:rPr>
                <w:color w:val="auto"/>
                <w:lang w:eastAsia="zh-CN"/>
              </w:rPr>
            </w:pPr>
            <w:r>
              <w:rPr>
                <w:color w:val="auto"/>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cantSplit/>
          <w:trHeight w:val="340" w:hRule="atLeast"/>
        </w:trPr>
        <w:tc>
          <w:tcPr>
            <w:tcW w:w="342" w:type="pct"/>
            <w:vMerge w:val="restart"/>
            <w:noWrap w:val="0"/>
            <w:vAlign w:val="center"/>
          </w:tcPr>
          <w:p>
            <w:pPr>
              <w:pStyle w:val="35"/>
              <w:bidi w:val="0"/>
              <w:rPr>
                <w:color w:val="auto"/>
                <w:lang w:eastAsia="zh-CN"/>
              </w:rPr>
            </w:pPr>
            <w:r>
              <w:rPr>
                <w:rFonts w:hint="eastAsia"/>
                <w:color w:val="auto"/>
                <w:lang w:val="en-US" w:eastAsia="zh-CN"/>
              </w:rPr>
              <w:t>3</w:t>
            </w:r>
          </w:p>
        </w:tc>
        <w:tc>
          <w:tcPr>
            <w:tcW w:w="654" w:type="pct"/>
            <w:vMerge w:val="restart"/>
            <w:noWrap w:val="0"/>
            <w:vAlign w:val="center"/>
          </w:tcPr>
          <w:p>
            <w:pPr>
              <w:pStyle w:val="35"/>
              <w:bidi w:val="0"/>
              <w:rPr>
                <w:color w:val="auto"/>
              </w:rPr>
            </w:pPr>
            <w:r>
              <w:rPr>
                <w:color w:val="auto"/>
                <w:lang w:eastAsia="zh-CN"/>
              </w:rPr>
              <w:t>环保设施</w:t>
            </w:r>
          </w:p>
        </w:tc>
        <w:tc>
          <w:tcPr>
            <w:tcW w:w="585" w:type="pct"/>
            <w:noWrap w:val="0"/>
            <w:vAlign w:val="center"/>
          </w:tcPr>
          <w:p>
            <w:pPr>
              <w:pStyle w:val="35"/>
              <w:bidi w:val="0"/>
              <w:rPr>
                <w:color w:val="auto"/>
                <w:lang w:eastAsia="zh-CN"/>
              </w:rPr>
            </w:pPr>
            <w:r>
              <w:rPr>
                <w:color w:val="auto"/>
                <w:lang w:eastAsia="zh-CN"/>
              </w:rPr>
              <w:t>尾气处理装置（三级吸收装置）</w:t>
            </w:r>
          </w:p>
        </w:tc>
        <w:tc>
          <w:tcPr>
            <w:tcW w:w="640" w:type="pct"/>
            <w:noWrap w:val="0"/>
            <w:vAlign w:val="center"/>
          </w:tcPr>
          <w:p>
            <w:pPr>
              <w:pStyle w:val="35"/>
              <w:bidi w:val="0"/>
              <w:rPr>
                <w:color w:val="auto"/>
              </w:rPr>
            </w:pPr>
            <w:r>
              <w:rPr>
                <w:color w:val="auto"/>
              </w:rPr>
              <w:t>甲醇</w:t>
            </w:r>
          </w:p>
          <w:p>
            <w:pPr>
              <w:pStyle w:val="35"/>
              <w:bidi w:val="0"/>
              <w:rPr>
                <w:color w:val="auto"/>
              </w:rPr>
            </w:pPr>
            <w:r>
              <w:rPr>
                <w:color w:val="auto"/>
              </w:rPr>
              <w:t>VOCs</w:t>
            </w:r>
          </w:p>
        </w:tc>
        <w:tc>
          <w:tcPr>
            <w:tcW w:w="567" w:type="pct"/>
            <w:noWrap w:val="0"/>
            <w:vAlign w:val="center"/>
          </w:tcPr>
          <w:p>
            <w:pPr>
              <w:pStyle w:val="35"/>
              <w:bidi w:val="0"/>
              <w:rPr>
                <w:color w:val="auto"/>
                <w:lang w:eastAsia="zh-CN"/>
              </w:rPr>
            </w:pPr>
            <w:r>
              <w:rPr>
                <w:color w:val="auto"/>
                <w:lang w:eastAsia="zh-CN"/>
              </w:rPr>
              <w:t>事故排放</w:t>
            </w:r>
          </w:p>
        </w:tc>
        <w:tc>
          <w:tcPr>
            <w:tcW w:w="572" w:type="pct"/>
            <w:noWrap w:val="0"/>
            <w:vAlign w:val="center"/>
          </w:tcPr>
          <w:p>
            <w:pPr>
              <w:pStyle w:val="35"/>
              <w:bidi w:val="0"/>
              <w:rPr>
                <w:color w:val="auto"/>
                <w:lang w:eastAsia="zh-CN"/>
              </w:rPr>
            </w:pPr>
            <w:r>
              <w:rPr>
                <w:color w:val="auto"/>
                <w:lang w:eastAsia="zh-CN"/>
              </w:rPr>
              <w:t>大气</w:t>
            </w:r>
          </w:p>
        </w:tc>
        <w:tc>
          <w:tcPr>
            <w:tcW w:w="900" w:type="pct"/>
            <w:noWrap w:val="0"/>
            <w:vAlign w:val="center"/>
          </w:tcPr>
          <w:p>
            <w:pPr>
              <w:pStyle w:val="35"/>
              <w:bidi w:val="0"/>
              <w:rPr>
                <w:color w:val="auto"/>
                <w:lang w:eastAsia="zh-CN"/>
              </w:rPr>
            </w:pPr>
            <w:r>
              <w:rPr>
                <w:color w:val="auto"/>
                <w:lang w:eastAsia="zh-CN"/>
              </w:rPr>
              <w:t>大气保护目标</w:t>
            </w:r>
          </w:p>
        </w:tc>
        <w:tc>
          <w:tcPr>
            <w:tcW w:w="736" w:type="pct"/>
            <w:noWrap w:val="0"/>
            <w:vAlign w:val="center"/>
          </w:tcPr>
          <w:p>
            <w:pPr>
              <w:pStyle w:val="35"/>
              <w:bidi w:val="0"/>
              <w:rPr>
                <w:color w:val="auto"/>
                <w:lang w:eastAsia="zh-CN"/>
              </w:rPr>
            </w:pPr>
            <w:r>
              <w:rPr>
                <w:color w:val="auto"/>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cantSplit/>
          <w:trHeight w:val="340" w:hRule="atLeast"/>
        </w:trPr>
        <w:tc>
          <w:tcPr>
            <w:tcW w:w="342" w:type="pct"/>
            <w:vMerge w:val="continue"/>
            <w:noWrap w:val="0"/>
            <w:vAlign w:val="center"/>
          </w:tcPr>
          <w:p>
            <w:pPr>
              <w:pStyle w:val="35"/>
              <w:bidi w:val="0"/>
              <w:rPr>
                <w:color w:val="auto"/>
                <w:lang w:eastAsia="zh-CN"/>
              </w:rPr>
            </w:pPr>
          </w:p>
        </w:tc>
        <w:tc>
          <w:tcPr>
            <w:tcW w:w="654" w:type="pct"/>
            <w:vMerge w:val="continue"/>
            <w:noWrap w:val="0"/>
            <w:vAlign w:val="center"/>
          </w:tcPr>
          <w:p>
            <w:pPr>
              <w:pStyle w:val="35"/>
              <w:bidi w:val="0"/>
              <w:rPr>
                <w:color w:val="auto"/>
                <w:lang w:eastAsia="zh-CN"/>
              </w:rPr>
            </w:pPr>
          </w:p>
        </w:tc>
        <w:tc>
          <w:tcPr>
            <w:tcW w:w="585" w:type="pct"/>
            <w:noWrap w:val="0"/>
            <w:vAlign w:val="center"/>
          </w:tcPr>
          <w:p>
            <w:pPr>
              <w:pStyle w:val="35"/>
              <w:bidi w:val="0"/>
              <w:rPr>
                <w:color w:val="auto"/>
                <w:lang w:eastAsia="zh-CN"/>
              </w:rPr>
            </w:pPr>
            <w:r>
              <w:rPr>
                <w:color w:val="auto"/>
                <w:lang w:eastAsia="zh-CN"/>
              </w:rPr>
              <w:t>废水处理系统</w:t>
            </w:r>
          </w:p>
        </w:tc>
        <w:tc>
          <w:tcPr>
            <w:tcW w:w="640" w:type="pct"/>
            <w:noWrap w:val="0"/>
            <w:vAlign w:val="center"/>
          </w:tcPr>
          <w:p>
            <w:pPr>
              <w:pStyle w:val="35"/>
              <w:bidi w:val="0"/>
              <w:rPr>
                <w:color w:val="auto"/>
                <w:lang w:eastAsia="zh-CN"/>
              </w:rPr>
            </w:pPr>
            <w:r>
              <w:rPr>
                <w:color w:val="auto"/>
                <w:lang w:eastAsia="zh-CN"/>
              </w:rPr>
              <w:t>COD等</w:t>
            </w:r>
          </w:p>
        </w:tc>
        <w:tc>
          <w:tcPr>
            <w:tcW w:w="567" w:type="pct"/>
            <w:noWrap w:val="0"/>
            <w:vAlign w:val="center"/>
          </w:tcPr>
          <w:p>
            <w:pPr>
              <w:pStyle w:val="35"/>
              <w:bidi w:val="0"/>
              <w:rPr>
                <w:color w:val="auto"/>
                <w:lang w:eastAsia="zh-CN"/>
              </w:rPr>
            </w:pPr>
            <w:r>
              <w:rPr>
                <w:color w:val="auto"/>
                <w:lang w:eastAsia="zh-CN"/>
              </w:rPr>
              <w:t>超标排放</w:t>
            </w:r>
          </w:p>
        </w:tc>
        <w:tc>
          <w:tcPr>
            <w:tcW w:w="572" w:type="pct"/>
            <w:noWrap w:val="0"/>
            <w:vAlign w:val="center"/>
          </w:tcPr>
          <w:p>
            <w:pPr>
              <w:pStyle w:val="35"/>
              <w:bidi w:val="0"/>
              <w:rPr>
                <w:color w:val="auto"/>
                <w:lang w:eastAsia="zh-CN"/>
              </w:rPr>
            </w:pPr>
            <w:r>
              <w:rPr>
                <w:color w:val="auto"/>
                <w:lang w:eastAsia="zh-CN"/>
              </w:rPr>
              <w:t>/</w:t>
            </w:r>
          </w:p>
        </w:tc>
        <w:tc>
          <w:tcPr>
            <w:tcW w:w="900" w:type="pct"/>
            <w:noWrap w:val="0"/>
            <w:vAlign w:val="center"/>
          </w:tcPr>
          <w:p>
            <w:pPr>
              <w:pStyle w:val="35"/>
              <w:bidi w:val="0"/>
              <w:rPr>
                <w:color w:val="auto"/>
                <w:lang w:eastAsia="zh-CN"/>
              </w:rPr>
            </w:pPr>
            <w:r>
              <w:rPr>
                <w:color w:val="auto"/>
                <w:lang w:eastAsia="zh-CN"/>
              </w:rPr>
              <w:t>/</w:t>
            </w:r>
          </w:p>
        </w:tc>
        <w:tc>
          <w:tcPr>
            <w:tcW w:w="736" w:type="pct"/>
            <w:noWrap w:val="0"/>
            <w:vAlign w:val="center"/>
          </w:tcPr>
          <w:p>
            <w:pPr>
              <w:pStyle w:val="35"/>
              <w:bidi w:val="0"/>
              <w:rPr>
                <w:color w:val="auto"/>
                <w:lang w:eastAsia="zh-CN"/>
              </w:rPr>
            </w:pPr>
            <w:r>
              <w:rPr>
                <w:color w:val="auto"/>
                <w:lang w:eastAsia="zh-CN"/>
              </w:rPr>
              <w:t>进入云溪区污水厂，不直接影响环境</w:t>
            </w:r>
          </w:p>
        </w:tc>
      </w:tr>
    </w:tbl>
    <w:p>
      <w:pPr>
        <w:pStyle w:val="33"/>
        <w:bidi w:val="0"/>
        <w:rPr>
          <w:color w:val="auto"/>
          <w:lang w:val="zh-TW"/>
        </w:rPr>
      </w:pPr>
      <w:r>
        <w:rPr>
          <w:color w:val="auto"/>
          <w:lang w:val="zh-TW"/>
        </w:rPr>
        <w:t>由上表可知，本项目发生废水超标排放时，超标的废水将通过管道进入云溪区工业污水厂，不直接影响环境，不会对水环境造成威胁</w:t>
      </w:r>
      <w:r>
        <w:rPr>
          <w:color w:val="auto"/>
        </w:rPr>
        <w:t>；</w:t>
      </w:r>
      <w:r>
        <w:rPr>
          <w:color w:val="auto"/>
          <w:lang w:val="zh-TW"/>
        </w:rPr>
        <w:t>当储罐泄漏时，泄漏的物料会被围堰收集，不会泄漏到围堰外，采取防渗后基本不影响地下水和土壤，也不会进入到地表水环境中。因此，本项目环境风险的主要影响途径为大气。</w:t>
      </w:r>
    </w:p>
    <w:p>
      <w:pPr>
        <w:pStyle w:val="32"/>
        <w:bidi w:val="0"/>
        <w:rPr>
          <w:color w:val="auto"/>
          <w:lang w:val="zh-TW"/>
        </w:rPr>
      </w:pPr>
      <w:r>
        <w:rPr>
          <w:rFonts w:hint="eastAsia"/>
          <w:color w:val="auto"/>
          <w:lang w:val="en-US" w:eastAsia="zh-CN"/>
        </w:rPr>
        <w:t>9</w:t>
      </w:r>
      <w:r>
        <w:rPr>
          <w:color w:val="auto"/>
          <w:lang w:val="zh-TW"/>
        </w:rPr>
        <w:t>.4.3重点风险源</w:t>
      </w:r>
    </w:p>
    <w:p>
      <w:pPr>
        <w:pStyle w:val="33"/>
        <w:bidi w:val="0"/>
        <w:rPr>
          <w:color w:val="auto"/>
        </w:rPr>
      </w:pPr>
      <w:r>
        <w:rPr>
          <w:color w:val="auto"/>
        </w:rPr>
        <w:t>本次评价采用直接判定法确定重点风险源。属于风险导则附录C高风险生产工艺的装置区，以及附录B所列危险物质超过临界量的单元，直接判定为重点风险源。本次风险评价选取储罐区中q/Q大于1作为重点风险源，可知，甲醇</w:t>
      </w:r>
      <w:r>
        <w:rPr>
          <w:rFonts w:hint="eastAsia"/>
          <w:color w:val="auto"/>
          <w:lang w:eastAsia="zh-CN"/>
        </w:rPr>
        <w:t>、</w:t>
      </w:r>
      <w:r>
        <w:rPr>
          <w:rFonts w:hint="eastAsia"/>
          <w:color w:val="auto"/>
          <w:lang w:val="en-US" w:eastAsia="zh-CN"/>
        </w:rPr>
        <w:t>醋酸甲酯</w:t>
      </w:r>
      <w:r>
        <w:rPr>
          <w:color w:val="auto"/>
        </w:rPr>
        <w:t>储罐q/Q大于1，因此，本项目危险化学品罐区（甲醇储罐、</w:t>
      </w:r>
      <w:r>
        <w:rPr>
          <w:rFonts w:hint="eastAsia"/>
          <w:color w:val="auto"/>
          <w:lang w:val="en-US" w:eastAsia="zh-CN"/>
        </w:rPr>
        <w:t>醋酸甲酯</w:t>
      </w:r>
      <w:r>
        <w:rPr>
          <w:color w:val="auto"/>
        </w:rPr>
        <w:t>储罐）为重点风险源。</w:t>
      </w:r>
    </w:p>
    <w:p>
      <w:pPr>
        <w:pStyle w:val="32"/>
        <w:bidi w:val="0"/>
        <w:rPr>
          <w:color w:val="auto"/>
        </w:rPr>
      </w:pPr>
      <w:r>
        <w:rPr>
          <w:rFonts w:hint="eastAsia"/>
          <w:color w:val="auto"/>
          <w:lang w:val="en-US" w:eastAsia="zh-CN"/>
        </w:rPr>
        <w:t>9</w:t>
      </w:r>
      <w:r>
        <w:rPr>
          <w:color w:val="auto"/>
        </w:rPr>
        <w:t>.4.4风险事故情形设定</w:t>
      </w:r>
    </w:p>
    <w:p>
      <w:pPr>
        <w:pStyle w:val="33"/>
        <w:bidi w:val="0"/>
        <w:rPr>
          <w:color w:val="auto"/>
        </w:rPr>
      </w:pPr>
      <w:r>
        <w:rPr>
          <w:color w:val="auto"/>
          <w:lang w:val="zh-TW"/>
        </w:rPr>
        <w:t>根据风险导则8.1.1条，选择对环境影响较大并具有代表性的事故类型，</w:t>
      </w:r>
      <w:r>
        <w:rPr>
          <w:color w:val="auto"/>
        </w:rPr>
        <w:t>设定风险事故情形，本项目的危险化学品储罐区为重点风险源，因此本次环评重点对该储罐区泄漏风险源的风险影响进行分析。</w:t>
      </w:r>
    </w:p>
    <w:p>
      <w:pPr>
        <w:pStyle w:val="36"/>
        <w:bidi w:val="0"/>
        <w:rPr>
          <w:color w:val="auto"/>
        </w:rPr>
      </w:pPr>
      <w:r>
        <w:rPr>
          <w:color w:val="auto"/>
        </w:rPr>
        <w:t>表</w:t>
      </w:r>
      <w:r>
        <w:rPr>
          <w:rFonts w:hint="eastAsia"/>
          <w:color w:val="auto"/>
          <w:lang w:val="en-US" w:eastAsia="zh-CN"/>
        </w:rPr>
        <w:t>9</w:t>
      </w:r>
      <w:r>
        <w:rPr>
          <w:color w:val="auto"/>
        </w:rPr>
        <w:t>.4-4   风险事故设置情景一览表</w:t>
      </w:r>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4"/>
        <w:gridCol w:w="725"/>
        <w:gridCol w:w="823"/>
        <w:gridCol w:w="2388"/>
        <w:gridCol w:w="698"/>
        <w:gridCol w:w="1000"/>
        <w:gridCol w:w="833"/>
        <w:gridCol w:w="1363"/>
        <w:gridCol w:w="914"/>
      </w:tblGrid>
      <w:tr>
        <w:trPr>
          <w:trHeight w:val="340" w:hRule="atLeast"/>
        </w:trPr>
        <w:tc>
          <w:tcPr>
            <w:tcW w:w="402" w:type="pct"/>
            <w:noWrap w:val="0"/>
            <w:vAlign w:val="center"/>
          </w:tcPr>
          <w:p>
            <w:pPr>
              <w:pStyle w:val="35"/>
              <w:bidi w:val="0"/>
              <w:rPr>
                <w:color w:val="auto"/>
                <w:lang w:eastAsia="zh-CN"/>
              </w:rPr>
            </w:pPr>
            <w:r>
              <w:rPr>
                <w:color w:val="auto"/>
                <w:lang w:eastAsia="zh-CN"/>
              </w:rPr>
              <w:t>风险</w:t>
            </w:r>
          </w:p>
          <w:p>
            <w:pPr>
              <w:pStyle w:val="35"/>
              <w:bidi w:val="0"/>
              <w:rPr>
                <w:color w:val="auto"/>
                <w:lang w:eastAsia="zh-CN"/>
              </w:rPr>
            </w:pPr>
            <w:r>
              <w:rPr>
                <w:color w:val="auto"/>
                <w:lang w:eastAsia="zh-CN"/>
              </w:rPr>
              <w:t>单元</w:t>
            </w:r>
          </w:p>
        </w:tc>
        <w:tc>
          <w:tcPr>
            <w:tcW w:w="381" w:type="pct"/>
            <w:noWrap w:val="0"/>
            <w:vAlign w:val="center"/>
          </w:tcPr>
          <w:p>
            <w:pPr>
              <w:pStyle w:val="35"/>
              <w:bidi w:val="0"/>
              <w:rPr>
                <w:color w:val="auto"/>
                <w:lang w:eastAsia="zh-CN"/>
              </w:rPr>
            </w:pPr>
            <w:r>
              <w:rPr>
                <w:color w:val="auto"/>
                <w:lang w:eastAsia="zh-CN"/>
              </w:rPr>
              <w:t>风险源</w:t>
            </w:r>
          </w:p>
        </w:tc>
        <w:tc>
          <w:tcPr>
            <w:tcW w:w="433" w:type="pct"/>
            <w:noWrap w:val="0"/>
            <w:vAlign w:val="center"/>
          </w:tcPr>
          <w:p>
            <w:pPr>
              <w:pStyle w:val="35"/>
              <w:bidi w:val="0"/>
              <w:rPr>
                <w:color w:val="auto"/>
                <w:lang w:eastAsia="zh-CN"/>
              </w:rPr>
            </w:pPr>
            <w:r>
              <w:rPr>
                <w:color w:val="auto"/>
                <w:lang w:eastAsia="zh-CN"/>
              </w:rPr>
              <w:t>风险物质</w:t>
            </w:r>
          </w:p>
        </w:tc>
        <w:tc>
          <w:tcPr>
            <w:tcW w:w="1256" w:type="pct"/>
            <w:noWrap w:val="0"/>
            <w:vAlign w:val="center"/>
          </w:tcPr>
          <w:p>
            <w:pPr>
              <w:pStyle w:val="35"/>
              <w:bidi w:val="0"/>
              <w:rPr>
                <w:color w:val="auto"/>
                <w:lang w:eastAsia="zh-CN"/>
              </w:rPr>
            </w:pPr>
            <w:r>
              <w:rPr>
                <w:color w:val="auto"/>
                <w:lang w:eastAsia="zh-CN"/>
              </w:rPr>
              <w:t>风险事故类型</w:t>
            </w:r>
          </w:p>
        </w:tc>
        <w:tc>
          <w:tcPr>
            <w:tcW w:w="367" w:type="pct"/>
            <w:noWrap w:val="0"/>
            <w:vAlign w:val="center"/>
          </w:tcPr>
          <w:p>
            <w:pPr>
              <w:pStyle w:val="35"/>
              <w:bidi w:val="0"/>
              <w:rPr>
                <w:color w:val="auto"/>
                <w:lang w:eastAsia="zh-CN"/>
              </w:rPr>
            </w:pPr>
            <w:r>
              <w:rPr>
                <w:color w:val="auto"/>
                <w:lang w:eastAsia="zh-CN"/>
              </w:rPr>
              <w:t>影响途径</w:t>
            </w:r>
          </w:p>
        </w:tc>
        <w:tc>
          <w:tcPr>
            <w:tcW w:w="526" w:type="pct"/>
            <w:noWrap w:val="0"/>
            <w:vAlign w:val="center"/>
          </w:tcPr>
          <w:p>
            <w:pPr>
              <w:pStyle w:val="35"/>
              <w:bidi w:val="0"/>
              <w:rPr>
                <w:color w:val="auto"/>
                <w:lang w:eastAsia="zh-CN"/>
              </w:rPr>
            </w:pPr>
            <w:r>
              <w:rPr>
                <w:color w:val="auto"/>
                <w:lang w:eastAsia="zh-CN"/>
              </w:rPr>
              <w:t>部件</w:t>
            </w:r>
          </w:p>
          <w:p>
            <w:pPr>
              <w:pStyle w:val="35"/>
              <w:bidi w:val="0"/>
              <w:rPr>
                <w:color w:val="auto"/>
                <w:lang w:eastAsia="zh-CN"/>
              </w:rPr>
            </w:pPr>
            <w:r>
              <w:rPr>
                <w:color w:val="auto"/>
                <w:lang w:eastAsia="zh-CN"/>
              </w:rPr>
              <w:t>类型</w:t>
            </w:r>
          </w:p>
        </w:tc>
        <w:tc>
          <w:tcPr>
            <w:tcW w:w="438" w:type="pct"/>
            <w:noWrap w:val="0"/>
            <w:vAlign w:val="center"/>
          </w:tcPr>
          <w:p>
            <w:pPr>
              <w:pStyle w:val="35"/>
              <w:bidi w:val="0"/>
              <w:rPr>
                <w:color w:val="auto"/>
                <w:lang w:eastAsia="zh-CN"/>
              </w:rPr>
            </w:pPr>
            <w:r>
              <w:rPr>
                <w:color w:val="auto"/>
                <w:lang w:eastAsia="zh-CN"/>
              </w:rPr>
              <w:t>泄露模式</w:t>
            </w:r>
          </w:p>
        </w:tc>
        <w:tc>
          <w:tcPr>
            <w:tcW w:w="717" w:type="pct"/>
            <w:noWrap w:val="0"/>
            <w:vAlign w:val="center"/>
          </w:tcPr>
          <w:p>
            <w:pPr>
              <w:pStyle w:val="35"/>
              <w:bidi w:val="0"/>
              <w:rPr>
                <w:color w:val="auto"/>
                <w:lang w:eastAsia="zh-CN"/>
              </w:rPr>
            </w:pPr>
            <w:r>
              <w:rPr>
                <w:color w:val="auto"/>
                <w:lang w:eastAsia="zh-CN"/>
              </w:rPr>
              <w:t>泄露频率</w:t>
            </w:r>
          </w:p>
        </w:tc>
        <w:tc>
          <w:tcPr>
            <w:tcW w:w="476" w:type="pct"/>
            <w:noWrap w:val="0"/>
            <w:vAlign w:val="center"/>
          </w:tcPr>
          <w:p>
            <w:pPr>
              <w:pStyle w:val="35"/>
              <w:bidi w:val="0"/>
              <w:rPr>
                <w:color w:val="auto"/>
                <w:lang w:eastAsia="zh-CN"/>
              </w:rPr>
            </w:pPr>
            <w:r>
              <w:rPr>
                <w:color w:val="auto"/>
                <w:lang w:eastAsia="zh-CN"/>
              </w:rPr>
              <w:t>事故持续时间</w:t>
            </w:r>
          </w:p>
        </w:tc>
      </w:tr>
      <w:tr>
        <w:trPr>
          <w:trHeight w:val="340" w:hRule="atLeast"/>
        </w:trPr>
        <w:tc>
          <w:tcPr>
            <w:tcW w:w="402" w:type="pct"/>
            <w:vMerge w:val="restart"/>
            <w:noWrap w:val="0"/>
            <w:vAlign w:val="center"/>
          </w:tcPr>
          <w:p>
            <w:pPr>
              <w:pStyle w:val="35"/>
              <w:bidi w:val="0"/>
              <w:rPr>
                <w:color w:val="auto"/>
                <w:lang w:eastAsia="zh-CN"/>
              </w:rPr>
            </w:pPr>
            <w:r>
              <w:rPr>
                <w:color w:val="auto"/>
                <w:lang w:eastAsia="zh-CN"/>
              </w:rPr>
              <w:t>储罐区</w:t>
            </w:r>
          </w:p>
        </w:tc>
        <w:tc>
          <w:tcPr>
            <w:tcW w:w="381" w:type="pct"/>
            <w:noWrap w:val="0"/>
            <w:vAlign w:val="center"/>
          </w:tcPr>
          <w:p>
            <w:pPr>
              <w:pStyle w:val="35"/>
              <w:bidi w:val="0"/>
              <w:rPr>
                <w:color w:val="auto"/>
                <w:lang w:eastAsia="zh-CN"/>
              </w:rPr>
            </w:pPr>
            <w:r>
              <w:rPr>
                <w:rFonts w:hint="eastAsia"/>
                <w:color w:val="auto"/>
                <w:lang w:val="en-US" w:eastAsia="zh-CN"/>
              </w:rPr>
              <w:t>醋酸甲酯</w:t>
            </w:r>
            <w:r>
              <w:rPr>
                <w:color w:val="auto"/>
                <w:lang w:eastAsia="zh-CN"/>
              </w:rPr>
              <w:t>储罐</w:t>
            </w:r>
          </w:p>
        </w:tc>
        <w:tc>
          <w:tcPr>
            <w:tcW w:w="433" w:type="pct"/>
            <w:noWrap w:val="0"/>
            <w:vAlign w:val="center"/>
          </w:tcPr>
          <w:p>
            <w:pPr>
              <w:pStyle w:val="35"/>
              <w:bidi w:val="0"/>
              <w:rPr>
                <w:rFonts w:hint="default"/>
                <w:color w:val="auto"/>
                <w:lang w:val="en-US" w:eastAsia="zh-CN"/>
              </w:rPr>
            </w:pPr>
            <w:r>
              <w:rPr>
                <w:rFonts w:hint="eastAsia"/>
                <w:color w:val="auto"/>
                <w:lang w:val="en-US" w:eastAsia="zh-CN"/>
              </w:rPr>
              <w:t>醋酸甲酯</w:t>
            </w:r>
          </w:p>
        </w:tc>
        <w:tc>
          <w:tcPr>
            <w:tcW w:w="1256" w:type="pct"/>
            <w:noWrap w:val="0"/>
            <w:vAlign w:val="center"/>
          </w:tcPr>
          <w:p>
            <w:pPr>
              <w:pStyle w:val="35"/>
              <w:bidi w:val="0"/>
              <w:rPr>
                <w:color w:val="auto"/>
                <w:lang w:eastAsia="zh-CN"/>
              </w:rPr>
            </w:pPr>
            <w:r>
              <w:rPr>
                <w:rFonts w:hint="eastAsia"/>
                <w:color w:val="auto"/>
                <w:lang w:val="en-US" w:eastAsia="zh-CN"/>
              </w:rPr>
              <w:t>醋酸甲酯</w:t>
            </w:r>
            <w:r>
              <w:rPr>
                <w:color w:val="auto"/>
                <w:lang w:eastAsia="zh-CN"/>
              </w:rPr>
              <w:t>储罐罐体破裂，</w:t>
            </w:r>
            <w:r>
              <w:rPr>
                <w:rFonts w:hint="eastAsia"/>
                <w:color w:val="auto"/>
                <w:lang w:val="en-US" w:eastAsia="zh-CN"/>
              </w:rPr>
              <w:t>醋酸甲酯</w:t>
            </w:r>
            <w:r>
              <w:rPr>
                <w:color w:val="auto"/>
                <w:lang w:eastAsia="zh-CN"/>
              </w:rPr>
              <w:t>泄露聚集在围堰内</w:t>
            </w:r>
          </w:p>
        </w:tc>
        <w:tc>
          <w:tcPr>
            <w:tcW w:w="367" w:type="pct"/>
            <w:noWrap w:val="0"/>
            <w:vAlign w:val="center"/>
          </w:tcPr>
          <w:p>
            <w:pPr>
              <w:pStyle w:val="35"/>
              <w:bidi w:val="0"/>
              <w:rPr>
                <w:color w:val="auto"/>
                <w:lang w:eastAsia="zh-CN"/>
              </w:rPr>
            </w:pPr>
            <w:r>
              <w:rPr>
                <w:color w:val="auto"/>
                <w:lang w:eastAsia="zh-CN"/>
              </w:rPr>
              <w:t>大气</w:t>
            </w:r>
          </w:p>
        </w:tc>
        <w:tc>
          <w:tcPr>
            <w:tcW w:w="526" w:type="pct"/>
            <w:noWrap w:val="0"/>
            <w:vAlign w:val="center"/>
          </w:tcPr>
          <w:p>
            <w:pPr>
              <w:pStyle w:val="35"/>
              <w:bidi w:val="0"/>
              <w:rPr>
                <w:color w:val="auto"/>
                <w:lang w:eastAsia="zh-CN"/>
              </w:rPr>
            </w:pPr>
            <w:r>
              <w:rPr>
                <w:color w:val="auto"/>
                <w:lang w:eastAsia="zh-CN"/>
              </w:rPr>
              <w:t>储罐</w:t>
            </w:r>
          </w:p>
        </w:tc>
        <w:tc>
          <w:tcPr>
            <w:tcW w:w="438" w:type="pct"/>
            <w:noWrap w:val="0"/>
            <w:vAlign w:val="center"/>
          </w:tcPr>
          <w:p>
            <w:pPr>
              <w:pStyle w:val="35"/>
              <w:bidi w:val="0"/>
              <w:rPr>
                <w:color w:val="auto"/>
                <w:lang w:eastAsia="zh-CN"/>
              </w:rPr>
            </w:pPr>
            <w:r>
              <w:rPr>
                <w:color w:val="auto"/>
                <w:lang w:eastAsia="zh-CN"/>
              </w:rPr>
              <w:t>破裂</w:t>
            </w:r>
          </w:p>
        </w:tc>
        <w:tc>
          <w:tcPr>
            <w:tcW w:w="717" w:type="pct"/>
            <w:noWrap w:val="0"/>
            <w:vAlign w:val="center"/>
          </w:tcPr>
          <w:p>
            <w:pPr>
              <w:pStyle w:val="35"/>
              <w:bidi w:val="0"/>
              <w:rPr>
                <w:color w:val="auto"/>
                <w:lang w:eastAsia="zh-CN"/>
              </w:rPr>
            </w:pPr>
            <w:r>
              <w:rPr>
                <w:color w:val="auto"/>
                <w:lang w:eastAsia="zh-CN"/>
              </w:rPr>
              <w:t>5.00×10-6/a</w:t>
            </w:r>
          </w:p>
        </w:tc>
        <w:tc>
          <w:tcPr>
            <w:tcW w:w="476" w:type="pct"/>
            <w:noWrap w:val="0"/>
            <w:vAlign w:val="center"/>
          </w:tcPr>
          <w:p>
            <w:pPr>
              <w:pStyle w:val="35"/>
              <w:bidi w:val="0"/>
              <w:rPr>
                <w:color w:val="auto"/>
                <w:lang w:eastAsia="zh-CN"/>
              </w:rPr>
            </w:pPr>
            <w:r>
              <w:rPr>
                <w:color w:val="auto"/>
                <w:lang w:eastAsia="zh-CN"/>
              </w:rPr>
              <w:t>30min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402" w:type="pct"/>
            <w:vMerge w:val="continue"/>
            <w:noWrap w:val="0"/>
            <w:vAlign w:val="center"/>
          </w:tcPr>
          <w:p>
            <w:pPr>
              <w:pStyle w:val="35"/>
              <w:bidi w:val="0"/>
              <w:rPr>
                <w:color w:val="auto"/>
                <w:lang w:eastAsia="zh-CN"/>
              </w:rPr>
            </w:pPr>
          </w:p>
        </w:tc>
        <w:tc>
          <w:tcPr>
            <w:tcW w:w="381" w:type="pct"/>
            <w:noWrap w:val="0"/>
            <w:vAlign w:val="center"/>
          </w:tcPr>
          <w:p>
            <w:pPr>
              <w:pStyle w:val="35"/>
              <w:bidi w:val="0"/>
              <w:rPr>
                <w:color w:val="auto"/>
                <w:lang w:eastAsia="zh-CN"/>
              </w:rPr>
            </w:pPr>
            <w:r>
              <w:rPr>
                <w:color w:val="auto"/>
                <w:lang w:eastAsia="zh-CN"/>
              </w:rPr>
              <w:t>甲醇储罐</w:t>
            </w:r>
          </w:p>
        </w:tc>
        <w:tc>
          <w:tcPr>
            <w:tcW w:w="433" w:type="pct"/>
            <w:noWrap w:val="0"/>
            <w:vAlign w:val="center"/>
          </w:tcPr>
          <w:p>
            <w:pPr>
              <w:pStyle w:val="35"/>
              <w:bidi w:val="0"/>
              <w:rPr>
                <w:color w:val="auto"/>
                <w:lang w:eastAsia="zh-CN"/>
              </w:rPr>
            </w:pPr>
            <w:r>
              <w:rPr>
                <w:color w:val="auto"/>
                <w:lang w:eastAsia="zh-CN"/>
              </w:rPr>
              <w:t>甲醇</w:t>
            </w:r>
          </w:p>
        </w:tc>
        <w:tc>
          <w:tcPr>
            <w:tcW w:w="1256" w:type="pct"/>
            <w:noWrap w:val="0"/>
            <w:vAlign w:val="center"/>
          </w:tcPr>
          <w:p>
            <w:pPr>
              <w:pStyle w:val="35"/>
              <w:bidi w:val="0"/>
              <w:rPr>
                <w:color w:val="auto"/>
                <w:lang w:eastAsia="zh-CN"/>
              </w:rPr>
            </w:pPr>
            <w:r>
              <w:rPr>
                <w:color w:val="auto"/>
                <w:lang w:eastAsia="zh-CN"/>
              </w:rPr>
              <w:t>甲醇储罐罐体破裂，甲醇泄露聚集在围堰内</w:t>
            </w:r>
          </w:p>
        </w:tc>
        <w:tc>
          <w:tcPr>
            <w:tcW w:w="367" w:type="pct"/>
            <w:noWrap w:val="0"/>
            <w:vAlign w:val="center"/>
          </w:tcPr>
          <w:p>
            <w:pPr>
              <w:pStyle w:val="35"/>
              <w:bidi w:val="0"/>
              <w:rPr>
                <w:color w:val="auto"/>
                <w:lang w:eastAsia="zh-CN"/>
              </w:rPr>
            </w:pPr>
            <w:r>
              <w:rPr>
                <w:color w:val="auto"/>
                <w:lang w:eastAsia="zh-CN"/>
              </w:rPr>
              <w:t>大气</w:t>
            </w:r>
          </w:p>
        </w:tc>
        <w:tc>
          <w:tcPr>
            <w:tcW w:w="526" w:type="pct"/>
            <w:noWrap w:val="0"/>
            <w:vAlign w:val="center"/>
          </w:tcPr>
          <w:p>
            <w:pPr>
              <w:pStyle w:val="35"/>
              <w:bidi w:val="0"/>
              <w:rPr>
                <w:color w:val="auto"/>
                <w:lang w:eastAsia="zh-CN"/>
              </w:rPr>
            </w:pPr>
            <w:r>
              <w:rPr>
                <w:color w:val="auto"/>
                <w:lang w:eastAsia="zh-CN"/>
              </w:rPr>
              <w:t>储罐</w:t>
            </w:r>
          </w:p>
        </w:tc>
        <w:tc>
          <w:tcPr>
            <w:tcW w:w="438" w:type="pct"/>
            <w:noWrap w:val="0"/>
            <w:vAlign w:val="center"/>
          </w:tcPr>
          <w:p>
            <w:pPr>
              <w:pStyle w:val="35"/>
              <w:bidi w:val="0"/>
              <w:rPr>
                <w:color w:val="auto"/>
                <w:lang w:eastAsia="zh-CN"/>
              </w:rPr>
            </w:pPr>
            <w:r>
              <w:rPr>
                <w:color w:val="auto"/>
                <w:lang w:eastAsia="zh-CN"/>
              </w:rPr>
              <w:t>破裂</w:t>
            </w:r>
          </w:p>
        </w:tc>
        <w:tc>
          <w:tcPr>
            <w:tcW w:w="717" w:type="pct"/>
            <w:noWrap w:val="0"/>
            <w:vAlign w:val="center"/>
          </w:tcPr>
          <w:p>
            <w:pPr>
              <w:pStyle w:val="35"/>
              <w:bidi w:val="0"/>
              <w:rPr>
                <w:color w:val="auto"/>
                <w:lang w:eastAsia="zh-CN"/>
              </w:rPr>
            </w:pPr>
            <w:r>
              <w:rPr>
                <w:color w:val="auto"/>
                <w:lang w:eastAsia="zh-CN"/>
              </w:rPr>
              <w:t>5.00×10-6/a</w:t>
            </w:r>
          </w:p>
        </w:tc>
        <w:tc>
          <w:tcPr>
            <w:tcW w:w="476" w:type="pct"/>
            <w:noWrap w:val="0"/>
            <w:vAlign w:val="center"/>
          </w:tcPr>
          <w:p>
            <w:pPr>
              <w:pStyle w:val="35"/>
              <w:bidi w:val="0"/>
              <w:rPr>
                <w:color w:val="auto"/>
                <w:lang w:eastAsia="zh-CN"/>
              </w:rPr>
            </w:pPr>
            <w:r>
              <w:rPr>
                <w:color w:val="auto"/>
                <w:lang w:eastAsia="zh-CN"/>
              </w:rPr>
              <w:t>30min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5000" w:type="pct"/>
            <w:gridSpan w:val="9"/>
            <w:noWrap w:val="0"/>
            <w:vAlign w:val="center"/>
          </w:tcPr>
          <w:p>
            <w:pPr>
              <w:pStyle w:val="35"/>
              <w:bidi w:val="0"/>
              <w:rPr>
                <w:color w:val="auto"/>
                <w:lang w:eastAsia="zh-CN"/>
              </w:rPr>
            </w:pPr>
            <w:r>
              <w:rPr>
                <w:color w:val="auto"/>
                <w:lang w:eastAsia="zh-CN"/>
              </w:rPr>
              <w:t>注：</w:t>
            </w:r>
            <w:r>
              <w:rPr>
                <w:color w:val="auto"/>
                <w:lang w:eastAsia="zh-CN"/>
              </w:rPr>
              <w:fldChar w:fldCharType="begin"/>
            </w:r>
            <w:r>
              <w:rPr>
                <w:color w:val="auto"/>
                <w:lang w:eastAsia="zh-CN"/>
              </w:rPr>
              <w:instrText xml:space="preserve">= 1 \* GB3</w:instrText>
            </w:r>
            <w:r>
              <w:rPr>
                <w:color w:val="auto"/>
                <w:lang w:eastAsia="zh-CN"/>
              </w:rPr>
              <w:fldChar w:fldCharType="separate"/>
            </w:r>
            <w:r>
              <w:rPr>
                <w:rFonts w:hint="eastAsia"/>
                <w:color w:val="auto"/>
                <w:lang w:val="en-US" w:eastAsia="zh-CN"/>
              </w:rPr>
              <w:t>①</w:t>
            </w:r>
            <w:r>
              <w:rPr>
                <w:color w:val="auto"/>
                <w:lang w:eastAsia="zh-CN"/>
              </w:rPr>
              <w:fldChar w:fldCharType="end"/>
            </w:r>
            <w:r>
              <w:rPr>
                <w:color w:val="auto"/>
                <w:lang w:eastAsia="zh-CN"/>
              </w:rPr>
              <w:t>泄露事故类型参考风险导则HJ169-2018附录E，并选择小于10-6/a作为最大可信事故设定参考。泄露液体形成液池蒸发可30min计。</w:t>
            </w:r>
          </w:p>
        </w:tc>
      </w:tr>
    </w:tbl>
    <w:p>
      <w:pPr>
        <w:pStyle w:val="31"/>
        <w:bidi w:val="0"/>
        <w:rPr>
          <w:color w:val="auto"/>
        </w:rPr>
      </w:pPr>
      <w:bookmarkStart w:id="342" w:name="_Toc14573"/>
      <w:bookmarkStart w:id="343" w:name="_Toc41310125"/>
      <w:bookmarkStart w:id="344" w:name="_Toc5498"/>
      <w:r>
        <w:rPr>
          <w:rFonts w:hint="eastAsia"/>
          <w:color w:val="auto"/>
          <w:lang w:val="en-US" w:eastAsia="zh-CN"/>
        </w:rPr>
        <w:t>9</w:t>
      </w:r>
      <w:r>
        <w:rPr>
          <w:color w:val="auto"/>
        </w:rPr>
        <w:t>.5源项分析</w:t>
      </w:r>
      <w:bookmarkEnd w:id="342"/>
      <w:bookmarkEnd w:id="343"/>
      <w:bookmarkEnd w:id="344"/>
    </w:p>
    <w:p>
      <w:pPr>
        <w:pStyle w:val="32"/>
        <w:bidi w:val="0"/>
        <w:rPr>
          <w:color w:val="auto"/>
          <w:lang w:val="zh-TW"/>
        </w:rPr>
      </w:pPr>
      <w:r>
        <w:rPr>
          <w:rFonts w:hint="eastAsia"/>
          <w:color w:val="auto"/>
          <w:lang w:val="en-US" w:eastAsia="zh-CN"/>
        </w:rPr>
        <w:t>9</w:t>
      </w:r>
      <w:r>
        <w:rPr>
          <w:color w:val="auto"/>
          <w:lang w:val="zh-TW"/>
        </w:rPr>
        <w:t>.5.1储罐物质泄漏事故</w:t>
      </w:r>
    </w:p>
    <w:p>
      <w:pPr>
        <w:pStyle w:val="33"/>
        <w:bidi w:val="0"/>
        <w:rPr>
          <w:color w:val="auto"/>
        </w:rPr>
      </w:pPr>
      <w:r>
        <w:rPr>
          <w:color w:val="auto"/>
        </w:rPr>
        <w:t>液体泄漏速度QL用柏努利方程计算：</w:t>
      </w:r>
    </w:p>
    <w:p>
      <w:pPr>
        <w:pStyle w:val="33"/>
        <w:bidi w:val="0"/>
        <w:rPr>
          <w:color w:val="auto"/>
        </w:rPr>
      </w:pPr>
      <w:r>
        <w:rPr>
          <w:snapToGrid w:val="0"/>
          <w:color w:val="auto"/>
          <w:position w:val="-32"/>
        </w:rPr>
        <w:object>
          <v:shape id="_x0000_i1041" o:spt="75" type="#_x0000_t75" style="height:37.6pt;width:137.55pt;" o:ole="t" filled="f" o:preferrelative="t" stroked="f" coordsize="21600,21600">
            <v:path/>
            <v:fill on="f" focussize="0,0"/>
            <v:stroke on="f"/>
            <v:imagedata r:id="rId73" o:title=""/>
            <o:lock v:ext="edit" aspectratio="t"/>
            <w10:wrap type="none"/>
            <w10:anchorlock/>
          </v:shape>
          <o:OLEObject Type="Embed" ProgID="Equation.3" ShapeID="_x0000_i1041" DrawAspect="Content" ObjectID="_1468075741" r:id="rId72">
            <o:LockedField>false</o:LockedField>
          </o:OLEObject>
        </w:object>
      </w:r>
    </w:p>
    <w:p>
      <w:pPr>
        <w:pStyle w:val="33"/>
        <w:bidi w:val="0"/>
        <w:rPr>
          <w:color w:val="auto"/>
        </w:rPr>
      </w:pPr>
      <w:r>
        <w:rPr>
          <w:color w:val="auto"/>
        </w:rPr>
        <w:t>式中：</w:t>
      </w:r>
    </w:p>
    <w:p>
      <w:pPr>
        <w:pStyle w:val="33"/>
        <w:bidi w:val="0"/>
        <w:rPr>
          <w:color w:val="auto"/>
        </w:rPr>
      </w:pPr>
      <w:r>
        <w:rPr>
          <w:color w:val="auto"/>
        </w:rPr>
        <w:t>QL—液体泄露速度，kg/s；</w:t>
      </w:r>
    </w:p>
    <w:p>
      <w:pPr>
        <w:pStyle w:val="33"/>
        <w:bidi w:val="0"/>
        <w:rPr>
          <w:color w:val="auto"/>
        </w:rPr>
      </w:pPr>
      <w:r>
        <w:rPr>
          <w:color w:val="auto"/>
        </w:rPr>
        <w:t>Cd—液体泄露系数；</w:t>
      </w:r>
    </w:p>
    <w:p>
      <w:pPr>
        <w:pStyle w:val="33"/>
        <w:bidi w:val="0"/>
        <w:rPr>
          <w:color w:val="auto"/>
        </w:rPr>
      </w:pPr>
      <w:r>
        <w:rPr>
          <w:color w:val="auto"/>
        </w:rPr>
        <w:t>A—裂口面积，m</w:t>
      </w:r>
      <w:r>
        <w:rPr>
          <w:color w:val="auto"/>
          <w:vertAlign w:val="superscript"/>
        </w:rPr>
        <w:t>2</w:t>
      </w:r>
      <w:r>
        <w:rPr>
          <w:color w:val="auto"/>
        </w:rPr>
        <w:t>；</w:t>
      </w:r>
    </w:p>
    <w:p>
      <w:pPr>
        <w:pStyle w:val="33"/>
        <w:bidi w:val="0"/>
        <w:rPr>
          <w:color w:val="auto"/>
        </w:rPr>
      </w:pPr>
      <w:r>
        <w:rPr>
          <w:color w:val="auto"/>
        </w:rPr>
        <w:t>ρ—液体密度，kg/m</w:t>
      </w:r>
      <w:r>
        <w:rPr>
          <w:color w:val="auto"/>
          <w:vertAlign w:val="superscript"/>
        </w:rPr>
        <w:t>3</w:t>
      </w:r>
      <w:r>
        <w:rPr>
          <w:color w:val="auto"/>
        </w:rPr>
        <w:t>；</w:t>
      </w:r>
    </w:p>
    <w:p>
      <w:pPr>
        <w:pStyle w:val="33"/>
        <w:bidi w:val="0"/>
        <w:rPr>
          <w:color w:val="auto"/>
        </w:rPr>
      </w:pPr>
      <w:r>
        <w:rPr>
          <w:color w:val="auto"/>
        </w:rPr>
        <w:t>P—容器内介质压力，Pa；</w:t>
      </w:r>
    </w:p>
    <w:p>
      <w:pPr>
        <w:pStyle w:val="33"/>
        <w:bidi w:val="0"/>
        <w:rPr>
          <w:color w:val="auto"/>
        </w:rPr>
      </w:pPr>
      <w:r>
        <w:rPr>
          <w:color w:val="auto"/>
        </w:rPr>
        <w:t>Po—环境压力，Pa；</w:t>
      </w:r>
    </w:p>
    <w:p>
      <w:pPr>
        <w:pStyle w:val="33"/>
        <w:bidi w:val="0"/>
        <w:rPr>
          <w:color w:val="auto"/>
        </w:rPr>
      </w:pPr>
      <w:r>
        <w:rPr>
          <w:color w:val="auto"/>
        </w:rPr>
        <w:t>g—重力加速度；</w:t>
      </w:r>
    </w:p>
    <w:p>
      <w:pPr>
        <w:pStyle w:val="33"/>
        <w:bidi w:val="0"/>
        <w:rPr>
          <w:color w:val="auto"/>
        </w:rPr>
      </w:pPr>
      <w:r>
        <w:rPr>
          <w:color w:val="auto"/>
        </w:rPr>
        <w:t>h—裂口之液位高度，m。</w:t>
      </w:r>
    </w:p>
    <w:p>
      <w:pPr>
        <w:pStyle w:val="36"/>
        <w:bidi w:val="0"/>
        <w:rPr>
          <w:color w:val="auto"/>
        </w:rPr>
      </w:pPr>
      <w:r>
        <w:rPr>
          <w:color w:val="auto"/>
        </w:rPr>
        <w:t>表</w:t>
      </w:r>
      <w:r>
        <w:rPr>
          <w:rFonts w:hint="eastAsia"/>
          <w:color w:val="auto"/>
          <w:lang w:val="en-US" w:eastAsia="zh-CN"/>
        </w:rPr>
        <w:t>9</w:t>
      </w:r>
      <w:r>
        <w:rPr>
          <w:color w:val="auto"/>
        </w:rPr>
        <w:t>.5-1   液体泄漏速度计算参数选值</w:t>
      </w:r>
    </w:p>
    <w:tbl>
      <w:tblPr>
        <w:tblStyle w:val="27"/>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07"/>
        <w:gridCol w:w="3343"/>
        <w:gridCol w:w="37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01" w:hRule="atLeast"/>
          <w:jc w:val="center"/>
        </w:trPr>
        <w:tc>
          <w:tcPr>
            <w:tcW w:w="1265" w:type="pct"/>
            <w:noWrap w:val="0"/>
            <w:vAlign w:val="center"/>
          </w:tcPr>
          <w:p>
            <w:pPr>
              <w:pStyle w:val="35"/>
              <w:bidi w:val="0"/>
              <w:rPr>
                <w:color w:val="auto"/>
              </w:rPr>
            </w:pPr>
            <w:r>
              <w:rPr>
                <w:color w:val="auto"/>
              </w:rPr>
              <w:t>参数</w:t>
            </w:r>
          </w:p>
        </w:tc>
        <w:tc>
          <w:tcPr>
            <w:tcW w:w="1757" w:type="pct"/>
            <w:tcBorders>
              <w:right w:val="single" w:color="auto" w:sz="4" w:space="0"/>
            </w:tcBorders>
            <w:noWrap w:val="0"/>
            <w:vAlign w:val="center"/>
          </w:tcPr>
          <w:p>
            <w:pPr>
              <w:pStyle w:val="35"/>
              <w:bidi w:val="0"/>
              <w:rPr>
                <w:rFonts w:hint="default" w:eastAsia="宋体"/>
                <w:color w:val="auto"/>
                <w:lang w:val="en-US" w:eastAsia="zh-CN"/>
              </w:rPr>
            </w:pPr>
            <w:r>
              <w:rPr>
                <w:rFonts w:hint="eastAsia"/>
                <w:color w:val="auto"/>
                <w:lang w:val="en-US" w:eastAsia="zh-CN"/>
              </w:rPr>
              <w:t>醋酸甲酯</w:t>
            </w:r>
          </w:p>
        </w:tc>
        <w:tc>
          <w:tcPr>
            <w:tcW w:w="1977" w:type="pct"/>
            <w:tcBorders>
              <w:right w:val="single" w:color="auto" w:sz="4" w:space="0"/>
            </w:tcBorders>
            <w:noWrap w:val="0"/>
            <w:vAlign w:val="center"/>
          </w:tcPr>
          <w:p>
            <w:pPr>
              <w:pStyle w:val="35"/>
              <w:bidi w:val="0"/>
              <w:rPr>
                <w:color w:val="auto"/>
              </w:rPr>
            </w:pPr>
            <w:r>
              <w:rPr>
                <w:color w:val="auto"/>
              </w:rPr>
              <w:t>甲醇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9" w:hRule="atLeast"/>
          <w:jc w:val="center"/>
        </w:trPr>
        <w:tc>
          <w:tcPr>
            <w:tcW w:w="1265" w:type="pct"/>
            <w:noWrap w:val="0"/>
            <w:vAlign w:val="center"/>
          </w:tcPr>
          <w:p>
            <w:pPr>
              <w:pStyle w:val="35"/>
              <w:bidi w:val="0"/>
              <w:rPr>
                <w:color w:val="auto"/>
              </w:rPr>
            </w:pPr>
            <w:r>
              <w:rPr>
                <w:color w:val="auto"/>
              </w:rPr>
              <w:t>Cd</w:t>
            </w:r>
          </w:p>
        </w:tc>
        <w:tc>
          <w:tcPr>
            <w:tcW w:w="1757" w:type="pct"/>
            <w:tcBorders>
              <w:right w:val="single" w:color="auto" w:sz="4" w:space="0"/>
            </w:tcBorders>
            <w:noWrap w:val="0"/>
            <w:vAlign w:val="center"/>
          </w:tcPr>
          <w:p>
            <w:pPr>
              <w:pStyle w:val="35"/>
              <w:bidi w:val="0"/>
              <w:rPr>
                <w:color w:val="auto"/>
              </w:rPr>
            </w:pPr>
            <w:r>
              <w:rPr>
                <w:color w:val="auto"/>
              </w:rPr>
              <w:t>0.62</w:t>
            </w:r>
          </w:p>
        </w:tc>
        <w:tc>
          <w:tcPr>
            <w:tcW w:w="1977" w:type="pct"/>
            <w:tcBorders>
              <w:right w:val="single" w:color="auto" w:sz="4" w:space="0"/>
            </w:tcBorders>
            <w:noWrap w:val="0"/>
            <w:vAlign w:val="center"/>
          </w:tcPr>
          <w:p>
            <w:pPr>
              <w:pStyle w:val="35"/>
              <w:bidi w:val="0"/>
              <w:rPr>
                <w:color w:val="auto"/>
              </w:rPr>
            </w:pPr>
            <w:r>
              <w:rPr>
                <w:color w:val="auto"/>
              </w:rPr>
              <w:t>0.62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21" w:hRule="atLeast"/>
          <w:jc w:val="center"/>
        </w:trPr>
        <w:tc>
          <w:tcPr>
            <w:tcW w:w="1265" w:type="pct"/>
            <w:noWrap w:val="0"/>
            <w:vAlign w:val="center"/>
          </w:tcPr>
          <w:p>
            <w:pPr>
              <w:pStyle w:val="35"/>
              <w:bidi w:val="0"/>
              <w:rPr>
                <w:color w:val="auto"/>
              </w:rPr>
            </w:pPr>
            <w:r>
              <w:rPr>
                <w:color w:val="auto"/>
              </w:rPr>
              <w:t>A</w:t>
            </w:r>
          </w:p>
        </w:tc>
        <w:tc>
          <w:tcPr>
            <w:tcW w:w="1757" w:type="pct"/>
            <w:tcBorders>
              <w:right w:val="single" w:color="auto" w:sz="4" w:space="0"/>
            </w:tcBorders>
            <w:noWrap w:val="0"/>
            <w:vAlign w:val="center"/>
          </w:tcPr>
          <w:p>
            <w:pPr>
              <w:pStyle w:val="35"/>
              <w:bidi w:val="0"/>
              <w:rPr>
                <w:color w:val="auto"/>
              </w:rPr>
            </w:pPr>
            <w:r>
              <w:rPr>
                <w:color w:val="auto"/>
              </w:rPr>
              <w:t>2.5×10</w:t>
            </w:r>
            <w:r>
              <w:rPr>
                <w:color w:val="auto"/>
                <w:vertAlign w:val="superscript"/>
              </w:rPr>
              <w:t>-3</w:t>
            </w:r>
            <w:r>
              <w:rPr>
                <w:color w:val="auto"/>
              </w:rPr>
              <w:t>m</w:t>
            </w:r>
            <w:r>
              <w:rPr>
                <w:color w:val="auto"/>
                <w:vertAlign w:val="superscript"/>
              </w:rPr>
              <w:t>2</w:t>
            </w:r>
          </w:p>
        </w:tc>
        <w:tc>
          <w:tcPr>
            <w:tcW w:w="1977" w:type="pct"/>
            <w:tcBorders>
              <w:right w:val="single" w:color="auto" w:sz="4" w:space="0"/>
            </w:tcBorders>
            <w:noWrap w:val="0"/>
            <w:vAlign w:val="center"/>
          </w:tcPr>
          <w:p>
            <w:pPr>
              <w:pStyle w:val="35"/>
              <w:bidi w:val="0"/>
              <w:rPr>
                <w:color w:val="auto"/>
              </w:rPr>
            </w:pPr>
            <w:r>
              <w:rPr>
                <w:color w:val="auto"/>
              </w:rPr>
              <w:t>2.5×10</w:t>
            </w:r>
            <w:r>
              <w:rPr>
                <w:color w:val="auto"/>
                <w:vertAlign w:val="superscript"/>
              </w:rPr>
              <w:t>-3</w:t>
            </w:r>
            <w:r>
              <w:rPr>
                <w:color w:val="auto"/>
              </w:rPr>
              <w:t>m</w:t>
            </w:r>
            <w:r>
              <w:rPr>
                <w:color w:val="auto"/>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21" w:hRule="atLeast"/>
          <w:jc w:val="center"/>
        </w:trPr>
        <w:tc>
          <w:tcPr>
            <w:tcW w:w="1265" w:type="pct"/>
            <w:noWrap w:val="0"/>
            <w:vAlign w:val="center"/>
          </w:tcPr>
          <w:p>
            <w:pPr>
              <w:pStyle w:val="35"/>
              <w:bidi w:val="0"/>
              <w:rPr>
                <w:color w:val="auto"/>
              </w:rPr>
            </w:pPr>
            <w:r>
              <w:rPr>
                <w:color w:val="auto"/>
              </w:rPr>
              <w:t>ρ</w:t>
            </w:r>
          </w:p>
        </w:tc>
        <w:tc>
          <w:tcPr>
            <w:tcW w:w="1757" w:type="pct"/>
            <w:tcBorders>
              <w:right w:val="single" w:color="auto" w:sz="4" w:space="0"/>
            </w:tcBorders>
            <w:noWrap w:val="0"/>
            <w:vAlign w:val="center"/>
          </w:tcPr>
          <w:p>
            <w:pPr>
              <w:pStyle w:val="35"/>
              <w:bidi w:val="0"/>
              <w:rPr>
                <w:color w:val="auto"/>
              </w:rPr>
            </w:pPr>
            <w:r>
              <w:rPr>
                <w:rFonts w:hint="eastAsia"/>
                <w:color w:val="auto"/>
                <w:lang w:val="en-US" w:eastAsia="zh-CN"/>
              </w:rPr>
              <w:t>1213</w:t>
            </w:r>
            <w:r>
              <w:rPr>
                <w:color w:val="auto"/>
              </w:rPr>
              <w:t>kg/m</w:t>
            </w:r>
            <w:r>
              <w:rPr>
                <w:color w:val="auto"/>
                <w:vertAlign w:val="superscript"/>
              </w:rPr>
              <w:t>3</w:t>
            </w:r>
          </w:p>
        </w:tc>
        <w:tc>
          <w:tcPr>
            <w:tcW w:w="1977" w:type="pct"/>
            <w:tcBorders>
              <w:right w:val="single" w:color="auto" w:sz="4" w:space="0"/>
            </w:tcBorders>
            <w:noWrap w:val="0"/>
            <w:vAlign w:val="center"/>
          </w:tcPr>
          <w:p>
            <w:pPr>
              <w:pStyle w:val="35"/>
              <w:bidi w:val="0"/>
              <w:rPr>
                <w:color w:val="auto"/>
              </w:rPr>
            </w:pPr>
            <w:r>
              <w:rPr>
                <w:color w:val="auto"/>
              </w:rPr>
              <w:t>790kg/m</w:t>
            </w:r>
            <w:r>
              <w:rPr>
                <w:color w:val="auto"/>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9" w:hRule="atLeast"/>
          <w:jc w:val="center"/>
        </w:trPr>
        <w:tc>
          <w:tcPr>
            <w:tcW w:w="1265" w:type="pct"/>
            <w:noWrap w:val="0"/>
            <w:vAlign w:val="center"/>
          </w:tcPr>
          <w:p>
            <w:pPr>
              <w:pStyle w:val="35"/>
              <w:bidi w:val="0"/>
              <w:rPr>
                <w:color w:val="auto"/>
              </w:rPr>
            </w:pPr>
            <w:r>
              <w:rPr>
                <w:color w:val="auto"/>
              </w:rPr>
              <w:t>P</w:t>
            </w:r>
          </w:p>
        </w:tc>
        <w:tc>
          <w:tcPr>
            <w:tcW w:w="1757" w:type="pct"/>
            <w:tcBorders>
              <w:right w:val="single" w:color="auto" w:sz="4" w:space="0"/>
            </w:tcBorders>
            <w:noWrap w:val="0"/>
            <w:vAlign w:val="center"/>
          </w:tcPr>
          <w:p>
            <w:pPr>
              <w:pStyle w:val="35"/>
              <w:bidi w:val="0"/>
              <w:rPr>
                <w:color w:val="auto"/>
              </w:rPr>
            </w:pPr>
            <w:r>
              <w:rPr>
                <w:color w:val="auto"/>
              </w:rPr>
              <w:t>101325Pa</w:t>
            </w:r>
          </w:p>
        </w:tc>
        <w:tc>
          <w:tcPr>
            <w:tcW w:w="1977" w:type="pct"/>
            <w:tcBorders>
              <w:right w:val="single" w:color="auto" w:sz="4" w:space="0"/>
            </w:tcBorders>
            <w:noWrap w:val="0"/>
            <w:vAlign w:val="center"/>
          </w:tcPr>
          <w:p>
            <w:pPr>
              <w:pStyle w:val="35"/>
              <w:bidi w:val="0"/>
              <w:rPr>
                <w:color w:val="auto"/>
              </w:rPr>
            </w:pPr>
            <w:r>
              <w:rPr>
                <w:color w:val="auto"/>
              </w:rPr>
              <w:t>101325Pa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9" w:hRule="atLeast"/>
          <w:jc w:val="center"/>
        </w:trPr>
        <w:tc>
          <w:tcPr>
            <w:tcW w:w="1265" w:type="pct"/>
            <w:noWrap w:val="0"/>
            <w:vAlign w:val="center"/>
          </w:tcPr>
          <w:p>
            <w:pPr>
              <w:pStyle w:val="35"/>
              <w:bidi w:val="0"/>
              <w:rPr>
                <w:color w:val="auto"/>
              </w:rPr>
            </w:pPr>
            <w:r>
              <w:rPr>
                <w:color w:val="auto"/>
              </w:rPr>
              <w:t>P0</w:t>
            </w:r>
          </w:p>
        </w:tc>
        <w:tc>
          <w:tcPr>
            <w:tcW w:w="1757" w:type="pct"/>
            <w:tcBorders>
              <w:right w:val="single" w:color="auto" w:sz="4" w:space="0"/>
            </w:tcBorders>
            <w:noWrap w:val="0"/>
            <w:vAlign w:val="center"/>
          </w:tcPr>
          <w:p>
            <w:pPr>
              <w:pStyle w:val="35"/>
              <w:bidi w:val="0"/>
              <w:rPr>
                <w:color w:val="auto"/>
              </w:rPr>
            </w:pPr>
            <w:r>
              <w:rPr>
                <w:color w:val="auto"/>
              </w:rPr>
              <w:t>101325Pa</w:t>
            </w:r>
          </w:p>
        </w:tc>
        <w:tc>
          <w:tcPr>
            <w:tcW w:w="1977" w:type="pct"/>
            <w:tcBorders>
              <w:right w:val="single" w:color="auto" w:sz="4" w:space="0"/>
            </w:tcBorders>
            <w:noWrap w:val="0"/>
            <w:vAlign w:val="center"/>
          </w:tcPr>
          <w:p>
            <w:pPr>
              <w:pStyle w:val="35"/>
              <w:bidi w:val="0"/>
              <w:rPr>
                <w:color w:val="auto"/>
              </w:rPr>
            </w:pPr>
            <w:r>
              <w:rPr>
                <w:color w:val="auto"/>
              </w:rPr>
              <w:t>101325Pa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9" w:hRule="atLeast"/>
          <w:jc w:val="center"/>
        </w:trPr>
        <w:tc>
          <w:tcPr>
            <w:tcW w:w="1265" w:type="pct"/>
            <w:noWrap w:val="0"/>
            <w:vAlign w:val="center"/>
          </w:tcPr>
          <w:p>
            <w:pPr>
              <w:pStyle w:val="35"/>
              <w:bidi w:val="0"/>
              <w:rPr>
                <w:color w:val="auto"/>
              </w:rPr>
            </w:pPr>
            <w:r>
              <w:rPr>
                <w:color w:val="auto"/>
              </w:rPr>
              <w:t>g</w:t>
            </w:r>
          </w:p>
        </w:tc>
        <w:tc>
          <w:tcPr>
            <w:tcW w:w="1757" w:type="pct"/>
            <w:tcBorders>
              <w:right w:val="single" w:color="auto" w:sz="4" w:space="0"/>
            </w:tcBorders>
            <w:noWrap w:val="0"/>
            <w:vAlign w:val="center"/>
          </w:tcPr>
          <w:p>
            <w:pPr>
              <w:pStyle w:val="35"/>
              <w:bidi w:val="0"/>
              <w:rPr>
                <w:color w:val="auto"/>
              </w:rPr>
            </w:pPr>
            <w:r>
              <w:rPr>
                <w:color w:val="auto"/>
              </w:rPr>
              <w:t>9.8m/s2</w:t>
            </w:r>
          </w:p>
        </w:tc>
        <w:tc>
          <w:tcPr>
            <w:tcW w:w="1977" w:type="pct"/>
            <w:tcBorders>
              <w:right w:val="single" w:color="auto" w:sz="4" w:space="0"/>
            </w:tcBorders>
            <w:noWrap w:val="0"/>
            <w:vAlign w:val="center"/>
          </w:tcPr>
          <w:p>
            <w:pPr>
              <w:pStyle w:val="35"/>
              <w:bidi w:val="0"/>
              <w:rPr>
                <w:color w:val="auto"/>
              </w:rPr>
            </w:pPr>
            <w:r>
              <w:rPr>
                <w:color w:val="auto"/>
              </w:rPr>
              <w:t>9.8m/s</w:t>
            </w:r>
            <w:r>
              <w:rPr>
                <w:color w:val="auto"/>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4" w:hRule="atLeast"/>
          <w:jc w:val="center"/>
        </w:trPr>
        <w:tc>
          <w:tcPr>
            <w:tcW w:w="1265" w:type="pct"/>
            <w:noWrap w:val="0"/>
            <w:vAlign w:val="center"/>
          </w:tcPr>
          <w:p>
            <w:pPr>
              <w:pStyle w:val="35"/>
              <w:bidi w:val="0"/>
              <w:rPr>
                <w:color w:val="auto"/>
              </w:rPr>
            </w:pPr>
            <w:r>
              <w:rPr>
                <w:color w:val="auto"/>
              </w:rPr>
              <w:t>h</w:t>
            </w:r>
          </w:p>
        </w:tc>
        <w:tc>
          <w:tcPr>
            <w:tcW w:w="1757" w:type="pct"/>
            <w:tcBorders>
              <w:right w:val="single" w:color="auto" w:sz="4" w:space="0"/>
            </w:tcBorders>
            <w:noWrap w:val="0"/>
            <w:vAlign w:val="center"/>
          </w:tcPr>
          <w:p>
            <w:pPr>
              <w:pStyle w:val="35"/>
              <w:bidi w:val="0"/>
              <w:rPr>
                <w:color w:val="auto"/>
              </w:rPr>
            </w:pPr>
            <w:r>
              <w:rPr>
                <w:color w:val="auto"/>
              </w:rPr>
              <w:t>2.5m</w:t>
            </w:r>
          </w:p>
        </w:tc>
        <w:tc>
          <w:tcPr>
            <w:tcW w:w="1977" w:type="pct"/>
            <w:tcBorders>
              <w:right w:val="single" w:color="auto" w:sz="4" w:space="0"/>
            </w:tcBorders>
            <w:noWrap w:val="0"/>
            <w:vAlign w:val="center"/>
          </w:tcPr>
          <w:p>
            <w:pPr>
              <w:pStyle w:val="35"/>
              <w:bidi w:val="0"/>
              <w:rPr>
                <w:color w:val="auto"/>
              </w:rPr>
            </w:pPr>
            <w:r>
              <w:rPr>
                <w:color w:val="auto"/>
              </w:rPr>
              <w:t>2.5m</w:t>
            </w:r>
          </w:p>
        </w:tc>
      </w:tr>
    </w:tbl>
    <w:p>
      <w:pPr>
        <w:pStyle w:val="33"/>
        <w:bidi w:val="0"/>
        <w:rPr>
          <w:rFonts w:hint="eastAsia" w:eastAsia="宋体"/>
          <w:color w:val="auto"/>
          <w:lang w:eastAsia="zh-CN"/>
        </w:rPr>
      </w:pPr>
      <w:r>
        <w:rPr>
          <w:color w:val="auto"/>
        </w:rPr>
        <w:t>经计算得到</w:t>
      </w:r>
      <w:r>
        <w:rPr>
          <w:rFonts w:hint="eastAsia"/>
          <w:color w:val="auto"/>
          <w:lang w:val="en-US" w:eastAsia="zh-CN"/>
        </w:rPr>
        <w:t>醋酸甲酯</w:t>
      </w:r>
      <w:r>
        <w:rPr>
          <w:color w:val="auto"/>
        </w:rPr>
        <w:t>泄漏速率为</w:t>
      </w:r>
      <w:r>
        <w:rPr>
          <w:rFonts w:hint="eastAsia"/>
          <w:color w:val="auto"/>
          <w:lang w:val="en-US" w:eastAsia="zh-CN"/>
        </w:rPr>
        <w:t>4.71</w:t>
      </w:r>
      <w:r>
        <w:rPr>
          <w:color w:val="auto"/>
        </w:rPr>
        <w:t>kg/s，甲醇泄漏速率为</w:t>
      </w:r>
      <w:r>
        <w:rPr>
          <w:rFonts w:hint="eastAsia"/>
          <w:color w:val="auto"/>
          <w:lang w:val="en-US" w:eastAsia="zh-CN"/>
        </w:rPr>
        <w:t>3.07</w:t>
      </w:r>
      <w:r>
        <w:rPr>
          <w:color w:val="auto"/>
        </w:rPr>
        <w:t>kg/s</w:t>
      </w:r>
      <w:r>
        <w:rPr>
          <w:rFonts w:hint="eastAsia"/>
          <w:color w:val="auto"/>
          <w:lang w:eastAsia="zh-CN"/>
        </w:rPr>
        <w:t>。</w:t>
      </w:r>
    </w:p>
    <w:p>
      <w:pPr>
        <w:pStyle w:val="32"/>
        <w:bidi w:val="0"/>
        <w:rPr>
          <w:color w:val="auto"/>
        </w:rPr>
      </w:pPr>
      <w:r>
        <w:rPr>
          <w:rFonts w:hint="eastAsia"/>
          <w:color w:val="auto"/>
          <w:lang w:val="en-US" w:eastAsia="zh-CN"/>
        </w:rPr>
        <w:t>9</w:t>
      </w:r>
      <w:r>
        <w:rPr>
          <w:color w:val="auto"/>
        </w:rPr>
        <w:t>.5.2泄漏液体蒸发量计算</w:t>
      </w:r>
    </w:p>
    <w:p>
      <w:pPr>
        <w:pStyle w:val="33"/>
        <w:bidi w:val="0"/>
        <w:rPr>
          <w:color w:val="auto"/>
        </w:rPr>
      </w:pPr>
      <w:r>
        <w:rPr>
          <w:color w:val="auto"/>
        </w:rPr>
        <w:t>通常泄漏后液体的挥发按其机理可分为闪蒸、热量蒸发、质量蒸发三种，其挥发总量为这三种蒸发之和。由于本项目涉及泄漏液体</w:t>
      </w:r>
      <w:r>
        <w:rPr>
          <w:rFonts w:hint="eastAsia"/>
          <w:color w:val="auto"/>
          <w:lang w:val="en-US" w:eastAsia="zh-CN"/>
        </w:rPr>
        <w:t>醋酸甲酯</w:t>
      </w:r>
      <w:r>
        <w:rPr>
          <w:color w:val="auto"/>
        </w:rPr>
        <w:t>、甲醇为常压常温贮存，主要发生的是质量蒸发。</w:t>
      </w:r>
    </w:p>
    <w:p>
      <w:pPr>
        <w:pStyle w:val="33"/>
        <w:bidi w:val="0"/>
        <w:rPr>
          <w:color w:val="auto"/>
        </w:rPr>
      </w:pPr>
      <w:r>
        <w:rPr>
          <w:color w:val="auto"/>
        </w:rPr>
        <w:t>质量蒸发速率计算公式为：</w:t>
      </w:r>
    </w:p>
    <w:p>
      <w:pPr>
        <w:pStyle w:val="33"/>
        <w:bidi w:val="0"/>
        <w:rPr>
          <w:color w:val="auto"/>
        </w:rPr>
      </w:pPr>
      <w:r>
        <w:rPr>
          <w:color w:val="auto"/>
          <w:position w:val="-30"/>
        </w:rPr>
        <w:object>
          <v:shape id="_x0000_i1042" o:spt="75" type="#_x0000_t75" style="height:47.3pt;width:149.35pt;" o:ole="t" filled="f" o:preferrelative="t" stroked="f" coordsize="21600,21600">
            <v:path/>
            <v:fill on="f" focussize="0,0"/>
            <v:stroke on="f"/>
            <v:imagedata r:id="rId75" o:title=""/>
            <o:lock v:ext="edit" aspectratio="t"/>
            <w10:wrap type="none"/>
            <w10:anchorlock/>
          </v:shape>
          <o:OLEObject Type="Embed" ProgID="Equation.DSMT4" ShapeID="_x0000_i1042" DrawAspect="Content" ObjectID="_1468075742" r:id="rId74">
            <o:LockedField>false</o:LockedField>
          </o:OLEObject>
        </w:object>
      </w:r>
    </w:p>
    <w:p>
      <w:pPr>
        <w:pStyle w:val="33"/>
        <w:bidi w:val="0"/>
        <w:rPr>
          <w:color w:val="auto"/>
        </w:rPr>
      </w:pPr>
      <w:r>
        <w:rPr>
          <w:color w:val="auto"/>
        </w:rPr>
        <w:t>式中：</w:t>
      </w:r>
    </w:p>
    <w:p>
      <w:pPr>
        <w:pStyle w:val="33"/>
        <w:bidi w:val="0"/>
        <w:rPr>
          <w:color w:val="auto"/>
        </w:rPr>
      </w:pPr>
      <w:r>
        <w:rPr>
          <w:color w:val="auto"/>
        </w:rPr>
        <w:t>Q3—质量蒸发速度，kg/s；</w:t>
      </w:r>
    </w:p>
    <w:p>
      <w:pPr>
        <w:pStyle w:val="33"/>
        <w:bidi w:val="0"/>
        <w:rPr>
          <w:color w:val="auto"/>
        </w:rPr>
      </w:pPr>
      <w:r>
        <w:rPr>
          <w:color w:val="auto"/>
        </w:rPr>
        <w:t>p—液体表面蒸气压，Pa；</w:t>
      </w:r>
    </w:p>
    <w:p>
      <w:pPr>
        <w:pStyle w:val="33"/>
        <w:bidi w:val="0"/>
        <w:rPr>
          <w:color w:val="auto"/>
        </w:rPr>
      </w:pPr>
      <w:r>
        <w:rPr>
          <w:color w:val="auto"/>
        </w:rPr>
        <w:t>R—气体常数；J/mol·k；</w:t>
      </w:r>
    </w:p>
    <w:p>
      <w:pPr>
        <w:pStyle w:val="33"/>
        <w:bidi w:val="0"/>
        <w:rPr>
          <w:color w:val="auto"/>
        </w:rPr>
      </w:pPr>
      <w:r>
        <w:rPr>
          <w:color w:val="auto"/>
        </w:rPr>
        <w:t>T0—环境温度，k；</w:t>
      </w:r>
    </w:p>
    <w:p>
      <w:pPr>
        <w:pStyle w:val="33"/>
        <w:bidi w:val="0"/>
        <w:rPr>
          <w:color w:val="auto"/>
        </w:rPr>
      </w:pPr>
      <w:r>
        <w:rPr>
          <w:color w:val="auto"/>
        </w:rPr>
        <w:t>M—物质的摩尔质量，kg/mol；</w:t>
      </w:r>
    </w:p>
    <w:p>
      <w:pPr>
        <w:pStyle w:val="33"/>
        <w:bidi w:val="0"/>
        <w:rPr>
          <w:color w:val="auto"/>
        </w:rPr>
      </w:pPr>
      <w:r>
        <w:rPr>
          <w:color w:val="auto"/>
        </w:rPr>
        <w:t>u—风速，m/s；</w:t>
      </w:r>
    </w:p>
    <w:p>
      <w:pPr>
        <w:pStyle w:val="33"/>
        <w:bidi w:val="0"/>
        <w:rPr>
          <w:color w:val="auto"/>
        </w:rPr>
      </w:pPr>
      <w:r>
        <w:rPr>
          <w:color w:val="auto"/>
        </w:rPr>
        <w:t>r—液池半径，m；</w:t>
      </w:r>
    </w:p>
    <w:p>
      <w:pPr>
        <w:pStyle w:val="33"/>
        <w:bidi w:val="0"/>
        <w:rPr>
          <w:color w:val="auto"/>
        </w:rPr>
      </w:pPr>
      <w:r>
        <w:rPr>
          <w:color w:val="auto"/>
        </w:rPr>
        <w:t>α，n—大气稳定度系数。</w:t>
      </w:r>
    </w:p>
    <w:p>
      <w:pPr>
        <w:pStyle w:val="36"/>
        <w:bidi w:val="0"/>
        <w:rPr>
          <w:color w:val="auto"/>
        </w:rPr>
      </w:pPr>
      <w:r>
        <w:rPr>
          <w:color w:val="auto"/>
        </w:rPr>
        <w:t>表</w:t>
      </w:r>
      <w:r>
        <w:rPr>
          <w:rFonts w:hint="eastAsia"/>
          <w:color w:val="auto"/>
          <w:lang w:val="en-US" w:eastAsia="zh-CN"/>
        </w:rPr>
        <w:t>9</w:t>
      </w:r>
      <w:r>
        <w:rPr>
          <w:color w:val="auto"/>
        </w:rPr>
        <w:t>.5-2   液池蒸发模式参数</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70"/>
        <w:gridCol w:w="3170"/>
        <w:gridCol w:w="3170"/>
      </w:tblGrid>
      <w:tr>
        <w:trPr>
          <w:trHeight w:val="340" w:hRule="atLeast"/>
        </w:trPr>
        <w:tc>
          <w:tcPr>
            <w:tcW w:w="1666" w:type="pct"/>
            <w:noWrap w:val="0"/>
            <w:vAlign w:val="center"/>
          </w:tcPr>
          <w:p>
            <w:pPr>
              <w:pStyle w:val="35"/>
              <w:bidi w:val="0"/>
              <w:rPr>
                <w:color w:val="auto"/>
              </w:rPr>
            </w:pPr>
            <w:r>
              <w:rPr>
                <w:color w:val="auto"/>
              </w:rPr>
              <w:t>稳定度条件</w:t>
            </w:r>
          </w:p>
        </w:tc>
        <w:tc>
          <w:tcPr>
            <w:tcW w:w="1666" w:type="pct"/>
            <w:noWrap w:val="0"/>
            <w:vAlign w:val="center"/>
          </w:tcPr>
          <w:p>
            <w:pPr>
              <w:pStyle w:val="35"/>
              <w:bidi w:val="0"/>
              <w:rPr>
                <w:color w:val="auto"/>
              </w:rPr>
            </w:pPr>
            <w:r>
              <w:rPr>
                <w:color w:val="auto"/>
              </w:rPr>
              <w:t>n</w:t>
            </w:r>
          </w:p>
        </w:tc>
        <w:tc>
          <w:tcPr>
            <w:tcW w:w="1666" w:type="pct"/>
            <w:noWrap w:val="0"/>
            <w:vAlign w:val="center"/>
          </w:tcPr>
          <w:p>
            <w:pPr>
              <w:pStyle w:val="35"/>
              <w:bidi w:val="0"/>
              <w:rPr>
                <w:color w:val="auto"/>
              </w:rPr>
            </w:pPr>
            <w:r>
              <w:rPr>
                <w:color w:val="auto"/>
              </w:rPr>
              <w:t>a</w:t>
            </w:r>
          </w:p>
        </w:tc>
      </w:tr>
      <w:tr>
        <w:trPr>
          <w:trHeight w:val="340" w:hRule="atLeast"/>
        </w:trPr>
        <w:tc>
          <w:tcPr>
            <w:tcW w:w="1666" w:type="pct"/>
            <w:noWrap w:val="0"/>
            <w:vAlign w:val="center"/>
          </w:tcPr>
          <w:p>
            <w:pPr>
              <w:pStyle w:val="35"/>
              <w:bidi w:val="0"/>
              <w:rPr>
                <w:color w:val="auto"/>
              </w:rPr>
            </w:pPr>
            <w:r>
              <w:rPr>
                <w:color w:val="auto"/>
              </w:rPr>
              <w:t>不稳定（A，B）</w:t>
            </w:r>
          </w:p>
        </w:tc>
        <w:tc>
          <w:tcPr>
            <w:tcW w:w="1666" w:type="pct"/>
            <w:noWrap w:val="0"/>
            <w:vAlign w:val="center"/>
          </w:tcPr>
          <w:p>
            <w:pPr>
              <w:pStyle w:val="35"/>
              <w:bidi w:val="0"/>
              <w:rPr>
                <w:color w:val="auto"/>
              </w:rPr>
            </w:pPr>
            <w:r>
              <w:rPr>
                <w:color w:val="auto"/>
              </w:rPr>
              <w:t>0.2</w:t>
            </w:r>
          </w:p>
        </w:tc>
        <w:tc>
          <w:tcPr>
            <w:tcW w:w="1666" w:type="pct"/>
            <w:noWrap w:val="0"/>
            <w:vAlign w:val="center"/>
          </w:tcPr>
          <w:p>
            <w:pPr>
              <w:pStyle w:val="35"/>
              <w:bidi w:val="0"/>
              <w:rPr>
                <w:color w:val="auto"/>
              </w:rPr>
            </w:pPr>
            <w:r>
              <w:rPr>
                <w:color w:val="auto"/>
              </w:rPr>
              <w:t>3.846×10</w:t>
            </w:r>
            <w:r>
              <w:rPr>
                <w:color w:val="auto"/>
                <w:vertAlign w:val="superscript"/>
              </w:rPr>
              <w:t>-3</w:t>
            </w:r>
          </w:p>
        </w:tc>
      </w:tr>
      <w:tr>
        <w:trPr>
          <w:trHeight w:val="340" w:hRule="atLeast"/>
        </w:trPr>
        <w:tc>
          <w:tcPr>
            <w:tcW w:w="1666" w:type="pct"/>
            <w:noWrap w:val="0"/>
            <w:vAlign w:val="center"/>
          </w:tcPr>
          <w:p>
            <w:pPr>
              <w:pStyle w:val="35"/>
              <w:bidi w:val="0"/>
              <w:rPr>
                <w:color w:val="auto"/>
              </w:rPr>
            </w:pPr>
            <w:r>
              <w:rPr>
                <w:color w:val="auto"/>
              </w:rPr>
              <w:t>中性（D）</w:t>
            </w:r>
          </w:p>
        </w:tc>
        <w:tc>
          <w:tcPr>
            <w:tcW w:w="1666" w:type="pct"/>
            <w:noWrap w:val="0"/>
            <w:vAlign w:val="center"/>
          </w:tcPr>
          <w:p>
            <w:pPr>
              <w:pStyle w:val="35"/>
              <w:bidi w:val="0"/>
              <w:rPr>
                <w:color w:val="auto"/>
              </w:rPr>
            </w:pPr>
            <w:r>
              <w:rPr>
                <w:color w:val="auto"/>
              </w:rPr>
              <w:t>0.25</w:t>
            </w:r>
          </w:p>
        </w:tc>
        <w:tc>
          <w:tcPr>
            <w:tcW w:w="1666" w:type="pct"/>
            <w:noWrap w:val="0"/>
            <w:vAlign w:val="center"/>
          </w:tcPr>
          <w:p>
            <w:pPr>
              <w:pStyle w:val="35"/>
              <w:bidi w:val="0"/>
              <w:rPr>
                <w:color w:val="auto"/>
              </w:rPr>
            </w:pPr>
            <w:r>
              <w:rPr>
                <w:color w:val="auto"/>
              </w:rPr>
              <w:t>4.685×10-</w:t>
            </w:r>
            <w:r>
              <w:rPr>
                <w:color w:val="auto"/>
                <w:vertAlign w:val="superscript"/>
              </w:rPr>
              <w:t>3</w:t>
            </w:r>
          </w:p>
        </w:tc>
      </w:tr>
      <w:tr>
        <w:trPr>
          <w:trHeight w:val="340" w:hRule="atLeast"/>
        </w:trPr>
        <w:tc>
          <w:tcPr>
            <w:tcW w:w="1666" w:type="pct"/>
            <w:noWrap w:val="0"/>
            <w:vAlign w:val="center"/>
          </w:tcPr>
          <w:p>
            <w:pPr>
              <w:pStyle w:val="35"/>
              <w:bidi w:val="0"/>
              <w:rPr>
                <w:color w:val="auto"/>
              </w:rPr>
            </w:pPr>
            <w:r>
              <w:rPr>
                <w:color w:val="auto"/>
              </w:rPr>
              <w:t>稳定（E，F）</w:t>
            </w:r>
          </w:p>
        </w:tc>
        <w:tc>
          <w:tcPr>
            <w:tcW w:w="1666" w:type="pct"/>
            <w:noWrap w:val="0"/>
            <w:vAlign w:val="center"/>
          </w:tcPr>
          <w:p>
            <w:pPr>
              <w:pStyle w:val="35"/>
              <w:bidi w:val="0"/>
              <w:rPr>
                <w:color w:val="auto"/>
              </w:rPr>
            </w:pPr>
            <w:r>
              <w:rPr>
                <w:color w:val="auto"/>
              </w:rPr>
              <w:t>0.3</w:t>
            </w:r>
          </w:p>
        </w:tc>
        <w:tc>
          <w:tcPr>
            <w:tcW w:w="1666" w:type="pct"/>
            <w:noWrap w:val="0"/>
            <w:vAlign w:val="center"/>
          </w:tcPr>
          <w:p>
            <w:pPr>
              <w:pStyle w:val="35"/>
              <w:bidi w:val="0"/>
              <w:rPr>
                <w:color w:val="auto"/>
              </w:rPr>
            </w:pPr>
            <w:r>
              <w:rPr>
                <w:color w:val="auto"/>
              </w:rPr>
              <w:t>5.285×10</w:t>
            </w:r>
            <w:r>
              <w:rPr>
                <w:color w:val="auto"/>
                <w:vertAlign w:val="superscript"/>
              </w:rPr>
              <w:t>-3</w:t>
            </w:r>
          </w:p>
        </w:tc>
      </w:tr>
    </w:tbl>
    <w:p>
      <w:pPr>
        <w:pStyle w:val="33"/>
        <w:bidi w:val="0"/>
        <w:rPr>
          <w:color w:val="auto"/>
        </w:rPr>
      </w:pPr>
      <w:r>
        <w:rPr>
          <w:color w:val="auto"/>
        </w:rPr>
        <w:t>液池最大半径取决于泄漏点附近的地域构型、泄漏的连续性和瞬时性。有围堰时，以围堰最大等效半径为液池半径。</w:t>
      </w:r>
    </w:p>
    <w:p>
      <w:pPr>
        <w:pStyle w:val="33"/>
        <w:bidi w:val="0"/>
        <w:rPr>
          <w:color w:val="auto"/>
        </w:rPr>
      </w:pPr>
      <w:r>
        <w:rPr>
          <w:color w:val="auto"/>
        </w:rPr>
        <w:t>通过计算，</w:t>
      </w:r>
      <w:r>
        <w:rPr>
          <w:rFonts w:hint="eastAsia"/>
          <w:color w:val="auto"/>
          <w:lang w:val="en-US" w:eastAsia="zh-CN"/>
        </w:rPr>
        <w:t>醋酸甲酯液</w:t>
      </w:r>
      <w:r>
        <w:rPr>
          <w:rFonts w:hint="eastAsia"/>
          <w:color w:val="auto"/>
        </w:rPr>
        <w:t>体常压下沸点，大于等于环境气温</w:t>
      </w:r>
      <w:r>
        <w:rPr>
          <w:rFonts w:hint="eastAsia"/>
          <w:color w:val="auto"/>
          <w:lang w:eastAsia="zh-CN"/>
        </w:rPr>
        <w:t>，</w:t>
      </w:r>
      <w:r>
        <w:rPr>
          <w:rFonts w:hint="eastAsia"/>
          <w:color w:val="auto"/>
        </w:rPr>
        <w:t>不会产生热量蒸发</w:t>
      </w:r>
      <w:r>
        <w:rPr>
          <w:rFonts w:hint="eastAsia"/>
          <w:color w:val="auto"/>
          <w:lang w:eastAsia="zh-CN"/>
        </w:rPr>
        <w:t>，</w:t>
      </w:r>
      <w:r>
        <w:rPr>
          <w:color w:val="auto"/>
        </w:rPr>
        <w:t>本项目</w:t>
      </w:r>
      <w:r>
        <w:rPr>
          <w:rFonts w:hint="eastAsia"/>
          <w:color w:val="auto"/>
          <w:lang w:val="en-US" w:eastAsia="zh-CN"/>
        </w:rPr>
        <w:t>醋酸甲酯</w:t>
      </w:r>
      <w:r>
        <w:rPr>
          <w:color w:val="auto"/>
        </w:rPr>
        <w:t>、甲醇挥发速率见下表。</w:t>
      </w:r>
    </w:p>
    <w:p>
      <w:pPr>
        <w:pStyle w:val="36"/>
        <w:bidi w:val="0"/>
        <w:rPr>
          <w:color w:val="auto"/>
        </w:rPr>
      </w:pPr>
      <w:r>
        <w:rPr>
          <w:color w:val="auto"/>
        </w:rPr>
        <w:t>表</w:t>
      </w:r>
      <w:r>
        <w:rPr>
          <w:rFonts w:hint="eastAsia"/>
          <w:color w:val="auto"/>
          <w:lang w:val="en-US" w:eastAsia="zh-CN"/>
        </w:rPr>
        <w:t>9</w:t>
      </w:r>
      <w:r>
        <w:rPr>
          <w:color w:val="auto"/>
        </w:rPr>
        <w:t>.5-3   泄漏量计算表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345"/>
        <w:gridCol w:w="1499"/>
        <w:gridCol w:w="1722"/>
        <w:gridCol w:w="1566"/>
        <w:gridCol w:w="20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707" w:type="pct"/>
            <w:noWrap w:val="0"/>
            <w:vAlign w:val="center"/>
          </w:tcPr>
          <w:p>
            <w:pPr>
              <w:pStyle w:val="35"/>
              <w:bidi w:val="0"/>
              <w:rPr>
                <w:color w:val="auto"/>
              </w:rPr>
            </w:pPr>
            <w:r>
              <w:rPr>
                <w:color w:val="auto"/>
              </w:rPr>
              <w:t>泄漏物质</w:t>
            </w:r>
          </w:p>
        </w:tc>
        <w:tc>
          <w:tcPr>
            <w:tcW w:w="707" w:type="pct"/>
            <w:noWrap w:val="0"/>
            <w:vAlign w:val="center"/>
          </w:tcPr>
          <w:p>
            <w:pPr>
              <w:pStyle w:val="35"/>
              <w:bidi w:val="0"/>
              <w:rPr>
                <w:color w:val="auto"/>
              </w:rPr>
            </w:pPr>
            <w:r>
              <w:rPr>
                <w:color w:val="auto"/>
              </w:rPr>
              <w:t>风速（m/s）</w:t>
            </w:r>
          </w:p>
        </w:tc>
        <w:tc>
          <w:tcPr>
            <w:tcW w:w="788" w:type="pct"/>
            <w:noWrap w:val="0"/>
            <w:vAlign w:val="center"/>
          </w:tcPr>
          <w:p>
            <w:pPr>
              <w:pStyle w:val="35"/>
              <w:bidi w:val="0"/>
              <w:rPr>
                <w:color w:val="auto"/>
              </w:rPr>
            </w:pPr>
            <w:r>
              <w:rPr>
                <w:color w:val="auto"/>
              </w:rPr>
              <w:t>泄漏时间（min）</w:t>
            </w:r>
          </w:p>
        </w:tc>
        <w:tc>
          <w:tcPr>
            <w:tcW w:w="905" w:type="pct"/>
            <w:noWrap w:val="0"/>
            <w:vAlign w:val="center"/>
          </w:tcPr>
          <w:p>
            <w:pPr>
              <w:pStyle w:val="35"/>
              <w:bidi w:val="0"/>
              <w:rPr>
                <w:color w:val="auto"/>
              </w:rPr>
            </w:pPr>
            <w:r>
              <w:rPr>
                <w:color w:val="auto"/>
              </w:rPr>
              <w:t>泄漏量（t）</w:t>
            </w:r>
          </w:p>
        </w:tc>
        <w:tc>
          <w:tcPr>
            <w:tcW w:w="823" w:type="pct"/>
            <w:noWrap w:val="0"/>
            <w:vAlign w:val="center"/>
          </w:tcPr>
          <w:p>
            <w:pPr>
              <w:pStyle w:val="35"/>
              <w:bidi w:val="0"/>
              <w:rPr>
                <w:color w:val="auto"/>
              </w:rPr>
            </w:pPr>
            <w:r>
              <w:rPr>
                <w:color w:val="auto"/>
              </w:rPr>
              <w:t>大气稳定度</w:t>
            </w:r>
          </w:p>
        </w:tc>
        <w:tc>
          <w:tcPr>
            <w:tcW w:w="1069" w:type="pct"/>
            <w:noWrap w:val="0"/>
            <w:vAlign w:val="center"/>
          </w:tcPr>
          <w:p>
            <w:pPr>
              <w:pStyle w:val="35"/>
              <w:bidi w:val="0"/>
              <w:rPr>
                <w:color w:val="auto"/>
              </w:rPr>
            </w:pPr>
            <w:r>
              <w:rPr>
                <w:color w:val="auto"/>
              </w:rPr>
              <w:t>挥发速率（kg/s）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707" w:type="pct"/>
            <w:noWrap w:val="0"/>
            <w:vAlign w:val="center"/>
          </w:tcPr>
          <w:p>
            <w:pPr>
              <w:pStyle w:val="35"/>
              <w:bidi w:val="0"/>
              <w:rPr>
                <w:rFonts w:hint="default" w:eastAsia="宋体"/>
                <w:color w:val="auto"/>
                <w:lang w:val="en-US" w:eastAsia="zh-CN"/>
              </w:rPr>
            </w:pPr>
            <w:r>
              <w:rPr>
                <w:rFonts w:hint="eastAsia"/>
                <w:color w:val="auto"/>
                <w:lang w:val="en-US" w:eastAsia="zh-CN"/>
              </w:rPr>
              <w:t>醋酸甲酯</w:t>
            </w:r>
          </w:p>
        </w:tc>
        <w:tc>
          <w:tcPr>
            <w:tcW w:w="707" w:type="pct"/>
            <w:noWrap w:val="0"/>
            <w:vAlign w:val="center"/>
          </w:tcPr>
          <w:p>
            <w:pPr>
              <w:pStyle w:val="35"/>
              <w:bidi w:val="0"/>
              <w:rPr>
                <w:color w:val="auto"/>
              </w:rPr>
            </w:pPr>
            <w:r>
              <w:rPr>
                <w:color w:val="auto"/>
              </w:rPr>
              <w:t>1.5</w:t>
            </w:r>
          </w:p>
        </w:tc>
        <w:tc>
          <w:tcPr>
            <w:tcW w:w="788" w:type="pct"/>
            <w:noWrap w:val="0"/>
            <w:vAlign w:val="center"/>
          </w:tcPr>
          <w:p>
            <w:pPr>
              <w:pStyle w:val="35"/>
              <w:bidi w:val="0"/>
              <w:rPr>
                <w:color w:val="auto"/>
              </w:rPr>
            </w:pPr>
            <w:r>
              <w:rPr>
                <w:color w:val="auto"/>
              </w:rPr>
              <w:t>30</w:t>
            </w:r>
          </w:p>
        </w:tc>
        <w:tc>
          <w:tcPr>
            <w:tcW w:w="905" w:type="pct"/>
            <w:noWrap w:val="0"/>
            <w:vAlign w:val="center"/>
          </w:tcPr>
          <w:p>
            <w:pPr>
              <w:pStyle w:val="35"/>
              <w:bidi w:val="0"/>
              <w:rPr>
                <w:color w:val="auto"/>
              </w:rPr>
            </w:pPr>
            <w:r>
              <w:rPr>
                <w:color w:val="auto"/>
              </w:rPr>
              <w:t>35.775</w:t>
            </w:r>
          </w:p>
        </w:tc>
        <w:tc>
          <w:tcPr>
            <w:tcW w:w="823" w:type="pct"/>
            <w:noWrap w:val="0"/>
            <w:vAlign w:val="center"/>
          </w:tcPr>
          <w:p>
            <w:pPr>
              <w:pStyle w:val="35"/>
              <w:bidi w:val="0"/>
              <w:rPr>
                <w:color w:val="auto"/>
              </w:rPr>
            </w:pPr>
            <w:r>
              <w:rPr>
                <w:color w:val="auto"/>
              </w:rPr>
              <w:t>F</w:t>
            </w:r>
          </w:p>
        </w:tc>
        <w:tc>
          <w:tcPr>
            <w:tcW w:w="1069" w:type="pct"/>
            <w:noWrap w:val="0"/>
            <w:vAlign w:val="center"/>
          </w:tcPr>
          <w:p>
            <w:pPr>
              <w:pStyle w:val="35"/>
              <w:bidi w:val="0"/>
              <w:rPr>
                <w:rFonts w:hint="default" w:eastAsia="宋体"/>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707" w:type="pct"/>
            <w:noWrap w:val="0"/>
            <w:vAlign w:val="center"/>
          </w:tcPr>
          <w:p>
            <w:pPr>
              <w:pStyle w:val="35"/>
              <w:bidi w:val="0"/>
              <w:rPr>
                <w:color w:val="auto"/>
              </w:rPr>
            </w:pPr>
            <w:r>
              <w:rPr>
                <w:color w:val="auto"/>
              </w:rPr>
              <w:t>甲醇</w:t>
            </w:r>
          </w:p>
        </w:tc>
        <w:tc>
          <w:tcPr>
            <w:tcW w:w="707" w:type="pct"/>
            <w:noWrap w:val="0"/>
            <w:vAlign w:val="center"/>
          </w:tcPr>
          <w:p>
            <w:pPr>
              <w:pStyle w:val="35"/>
              <w:bidi w:val="0"/>
              <w:rPr>
                <w:color w:val="auto"/>
              </w:rPr>
            </w:pPr>
            <w:r>
              <w:rPr>
                <w:color w:val="auto"/>
              </w:rPr>
              <w:t>1.5</w:t>
            </w:r>
          </w:p>
        </w:tc>
        <w:tc>
          <w:tcPr>
            <w:tcW w:w="788" w:type="pct"/>
            <w:noWrap w:val="0"/>
            <w:vAlign w:val="center"/>
          </w:tcPr>
          <w:p>
            <w:pPr>
              <w:pStyle w:val="35"/>
              <w:bidi w:val="0"/>
              <w:rPr>
                <w:color w:val="auto"/>
              </w:rPr>
            </w:pPr>
            <w:r>
              <w:rPr>
                <w:color w:val="auto"/>
              </w:rPr>
              <w:t>30</w:t>
            </w:r>
          </w:p>
        </w:tc>
        <w:tc>
          <w:tcPr>
            <w:tcW w:w="905" w:type="pct"/>
            <w:noWrap w:val="0"/>
            <w:vAlign w:val="center"/>
          </w:tcPr>
          <w:p>
            <w:pPr>
              <w:pStyle w:val="35"/>
              <w:bidi w:val="0"/>
              <w:rPr>
                <w:color w:val="auto"/>
              </w:rPr>
            </w:pPr>
            <w:r>
              <w:rPr>
                <w:color w:val="auto"/>
              </w:rPr>
              <w:t>15.444</w:t>
            </w:r>
          </w:p>
        </w:tc>
        <w:tc>
          <w:tcPr>
            <w:tcW w:w="823" w:type="pct"/>
            <w:noWrap w:val="0"/>
            <w:vAlign w:val="center"/>
          </w:tcPr>
          <w:p>
            <w:pPr>
              <w:pStyle w:val="35"/>
              <w:bidi w:val="0"/>
              <w:rPr>
                <w:color w:val="auto"/>
              </w:rPr>
            </w:pPr>
            <w:r>
              <w:rPr>
                <w:color w:val="auto"/>
              </w:rPr>
              <w:t>F</w:t>
            </w:r>
          </w:p>
        </w:tc>
        <w:tc>
          <w:tcPr>
            <w:tcW w:w="1069" w:type="pct"/>
            <w:noWrap w:val="0"/>
            <w:vAlign w:val="center"/>
          </w:tcPr>
          <w:p>
            <w:pPr>
              <w:pStyle w:val="35"/>
              <w:bidi w:val="0"/>
              <w:rPr>
                <w:rFonts w:hint="default" w:eastAsia="宋体"/>
                <w:color w:val="auto"/>
                <w:lang w:val="en-US" w:eastAsia="zh-CN"/>
              </w:rPr>
            </w:pPr>
            <w:r>
              <w:rPr>
                <w:rFonts w:hint="eastAsia"/>
                <w:color w:val="auto"/>
                <w:lang w:val="en-US" w:eastAsia="zh-CN"/>
              </w:rPr>
              <w:t>1.75</w:t>
            </w:r>
          </w:p>
        </w:tc>
      </w:tr>
    </w:tbl>
    <w:p>
      <w:pPr>
        <w:pStyle w:val="32"/>
        <w:bidi w:val="0"/>
        <w:rPr>
          <w:color w:val="auto"/>
        </w:rPr>
      </w:pPr>
      <w:bookmarkStart w:id="345" w:name="_Toc3671"/>
      <w:bookmarkStart w:id="346" w:name="_Toc41310126"/>
      <w:r>
        <w:rPr>
          <w:rFonts w:hint="eastAsia"/>
          <w:color w:val="auto"/>
          <w:lang w:val="en-US" w:eastAsia="zh-CN"/>
        </w:rPr>
        <w:t>9</w:t>
      </w:r>
      <w:r>
        <w:rPr>
          <w:color w:val="auto"/>
        </w:rPr>
        <w:t>.5.3火灾伴生CO源强</w:t>
      </w:r>
    </w:p>
    <w:p>
      <w:pPr>
        <w:pStyle w:val="33"/>
        <w:bidi w:val="0"/>
        <w:rPr>
          <w:rFonts w:hint="eastAsia"/>
          <w:color w:val="auto"/>
        </w:rPr>
      </w:pPr>
      <w:r>
        <w:rPr>
          <w:rFonts w:hint="eastAsia"/>
          <w:color w:val="auto"/>
        </w:rPr>
        <w:t>本项目涉及易燃物质有甲醇、</w:t>
      </w:r>
      <w:r>
        <w:rPr>
          <w:rFonts w:hint="eastAsia"/>
          <w:color w:val="auto"/>
          <w:lang w:val="en-US" w:eastAsia="zh-CN"/>
        </w:rPr>
        <w:t>醋酸甲酯</w:t>
      </w:r>
      <w:r>
        <w:rPr>
          <w:rFonts w:hint="eastAsia"/>
          <w:color w:val="auto"/>
        </w:rPr>
        <w:t>、</w:t>
      </w:r>
      <w:r>
        <w:rPr>
          <w:rFonts w:hint="eastAsia"/>
          <w:color w:val="auto"/>
          <w:lang w:val="en-US" w:eastAsia="zh-CN"/>
        </w:rPr>
        <w:t>乙酸</w:t>
      </w:r>
      <w:r>
        <w:rPr>
          <w:rFonts w:hint="eastAsia"/>
          <w:color w:val="auto"/>
        </w:rPr>
        <w:t>等，本次火灾伴生产生的CO源强选取项目最大暂存量的易燃物质，根据分析，本项目最大暂存量的易燃物质为</w:t>
      </w:r>
      <w:r>
        <w:rPr>
          <w:rFonts w:hint="eastAsia"/>
          <w:color w:val="auto"/>
          <w:lang w:val="en-US" w:eastAsia="zh-CN"/>
        </w:rPr>
        <w:t>醋酸甲酯</w:t>
      </w:r>
      <w:r>
        <w:rPr>
          <w:rFonts w:hint="eastAsia"/>
          <w:color w:val="auto"/>
        </w:rPr>
        <w:t>。</w:t>
      </w:r>
    </w:p>
    <w:p>
      <w:pPr>
        <w:pStyle w:val="33"/>
        <w:bidi w:val="0"/>
        <w:rPr>
          <w:color w:val="auto"/>
        </w:rPr>
      </w:pPr>
      <w:r>
        <w:rPr>
          <w:color w:val="auto"/>
        </w:rPr>
        <w:t>根据火灾伴生/次生一氧化碳产生量按下式计算：</w:t>
      </w:r>
    </w:p>
    <w:p>
      <w:pPr>
        <w:pStyle w:val="33"/>
        <w:bidi w:val="0"/>
        <w:rPr>
          <w:color w:val="auto"/>
        </w:rPr>
      </w:pPr>
      <w:r>
        <w:rPr>
          <w:color w:val="auto"/>
        </w:rPr>
        <w:drawing>
          <wp:inline distT="0" distB="0" distL="114300" distR="114300">
            <wp:extent cx="1733550" cy="294640"/>
            <wp:effectExtent l="0" t="0" r="0" b="10160"/>
            <wp:docPr id="3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3"/>
                    <pic:cNvPicPr>
                      <a:picLocks noChangeAspect="1"/>
                    </pic:cNvPicPr>
                  </pic:nvPicPr>
                  <pic:blipFill>
                    <a:blip r:embed="rId76"/>
                    <a:stretch>
                      <a:fillRect/>
                    </a:stretch>
                  </pic:blipFill>
                  <pic:spPr>
                    <a:xfrm>
                      <a:off x="0" y="0"/>
                      <a:ext cx="1733550" cy="294640"/>
                    </a:xfrm>
                    <a:prstGeom prst="rect">
                      <a:avLst/>
                    </a:prstGeom>
                    <a:noFill/>
                    <a:ln>
                      <a:noFill/>
                    </a:ln>
                  </pic:spPr>
                </pic:pic>
              </a:graphicData>
            </a:graphic>
          </wp:inline>
        </w:drawing>
      </w:r>
    </w:p>
    <w:p>
      <w:pPr>
        <w:pStyle w:val="33"/>
        <w:bidi w:val="0"/>
        <w:rPr>
          <w:rFonts w:hint="eastAsia"/>
          <w:color w:val="auto"/>
        </w:rPr>
      </w:pPr>
      <w:r>
        <w:rPr>
          <w:color w:val="auto"/>
        </w:rPr>
        <w:t>式中：</w:t>
      </w:r>
    </w:p>
    <w:p>
      <w:pPr>
        <w:pStyle w:val="33"/>
        <w:bidi w:val="0"/>
        <w:rPr>
          <w:rFonts w:hint="eastAsia"/>
          <w:color w:val="auto"/>
        </w:rPr>
      </w:pPr>
      <w:r>
        <w:rPr>
          <w:color w:val="auto"/>
        </w:rPr>
        <w:t>G一氧化碳——一氧化碳的产生量，kg/s；</w:t>
      </w:r>
    </w:p>
    <w:p>
      <w:pPr>
        <w:pStyle w:val="33"/>
        <w:bidi w:val="0"/>
        <w:rPr>
          <w:rFonts w:hint="eastAsia"/>
          <w:color w:val="auto"/>
        </w:rPr>
      </w:pPr>
      <w:r>
        <w:rPr>
          <w:color w:val="auto"/>
        </w:rPr>
        <w:t>C——物质中碳的含量，取</w:t>
      </w:r>
      <w:r>
        <w:rPr>
          <w:rFonts w:hint="eastAsia"/>
          <w:color w:val="auto"/>
        </w:rPr>
        <w:t>49.3</w:t>
      </w:r>
      <w:r>
        <w:rPr>
          <w:color w:val="auto"/>
        </w:rPr>
        <w:t>%；</w:t>
      </w:r>
    </w:p>
    <w:p>
      <w:pPr>
        <w:pStyle w:val="33"/>
        <w:bidi w:val="0"/>
        <w:rPr>
          <w:rFonts w:hint="eastAsia"/>
          <w:color w:val="auto"/>
        </w:rPr>
      </w:pPr>
      <w:r>
        <w:rPr>
          <w:color w:val="auto"/>
        </w:rPr>
        <w:t>q——化学不完全燃烧值，取1.5%~6.0%；</w:t>
      </w:r>
    </w:p>
    <w:p>
      <w:pPr>
        <w:pStyle w:val="33"/>
        <w:bidi w:val="0"/>
        <w:rPr>
          <w:rFonts w:hint="eastAsia" w:eastAsia="宋体"/>
          <w:color w:val="auto"/>
          <w:lang w:eastAsia="zh-CN"/>
        </w:rPr>
      </w:pPr>
      <w:r>
        <w:rPr>
          <w:color w:val="auto"/>
        </w:rPr>
        <w:t>Q——参与燃烧的物质量，t/s（指泄露物质的量）</w:t>
      </w:r>
      <w:r>
        <w:rPr>
          <w:rFonts w:hint="eastAsia"/>
          <w:color w:val="auto"/>
          <w:lang w:eastAsia="zh-CN"/>
        </w:rPr>
        <w:t>。</w:t>
      </w:r>
    </w:p>
    <w:p>
      <w:pPr>
        <w:pStyle w:val="36"/>
        <w:bidi w:val="0"/>
        <w:rPr>
          <w:color w:val="auto"/>
        </w:rPr>
      </w:pPr>
      <w:r>
        <w:rPr>
          <w:color w:val="auto"/>
        </w:rPr>
        <w:t>表</w:t>
      </w:r>
      <w:r>
        <w:rPr>
          <w:rFonts w:hint="eastAsia"/>
          <w:color w:val="auto"/>
          <w:lang w:val="en-US" w:eastAsia="zh-CN"/>
        </w:rPr>
        <w:t>9</w:t>
      </w:r>
      <w:r>
        <w:rPr>
          <w:color w:val="auto"/>
        </w:rPr>
        <w:t>.5-4   火灾伴生CO源强计算表</w:t>
      </w:r>
    </w:p>
    <w:tbl>
      <w:tblPr>
        <w:tblStyle w:val="2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63"/>
        <w:gridCol w:w="55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083" w:type="pct"/>
            <w:tcBorders>
              <w:tl2br w:val="nil"/>
              <w:tr2bl w:val="nil"/>
            </w:tcBorders>
            <w:noWrap w:val="0"/>
            <w:vAlign w:val="center"/>
          </w:tcPr>
          <w:p>
            <w:pPr>
              <w:pStyle w:val="35"/>
              <w:bidi w:val="0"/>
              <w:rPr>
                <w:color w:val="auto"/>
                <w:lang w:eastAsia="zh-CN"/>
              </w:rPr>
            </w:pPr>
            <w:r>
              <w:rPr>
                <w:color w:val="auto"/>
                <w:lang w:eastAsia="zh-CN"/>
              </w:rPr>
              <w:t>计算参数</w:t>
            </w:r>
          </w:p>
        </w:tc>
        <w:tc>
          <w:tcPr>
            <w:tcW w:w="2916" w:type="pct"/>
            <w:tcBorders>
              <w:tl2br w:val="nil"/>
              <w:tr2bl w:val="nil"/>
            </w:tcBorders>
            <w:noWrap w:val="0"/>
            <w:vAlign w:val="center"/>
          </w:tcPr>
          <w:p>
            <w:pPr>
              <w:pStyle w:val="35"/>
              <w:bidi w:val="0"/>
              <w:rPr>
                <w:color w:val="auto"/>
                <w:lang w:eastAsia="zh-CN"/>
              </w:rPr>
            </w:pPr>
            <w:r>
              <w:rPr>
                <w:rFonts w:hint="eastAsia"/>
                <w:color w:val="auto"/>
                <w:lang w:val="en-US" w:eastAsia="zh-CN"/>
              </w:rPr>
              <w:t>醋酸甲酯</w:t>
            </w:r>
            <w:r>
              <w:rPr>
                <w:rFonts w:hint="eastAsia"/>
                <w:color w:val="auto"/>
                <w:lang w:eastAsia="zh-CN"/>
              </w:rPr>
              <w:t>储</w:t>
            </w:r>
            <w:r>
              <w:rPr>
                <w:color w:val="auto"/>
                <w:lang w:eastAsia="zh-CN"/>
              </w:rPr>
              <w:t>罐爆炸火灾伴生CO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083" w:type="pct"/>
            <w:tcBorders>
              <w:tl2br w:val="nil"/>
              <w:tr2bl w:val="nil"/>
            </w:tcBorders>
            <w:noWrap w:val="0"/>
            <w:vAlign w:val="center"/>
          </w:tcPr>
          <w:p>
            <w:pPr>
              <w:pStyle w:val="35"/>
              <w:bidi w:val="0"/>
              <w:rPr>
                <w:color w:val="auto"/>
                <w:lang w:eastAsia="zh-CN"/>
              </w:rPr>
            </w:pPr>
            <w:r>
              <w:rPr>
                <w:color w:val="auto"/>
                <w:lang w:eastAsia="zh-CN"/>
              </w:rPr>
              <w:t>物质含碳量</w:t>
            </w:r>
          </w:p>
        </w:tc>
        <w:tc>
          <w:tcPr>
            <w:tcW w:w="2916" w:type="pct"/>
            <w:tcBorders>
              <w:tl2br w:val="nil"/>
              <w:tr2bl w:val="nil"/>
            </w:tcBorders>
            <w:noWrap w:val="0"/>
            <w:vAlign w:val="center"/>
          </w:tcPr>
          <w:p>
            <w:pPr>
              <w:pStyle w:val="35"/>
              <w:bidi w:val="0"/>
              <w:rPr>
                <w:color w:val="auto"/>
                <w:lang w:eastAsia="zh-CN"/>
              </w:rPr>
            </w:pPr>
            <w:r>
              <w:rPr>
                <w:rFonts w:hint="eastAsia"/>
                <w:color w:val="auto"/>
                <w:lang w:eastAsia="zh-CN"/>
              </w:rPr>
              <w:t>49.3</w:t>
            </w:r>
            <w:r>
              <w:rPr>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083" w:type="pct"/>
            <w:tcBorders>
              <w:tl2br w:val="nil"/>
              <w:tr2bl w:val="nil"/>
            </w:tcBorders>
            <w:noWrap w:val="0"/>
            <w:vAlign w:val="center"/>
          </w:tcPr>
          <w:p>
            <w:pPr>
              <w:pStyle w:val="35"/>
              <w:bidi w:val="0"/>
              <w:rPr>
                <w:color w:val="auto"/>
                <w:lang w:eastAsia="zh-CN"/>
              </w:rPr>
            </w:pPr>
            <w:r>
              <w:rPr>
                <w:color w:val="auto"/>
                <w:lang w:eastAsia="zh-CN"/>
              </w:rPr>
              <w:t>化学不完全燃烧值</w:t>
            </w:r>
          </w:p>
        </w:tc>
        <w:tc>
          <w:tcPr>
            <w:tcW w:w="2916" w:type="pct"/>
            <w:tcBorders>
              <w:tl2br w:val="nil"/>
              <w:tr2bl w:val="nil"/>
            </w:tcBorders>
            <w:noWrap w:val="0"/>
            <w:vAlign w:val="center"/>
          </w:tcPr>
          <w:p>
            <w:pPr>
              <w:pStyle w:val="35"/>
              <w:bidi w:val="0"/>
              <w:rPr>
                <w:color w:val="auto"/>
                <w:lang w:eastAsia="zh-CN"/>
              </w:rPr>
            </w:pPr>
            <w:r>
              <w:rPr>
                <w:color w:val="auto"/>
                <w:lang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083" w:type="pct"/>
            <w:tcBorders>
              <w:tl2br w:val="nil"/>
              <w:tr2bl w:val="nil"/>
            </w:tcBorders>
            <w:noWrap w:val="0"/>
            <w:vAlign w:val="center"/>
          </w:tcPr>
          <w:p>
            <w:pPr>
              <w:pStyle w:val="35"/>
              <w:bidi w:val="0"/>
              <w:rPr>
                <w:color w:val="auto"/>
                <w:lang w:eastAsia="zh-CN"/>
              </w:rPr>
            </w:pPr>
            <w:r>
              <w:rPr>
                <w:color w:val="auto"/>
                <w:lang w:eastAsia="zh-CN"/>
              </w:rPr>
              <w:t>燃烧物质量</w:t>
            </w:r>
          </w:p>
        </w:tc>
        <w:tc>
          <w:tcPr>
            <w:tcW w:w="2916" w:type="pct"/>
            <w:tcBorders>
              <w:tl2br w:val="nil"/>
              <w:tr2bl w:val="nil"/>
            </w:tcBorders>
            <w:noWrap w:val="0"/>
            <w:vAlign w:val="center"/>
          </w:tcPr>
          <w:p>
            <w:pPr>
              <w:pStyle w:val="35"/>
              <w:bidi w:val="0"/>
              <w:rPr>
                <w:color w:val="auto"/>
                <w:lang w:eastAsia="zh-CN"/>
              </w:rPr>
            </w:pPr>
            <w:r>
              <w:rPr>
                <w:rFonts w:hint="eastAsia"/>
                <w:color w:val="auto"/>
                <w:lang w:eastAsia="zh-CN"/>
              </w:rPr>
              <w:t>0.0133</w:t>
            </w:r>
            <w:r>
              <w:rPr>
                <w:color w:val="auto"/>
                <w:lang w:eastAsia="zh-CN"/>
              </w:rPr>
              <w:t>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083" w:type="pct"/>
            <w:tcBorders>
              <w:tl2br w:val="nil"/>
              <w:tr2bl w:val="nil"/>
            </w:tcBorders>
            <w:noWrap w:val="0"/>
            <w:vAlign w:val="center"/>
          </w:tcPr>
          <w:p>
            <w:pPr>
              <w:pStyle w:val="35"/>
              <w:bidi w:val="0"/>
              <w:rPr>
                <w:color w:val="auto"/>
                <w:lang w:eastAsia="zh-CN"/>
              </w:rPr>
            </w:pPr>
            <w:r>
              <w:rPr>
                <w:color w:val="auto"/>
                <w:lang w:eastAsia="zh-CN"/>
              </w:rPr>
              <w:t>产生量</w:t>
            </w:r>
          </w:p>
        </w:tc>
        <w:tc>
          <w:tcPr>
            <w:tcW w:w="2916" w:type="pct"/>
            <w:tcBorders>
              <w:tl2br w:val="nil"/>
              <w:tr2bl w:val="nil"/>
            </w:tcBorders>
            <w:noWrap w:val="0"/>
            <w:vAlign w:val="center"/>
          </w:tcPr>
          <w:p>
            <w:pPr>
              <w:pStyle w:val="35"/>
              <w:bidi w:val="0"/>
              <w:rPr>
                <w:color w:val="auto"/>
                <w:lang w:val="en-US" w:eastAsia="zh-CN"/>
              </w:rPr>
            </w:pPr>
            <w:r>
              <w:rPr>
                <w:rFonts w:hint="eastAsia"/>
                <w:color w:val="auto"/>
                <w:lang w:val="en-US" w:eastAsia="zh-CN"/>
              </w:rPr>
              <w:t>0.917</w:t>
            </w:r>
            <w:r>
              <w:rPr>
                <w:color w:val="auto"/>
                <w:lang w:val="en-US" w:eastAsia="zh-CN"/>
              </w:rPr>
              <w:t>kg/s</w:t>
            </w:r>
          </w:p>
        </w:tc>
      </w:tr>
    </w:tbl>
    <w:p>
      <w:pPr>
        <w:pStyle w:val="33"/>
        <w:bidi w:val="0"/>
        <w:rPr>
          <w:rFonts w:hint="eastAsia"/>
          <w:b/>
          <w:bCs/>
          <w:color w:val="auto"/>
          <w:u w:val="none"/>
        </w:rPr>
      </w:pPr>
      <w:r>
        <w:rPr>
          <w:rFonts w:hint="eastAsia"/>
          <w:b/>
          <w:bCs/>
          <w:color w:val="auto"/>
          <w:u w:val="none"/>
        </w:rPr>
        <w:t>注：燃烧物质量按单个</w:t>
      </w:r>
      <w:r>
        <w:rPr>
          <w:rFonts w:hint="eastAsia"/>
          <w:b/>
          <w:bCs/>
          <w:color w:val="auto"/>
          <w:u w:val="none"/>
          <w:lang w:val="en-US" w:eastAsia="zh-CN"/>
        </w:rPr>
        <w:t>醋酸甲酯</w:t>
      </w:r>
      <w:r>
        <w:rPr>
          <w:rFonts w:hint="eastAsia"/>
          <w:b/>
          <w:bCs/>
          <w:color w:val="auto"/>
          <w:u w:val="none"/>
        </w:rPr>
        <w:t>储</w:t>
      </w:r>
      <w:r>
        <w:rPr>
          <w:b/>
          <w:bCs/>
          <w:color w:val="auto"/>
          <w:u w:val="none"/>
        </w:rPr>
        <w:t>罐</w:t>
      </w:r>
      <w:r>
        <w:rPr>
          <w:rFonts w:hint="eastAsia"/>
          <w:b/>
          <w:bCs/>
          <w:color w:val="auto"/>
          <w:u w:val="none"/>
        </w:rPr>
        <w:t>60min燃烧完全考虑。</w:t>
      </w:r>
    </w:p>
    <w:p>
      <w:pPr>
        <w:pStyle w:val="31"/>
        <w:bidi w:val="0"/>
        <w:rPr>
          <w:color w:val="auto"/>
        </w:rPr>
      </w:pPr>
      <w:bookmarkStart w:id="347" w:name="_Toc30115"/>
      <w:r>
        <w:rPr>
          <w:rFonts w:hint="eastAsia"/>
          <w:color w:val="auto"/>
          <w:lang w:val="en-US" w:eastAsia="zh-CN"/>
        </w:rPr>
        <w:t>9</w:t>
      </w:r>
      <w:r>
        <w:rPr>
          <w:color w:val="auto"/>
        </w:rPr>
        <w:t>.6风险预测与评价</w:t>
      </w:r>
      <w:bookmarkEnd w:id="345"/>
      <w:bookmarkEnd w:id="346"/>
      <w:bookmarkEnd w:id="347"/>
    </w:p>
    <w:p>
      <w:pPr>
        <w:pStyle w:val="32"/>
        <w:bidi w:val="0"/>
        <w:rPr>
          <w:color w:val="auto"/>
        </w:rPr>
      </w:pPr>
      <w:r>
        <w:rPr>
          <w:rFonts w:hint="eastAsia"/>
          <w:color w:val="auto"/>
          <w:lang w:val="en-US" w:eastAsia="zh-CN"/>
        </w:rPr>
        <w:t>9</w:t>
      </w:r>
      <w:r>
        <w:rPr>
          <w:color w:val="auto"/>
        </w:rPr>
        <w:t>.6.1大气环境风险影响分析</w:t>
      </w:r>
    </w:p>
    <w:p>
      <w:pPr>
        <w:pStyle w:val="33"/>
        <w:bidi w:val="0"/>
        <w:rPr>
          <w:color w:val="auto"/>
        </w:rPr>
      </w:pPr>
      <w:r>
        <w:rPr>
          <w:color w:val="auto"/>
        </w:rPr>
        <w:t>采用风险导则附录G中G.2推荐的理查德数Ri用为标准判断</w:t>
      </w:r>
      <w:r>
        <w:rPr>
          <w:rFonts w:hint="eastAsia"/>
          <w:color w:val="auto"/>
          <w:lang w:val="en-US" w:eastAsia="zh-CN"/>
        </w:rPr>
        <w:t>醋酸甲酯、甲醇</w:t>
      </w:r>
      <w:r>
        <w:rPr>
          <w:rFonts w:hint="eastAsia"/>
          <w:color w:val="auto"/>
        </w:rPr>
        <w:t>、火灾爆炸伴生CO</w:t>
      </w:r>
      <w:r>
        <w:rPr>
          <w:color w:val="auto"/>
        </w:rPr>
        <w:t>是否为重质气体。Ri的概念公式为：</w:t>
      </w:r>
    </w:p>
    <w:p>
      <w:pPr>
        <w:pStyle w:val="33"/>
        <w:bidi w:val="0"/>
        <w:rPr>
          <w:color w:val="auto"/>
        </w:rPr>
      </w:pPr>
      <w:r>
        <w:rPr>
          <w:color w:val="auto"/>
        </w:rPr>
        <w:drawing>
          <wp:inline distT="0" distB="0" distL="114300" distR="114300">
            <wp:extent cx="1677670" cy="453390"/>
            <wp:effectExtent l="0" t="0" r="17780" b="3810"/>
            <wp:docPr id="3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4"/>
                    <pic:cNvPicPr>
                      <a:picLocks noChangeAspect="1"/>
                    </pic:cNvPicPr>
                  </pic:nvPicPr>
                  <pic:blipFill>
                    <a:blip r:embed="rId77"/>
                    <a:stretch>
                      <a:fillRect/>
                    </a:stretch>
                  </pic:blipFill>
                  <pic:spPr>
                    <a:xfrm>
                      <a:off x="0" y="0"/>
                      <a:ext cx="1677670" cy="453390"/>
                    </a:xfrm>
                    <a:prstGeom prst="rect">
                      <a:avLst/>
                    </a:prstGeom>
                    <a:noFill/>
                    <a:ln>
                      <a:noFill/>
                    </a:ln>
                  </pic:spPr>
                </pic:pic>
              </a:graphicData>
            </a:graphic>
          </wp:inline>
        </w:drawing>
      </w:r>
    </w:p>
    <w:p>
      <w:pPr>
        <w:pStyle w:val="33"/>
        <w:bidi w:val="0"/>
        <w:rPr>
          <w:color w:val="auto"/>
        </w:rPr>
      </w:pPr>
      <w:r>
        <w:rPr>
          <w:color w:val="auto"/>
        </w:rPr>
        <w:t>Ri是个流体动力学参数。根据不同的排放性质，理查德森数的计算公式不同。一般地，依据排放类型，理查得森数的计算分连续排放、瞬时排放两种形式：</w:t>
      </w:r>
    </w:p>
    <w:p>
      <w:pPr>
        <w:pStyle w:val="33"/>
        <w:bidi w:val="0"/>
        <w:rPr>
          <w:color w:val="auto"/>
        </w:rPr>
      </w:pPr>
      <w:r>
        <w:rPr>
          <w:color w:val="auto"/>
        </w:rPr>
        <w:t>连续排放：</w:t>
      </w:r>
    </w:p>
    <w:p>
      <w:pPr>
        <w:pStyle w:val="33"/>
        <w:bidi w:val="0"/>
        <w:rPr>
          <w:color w:val="auto"/>
        </w:rPr>
      </w:pPr>
      <w:r>
        <w:rPr>
          <w:color w:val="auto"/>
        </w:rPr>
        <w:drawing>
          <wp:inline distT="0" distB="0" distL="114300" distR="114300">
            <wp:extent cx="2934335" cy="810895"/>
            <wp:effectExtent l="0" t="0" r="18415" b="8255"/>
            <wp:docPr id="3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5"/>
                    <pic:cNvPicPr>
                      <a:picLocks noChangeAspect="1"/>
                    </pic:cNvPicPr>
                  </pic:nvPicPr>
                  <pic:blipFill>
                    <a:blip r:embed="rId78"/>
                    <a:stretch>
                      <a:fillRect/>
                    </a:stretch>
                  </pic:blipFill>
                  <pic:spPr>
                    <a:xfrm>
                      <a:off x="0" y="0"/>
                      <a:ext cx="2934335" cy="810895"/>
                    </a:xfrm>
                    <a:prstGeom prst="rect">
                      <a:avLst/>
                    </a:prstGeom>
                    <a:noFill/>
                    <a:ln>
                      <a:noFill/>
                    </a:ln>
                  </pic:spPr>
                </pic:pic>
              </a:graphicData>
            </a:graphic>
          </wp:inline>
        </w:drawing>
      </w:r>
    </w:p>
    <w:p>
      <w:pPr>
        <w:pStyle w:val="33"/>
        <w:bidi w:val="0"/>
        <w:rPr>
          <w:color w:val="auto"/>
        </w:rPr>
      </w:pPr>
      <w:r>
        <w:rPr>
          <w:color w:val="auto"/>
        </w:rPr>
        <w:t>瞬时排放：</w:t>
      </w:r>
    </w:p>
    <w:p>
      <w:pPr>
        <w:pStyle w:val="33"/>
        <w:bidi w:val="0"/>
        <w:rPr>
          <w:color w:val="auto"/>
        </w:rPr>
      </w:pPr>
      <w:r>
        <w:rPr>
          <w:color w:val="auto"/>
        </w:rPr>
        <w:drawing>
          <wp:inline distT="0" distB="0" distL="114300" distR="114300">
            <wp:extent cx="2512695" cy="636270"/>
            <wp:effectExtent l="0" t="0" r="1905" b="11430"/>
            <wp:docPr id="3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6"/>
                    <pic:cNvPicPr>
                      <a:picLocks noChangeAspect="1"/>
                    </pic:cNvPicPr>
                  </pic:nvPicPr>
                  <pic:blipFill>
                    <a:blip r:embed="rId79"/>
                    <a:stretch>
                      <a:fillRect/>
                    </a:stretch>
                  </pic:blipFill>
                  <pic:spPr>
                    <a:xfrm>
                      <a:off x="0" y="0"/>
                      <a:ext cx="2512695" cy="636270"/>
                    </a:xfrm>
                    <a:prstGeom prst="rect">
                      <a:avLst/>
                    </a:prstGeom>
                    <a:noFill/>
                    <a:ln>
                      <a:noFill/>
                    </a:ln>
                  </pic:spPr>
                </pic:pic>
              </a:graphicData>
            </a:graphic>
          </wp:inline>
        </w:drawing>
      </w:r>
    </w:p>
    <w:p>
      <w:pPr>
        <w:pStyle w:val="33"/>
        <w:bidi w:val="0"/>
        <w:rPr>
          <w:color w:val="auto"/>
        </w:rPr>
      </w:pPr>
      <w:r>
        <w:rPr>
          <w:color w:val="auto"/>
        </w:rPr>
        <w:t>式中：</w:t>
      </w:r>
    </w:p>
    <w:p>
      <w:pPr>
        <w:pStyle w:val="33"/>
        <w:bidi w:val="0"/>
        <w:rPr>
          <w:color w:val="auto"/>
        </w:rPr>
      </w:pPr>
      <w:r>
        <w:rPr>
          <w:color w:val="auto"/>
        </w:rPr>
        <w:t>ρrel——排放物质进入大气的初始密度，kg/m</w:t>
      </w:r>
      <w:r>
        <w:rPr>
          <w:color w:val="auto"/>
          <w:vertAlign w:val="superscript"/>
        </w:rPr>
        <w:t>3</w:t>
      </w:r>
      <w:r>
        <w:rPr>
          <w:color w:val="auto"/>
        </w:rPr>
        <w:t>；</w:t>
      </w:r>
    </w:p>
    <w:p>
      <w:pPr>
        <w:pStyle w:val="33"/>
        <w:bidi w:val="0"/>
        <w:rPr>
          <w:color w:val="auto"/>
        </w:rPr>
      </w:pPr>
      <w:r>
        <w:rPr>
          <w:color w:val="auto"/>
        </w:rPr>
        <w:t>ρa——环境空气密度，kg/m</w:t>
      </w:r>
      <w:r>
        <w:rPr>
          <w:color w:val="auto"/>
          <w:vertAlign w:val="superscript"/>
        </w:rPr>
        <w:t>3</w:t>
      </w:r>
      <w:r>
        <w:rPr>
          <w:color w:val="auto"/>
        </w:rPr>
        <w:t>；</w:t>
      </w:r>
    </w:p>
    <w:p>
      <w:pPr>
        <w:pStyle w:val="33"/>
        <w:bidi w:val="0"/>
        <w:rPr>
          <w:color w:val="auto"/>
        </w:rPr>
      </w:pPr>
      <w:r>
        <w:rPr>
          <w:color w:val="auto"/>
        </w:rPr>
        <w:t>Q——连续排放烟羽的排放速率，kg/s；</w:t>
      </w:r>
    </w:p>
    <w:p>
      <w:pPr>
        <w:pStyle w:val="33"/>
        <w:bidi w:val="0"/>
        <w:rPr>
          <w:color w:val="auto"/>
        </w:rPr>
      </w:pPr>
      <w:r>
        <w:rPr>
          <w:color w:val="auto"/>
        </w:rPr>
        <w:t>Qt——瞬时排放的物质质量，kg；</w:t>
      </w:r>
    </w:p>
    <w:p>
      <w:pPr>
        <w:pStyle w:val="33"/>
        <w:bidi w:val="0"/>
        <w:rPr>
          <w:color w:val="auto"/>
        </w:rPr>
      </w:pPr>
      <w:r>
        <w:rPr>
          <w:color w:val="auto"/>
        </w:rPr>
        <w:t>Drel——初始的烟团宽度，即源直径，m；</w:t>
      </w:r>
    </w:p>
    <w:p>
      <w:pPr>
        <w:pStyle w:val="33"/>
        <w:bidi w:val="0"/>
        <w:rPr>
          <w:color w:val="auto"/>
        </w:rPr>
      </w:pPr>
      <w:r>
        <w:rPr>
          <w:color w:val="auto"/>
        </w:rPr>
        <w:t>Ur—10m高处风速，m/s。</w:t>
      </w:r>
    </w:p>
    <w:p>
      <w:pPr>
        <w:pStyle w:val="33"/>
        <w:bidi w:val="0"/>
        <w:rPr>
          <w:color w:val="auto"/>
        </w:rPr>
      </w:pPr>
      <w:r>
        <w:rPr>
          <w:color w:val="auto"/>
        </w:rPr>
        <w:t>判定连续排放还是瞬时排放，可以通过对比排放时间Td和污染物到达最近的受体点（网格点或敏感点）的时间T确定。</w:t>
      </w:r>
    </w:p>
    <w:p>
      <w:pPr>
        <w:pStyle w:val="33"/>
        <w:bidi w:val="0"/>
        <w:rPr>
          <w:color w:val="auto"/>
        </w:rPr>
      </w:pPr>
      <w:r>
        <w:rPr>
          <w:color w:val="auto"/>
          <w:position w:val="-30"/>
        </w:rPr>
        <w:object>
          <v:shape id="_x0000_i1043" o:spt="75" type="#_x0000_t75" style="height:35.45pt;width:41.9pt;" o:ole="t" filled="f" o:preferrelative="t" stroked="f" coordsize="21600,21600">
            <v:path/>
            <v:fill on="f" focussize="0,0"/>
            <v:stroke on="f"/>
            <v:imagedata r:id="rId81" o:title=""/>
            <o:lock v:ext="edit" aspectratio="t"/>
            <w10:wrap type="none"/>
            <w10:anchorlock/>
          </v:shape>
          <o:OLEObject Type="Embed" ProgID="Equation.DSMT4" ShapeID="_x0000_i1043" DrawAspect="Content" ObjectID="_1468075743" r:id="rId80">
            <o:LockedField>false</o:LockedField>
          </o:OLEObject>
        </w:object>
      </w:r>
    </w:p>
    <w:p>
      <w:pPr>
        <w:pStyle w:val="33"/>
        <w:bidi w:val="0"/>
        <w:rPr>
          <w:color w:val="auto"/>
        </w:rPr>
      </w:pPr>
      <w:r>
        <w:rPr>
          <w:color w:val="auto"/>
        </w:rPr>
        <w:t>式中：</w:t>
      </w:r>
    </w:p>
    <w:p>
      <w:pPr>
        <w:pStyle w:val="33"/>
        <w:bidi w:val="0"/>
        <w:rPr>
          <w:color w:val="auto"/>
        </w:rPr>
      </w:pPr>
      <w:r>
        <w:rPr>
          <w:color w:val="auto"/>
        </w:rPr>
        <w:t>X——事故发生地与计算点的距离，m，取网格点间距50m；</w:t>
      </w:r>
    </w:p>
    <w:p>
      <w:pPr>
        <w:pStyle w:val="33"/>
        <w:bidi w:val="0"/>
        <w:rPr>
          <w:color w:val="auto"/>
        </w:rPr>
      </w:pPr>
      <w:r>
        <w:rPr>
          <w:color w:val="auto"/>
        </w:rPr>
        <w:t>Ur——10m高处风速，m/s。假设风速和风向在T时间段内保持不变，按导则推荐最不利风速1.5m/s取值。</w:t>
      </w:r>
    </w:p>
    <w:p>
      <w:pPr>
        <w:pStyle w:val="33"/>
        <w:bidi w:val="0"/>
        <w:rPr>
          <w:color w:val="auto"/>
        </w:rPr>
      </w:pPr>
      <w:r>
        <w:rPr>
          <w:color w:val="auto"/>
        </w:rPr>
        <w:t>当Td＞T时，可被认为是连续排放；当Td≤T时，可被认为是瞬时排放。</w:t>
      </w:r>
    </w:p>
    <w:p>
      <w:pPr>
        <w:pStyle w:val="33"/>
        <w:bidi w:val="0"/>
        <w:rPr>
          <w:color w:val="auto"/>
        </w:rPr>
      </w:pPr>
      <w:r>
        <w:rPr>
          <w:color w:val="auto"/>
        </w:rPr>
        <w:t>对于连续排放，Ri≥1/6为重质气体，Ri＜1/6为轻质气体；对于瞬时排放，Ri＞0.04为重质气体，Ri≤0.04为轻质气体。当Ri处于临界值附近时，说明烟团/烟羽既不是典型的重质气体扩散，也不是典型的轻质气体扩散。可以进行敏感性分析，分别采用重质气体和轻质气体模型进行模拟，选取影响范围最大的结果。</w:t>
      </w:r>
    </w:p>
    <w:p>
      <w:pPr>
        <w:pStyle w:val="33"/>
        <w:bidi w:val="0"/>
        <w:rPr>
          <w:color w:val="auto"/>
        </w:rPr>
      </w:pPr>
      <w:r>
        <w:rPr>
          <w:color w:val="auto"/>
        </w:rPr>
        <w:t>经计算：</w:t>
      </w:r>
      <w:r>
        <w:rPr>
          <w:rFonts w:hint="eastAsia"/>
          <w:color w:val="auto"/>
          <w:lang w:val="en-US" w:eastAsia="zh-CN"/>
        </w:rPr>
        <w:t>醋酸甲酯、甲醇</w:t>
      </w:r>
      <w:r>
        <w:rPr>
          <w:color w:val="auto"/>
        </w:rPr>
        <w:t>以及火灾伴生产生的</w:t>
      </w:r>
      <w:r>
        <w:rPr>
          <w:rFonts w:hint="eastAsia"/>
          <w:color w:val="auto"/>
        </w:rPr>
        <w:t>CO</w:t>
      </w:r>
      <w:r>
        <w:rPr>
          <w:color w:val="auto"/>
        </w:rPr>
        <w:t>采用风险导则中推荐的AFTOX模型进行预测。</w:t>
      </w:r>
    </w:p>
    <w:p>
      <w:pPr>
        <w:pStyle w:val="33"/>
        <w:bidi w:val="0"/>
        <w:rPr>
          <w:color w:val="auto"/>
        </w:rPr>
      </w:pPr>
      <w:r>
        <w:rPr>
          <w:color w:val="auto"/>
        </w:rPr>
        <w:t>AFTOX模型适用于平坦地形下中质气体和轻质排放以及液池蒸发气体的扩散模型，可模拟连续排放和瞬时排放，液体或气体，地面源或高架源，点源或面源的指定位置浓度，下风向最大浓度及其位置等。</w:t>
      </w:r>
    </w:p>
    <w:p>
      <w:pPr>
        <w:pStyle w:val="33"/>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气象参数</w:t>
      </w:r>
    </w:p>
    <w:p>
      <w:pPr>
        <w:pStyle w:val="33"/>
        <w:bidi w:val="0"/>
        <w:rPr>
          <w:color w:val="auto"/>
        </w:rPr>
      </w:pPr>
      <w:r>
        <w:rPr>
          <w:color w:val="auto"/>
        </w:rPr>
        <w:t>根据《建设项目环境风险评价技术导则》（HJ169-2018）中9.1.1.4，</w:t>
      </w:r>
      <w:r>
        <w:rPr>
          <w:rFonts w:hint="eastAsia"/>
          <w:color w:val="auto"/>
          <w:lang w:val="en-US" w:eastAsia="zh-CN"/>
        </w:rPr>
        <w:t>二</w:t>
      </w:r>
      <w:r>
        <w:rPr>
          <w:color w:val="auto"/>
        </w:rPr>
        <w:t>级评价需选取最不利气象条件进行后果预测。并对最不利气象条件F类稳定度，1.5m/s风速，温度25</w:t>
      </w:r>
      <w:r>
        <w:rPr>
          <w:rFonts w:hint="eastAsia"/>
          <w:color w:val="auto"/>
        </w:rPr>
        <w:t>℃</w:t>
      </w:r>
      <w:r>
        <w:rPr>
          <w:color w:val="auto"/>
        </w:rPr>
        <w:t>，相对湿度50%进行后果预测。</w:t>
      </w:r>
    </w:p>
    <w:p>
      <w:pPr>
        <w:pStyle w:val="33"/>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大气毒性终点浓度值选取</w:t>
      </w:r>
    </w:p>
    <w:p>
      <w:pPr>
        <w:pStyle w:val="33"/>
        <w:bidi w:val="0"/>
        <w:rPr>
          <w:color w:val="auto"/>
          <w:lang w:val="zh-TW"/>
        </w:rPr>
      </w:pPr>
      <w:r>
        <w:rPr>
          <w:color w:val="auto"/>
          <w:lang w:val="zh-TW"/>
        </w:rPr>
        <w:t>根据风险导则，大气毒性终点浓度值分为1、2级。其中1级为当大气中危险物质浓度低于该限值时，绝大多数人员暴露1h不会对生命造成威胁，当超过该限值时，有可能对人群造成生命威胁；2级为当大气中危险物质浓度低于该限值时，暴露1h一般不会对人体造成不可逆的伤害，或出现的症状一般不会损伤该个体采取有效防护措施的能力。</w:t>
      </w:r>
    </w:p>
    <w:p>
      <w:pPr>
        <w:pStyle w:val="33"/>
        <w:bidi w:val="0"/>
        <w:rPr>
          <w:color w:val="auto"/>
          <w:lang w:val="zh-TW"/>
        </w:rPr>
      </w:pPr>
      <w:r>
        <w:rPr>
          <w:color w:val="auto"/>
          <w:lang w:val="zh-TW"/>
        </w:rPr>
        <w:t>根据风险导则附录H，</w:t>
      </w:r>
      <w:r>
        <w:rPr>
          <w:rFonts w:hint="eastAsia"/>
          <w:color w:val="auto"/>
          <w:lang w:val="en-US" w:eastAsia="zh-CN"/>
        </w:rPr>
        <w:t>醋酸甲酯无</w:t>
      </w:r>
      <w:r>
        <w:rPr>
          <w:color w:val="auto"/>
          <w:lang w:val="zh-TW"/>
        </w:rPr>
        <w:t>大气毒性终点浓度值，其他物质大气毒性终点浓度详见下表。</w:t>
      </w:r>
    </w:p>
    <w:p>
      <w:pPr>
        <w:pStyle w:val="36"/>
        <w:bidi w:val="0"/>
        <w:rPr>
          <w:color w:val="auto"/>
        </w:rPr>
      </w:pPr>
      <w:r>
        <w:rPr>
          <w:color w:val="auto"/>
        </w:rPr>
        <w:t>表</w:t>
      </w:r>
      <w:r>
        <w:rPr>
          <w:rFonts w:hint="eastAsia"/>
          <w:color w:val="auto"/>
          <w:lang w:val="en-US" w:eastAsia="zh-CN"/>
        </w:rPr>
        <w:t>9</w:t>
      </w:r>
      <w:r>
        <w:rPr>
          <w:color w:val="auto"/>
        </w:rPr>
        <w:t xml:space="preserve">.6-1   </w:t>
      </w:r>
      <w:r>
        <w:rPr>
          <w:color w:val="auto"/>
          <w:lang w:val="zh-TW"/>
        </w:rPr>
        <w:t>危险物质大气毒性终点浓度一览表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3"/>
        <w:gridCol w:w="2222"/>
        <w:gridCol w:w="3168"/>
        <w:gridCol w:w="33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417" w:type="pct"/>
            <w:noWrap w:val="0"/>
            <w:vAlign w:val="center"/>
          </w:tcPr>
          <w:p>
            <w:pPr>
              <w:pStyle w:val="35"/>
              <w:bidi w:val="0"/>
              <w:rPr>
                <w:color w:val="auto"/>
              </w:rPr>
            </w:pPr>
            <w:r>
              <w:rPr>
                <w:color w:val="auto"/>
              </w:rPr>
              <w:t>序号</w:t>
            </w:r>
          </w:p>
        </w:tc>
        <w:tc>
          <w:tcPr>
            <w:tcW w:w="1168" w:type="pct"/>
            <w:noWrap w:val="0"/>
            <w:vAlign w:val="center"/>
          </w:tcPr>
          <w:p>
            <w:pPr>
              <w:pStyle w:val="35"/>
              <w:bidi w:val="0"/>
              <w:rPr>
                <w:color w:val="auto"/>
              </w:rPr>
            </w:pPr>
            <w:r>
              <w:rPr>
                <w:color w:val="auto"/>
              </w:rPr>
              <w:t>物质名称</w:t>
            </w:r>
          </w:p>
        </w:tc>
        <w:tc>
          <w:tcPr>
            <w:tcW w:w="1665" w:type="pct"/>
            <w:noWrap w:val="0"/>
            <w:vAlign w:val="center"/>
          </w:tcPr>
          <w:p>
            <w:pPr>
              <w:pStyle w:val="35"/>
              <w:bidi w:val="0"/>
              <w:rPr>
                <w:color w:val="auto"/>
              </w:rPr>
            </w:pPr>
            <w:r>
              <w:rPr>
                <w:color w:val="auto"/>
              </w:rPr>
              <w:t>大气毒性终点浓度1（mg/m</w:t>
            </w:r>
            <w:r>
              <w:rPr>
                <w:color w:val="auto"/>
                <w:vertAlign w:val="superscript"/>
              </w:rPr>
              <w:t>3</w:t>
            </w:r>
            <w:r>
              <w:rPr>
                <w:color w:val="auto"/>
              </w:rPr>
              <w:t>）</w:t>
            </w:r>
          </w:p>
        </w:tc>
        <w:tc>
          <w:tcPr>
            <w:tcW w:w="1748" w:type="pct"/>
            <w:noWrap w:val="0"/>
            <w:vAlign w:val="center"/>
          </w:tcPr>
          <w:p>
            <w:pPr>
              <w:pStyle w:val="35"/>
              <w:bidi w:val="0"/>
              <w:rPr>
                <w:color w:val="auto"/>
              </w:rPr>
            </w:pPr>
            <w:r>
              <w:rPr>
                <w:color w:val="auto"/>
              </w:rPr>
              <w:t>大气毒性终点浓度2（mg/m</w:t>
            </w:r>
            <w:r>
              <w:rPr>
                <w:color w:val="auto"/>
                <w:vertAlign w:val="superscript"/>
              </w:rPr>
              <w:t>3</w:t>
            </w:r>
            <w:r>
              <w:rPr>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417" w:type="pct"/>
            <w:noWrap w:val="0"/>
            <w:vAlign w:val="center"/>
          </w:tcPr>
          <w:p>
            <w:pPr>
              <w:pStyle w:val="35"/>
              <w:bidi w:val="0"/>
              <w:rPr>
                <w:rFonts w:hint="eastAsia" w:eastAsia="宋体"/>
                <w:color w:val="auto"/>
                <w:lang w:eastAsia="zh-CN"/>
              </w:rPr>
            </w:pPr>
            <w:r>
              <w:rPr>
                <w:rFonts w:hint="eastAsia"/>
                <w:color w:val="auto"/>
                <w:lang w:val="en-US" w:eastAsia="zh-CN"/>
              </w:rPr>
              <w:t>1</w:t>
            </w:r>
          </w:p>
        </w:tc>
        <w:tc>
          <w:tcPr>
            <w:tcW w:w="1168" w:type="pct"/>
            <w:noWrap w:val="0"/>
            <w:vAlign w:val="center"/>
          </w:tcPr>
          <w:p>
            <w:pPr>
              <w:pStyle w:val="35"/>
              <w:bidi w:val="0"/>
              <w:rPr>
                <w:color w:val="auto"/>
              </w:rPr>
            </w:pPr>
            <w:r>
              <w:rPr>
                <w:color w:val="auto"/>
              </w:rPr>
              <w:t>甲醇</w:t>
            </w:r>
          </w:p>
        </w:tc>
        <w:tc>
          <w:tcPr>
            <w:tcW w:w="1665" w:type="pct"/>
            <w:noWrap w:val="0"/>
            <w:vAlign w:val="center"/>
          </w:tcPr>
          <w:p>
            <w:pPr>
              <w:pStyle w:val="35"/>
              <w:bidi w:val="0"/>
              <w:rPr>
                <w:color w:val="auto"/>
              </w:rPr>
            </w:pPr>
            <w:r>
              <w:rPr>
                <w:color w:val="auto"/>
              </w:rPr>
              <w:t>9400</w:t>
            </w:r>
          </w:p>
        </w:tc>
        <w:tc>
          <w:tcPr>
            <w:tcW w:w="1748" w:type="pct"/>
            <w:noWrap w:val="0"/>
            <w:vAlign w:val="center"/>
          </w:tcPr>
          <w:p>
            <w:pPr>
              <w:pStyle w:val="35"/>
              <w:bidi w:val="0"/>
              <w:rPr>
                <w:color w:val="auto"/>
              </w:rPr>
            </w:pPr>
            <w:r>
              <w:rPr>
                <w:color w:val="auto"/>
              </w:rPr>
              <w:t>2700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417" w:type="pct"/>
            <w:noWrap w:val="0"/>
            <w:vAlign w:val="center"/>
          </w:tcPr>
          <w:p>
            <w:pPr>
              <w:pStyle w:val="35"/>
              <w:bidi w:val="0"/>
              <w:rPr>
                <w:rFonts w:hint="eastAsia" w:eastAsia="宋体"/>
                <w:color w:val="auto"/>
                <w:lang w:eastAsia="zh-CN"/>
              </w:rPr>
            </w:pPr>
            <w:r>
              <w:rPr>
                <w:rFonts w:hint="eastAsia"/>
                <w:color w:val="auto"/>
                <w:lang w:val="en-US" w:eastAsia="zh-CN"/>
              </w:rPr>
              <w:t>2</w:t>
            </w:r>
          </w:p>
        </w:tc>
        <w:tc>
          <w:tcPr>
            <w:tcW w:w="1168" w:type="pct"/>
            <w:noWrap w:val="0"/>
            <w:vAlign w:val="center"/>
          </w:tcPr>
          <w:p>
            <w:pPr>
              <w:pStyle w:val="35"/>
              <w:bidi w:val="0"/>
              <w:rPr>
                <w:color w:val="auto"/>
              </w:rPr>
            </w:pPr>
            <w:r>
              <w:rPr>
                <w:rFonts w:hint="eastAsia"/>
                <w:color w:val="auto"/>
              </w:rPr>
              <w:t>CO</w:t>
            </w:r>
          </w:p>
        </w:tc>
        <w:tc>
          <w:tcPr>
            <w:tcW w:w="1665" w:type="pct"/>
            <w:noWrap w:val="0"/>
            <w:vAlign w:val="center"/>
          </w:tcPr>
          <w:p>
            <w:pPr>
              <w:pStyle w:val="35"/>
              <w:bidi w:val="0"/>
              <w:rPr>
                <w:color w:val="auto"/>
              </w:rPr>
            </w:pPr>
            <w:r>
              <w:rPr>
                <w:color w:val="auto"/>
              </w:rPr>
              <w:t>380</w:t>
            </w:r>
          </w:p>
        </w:tc>
        <w:tc>
          <w:tcPr>
            <w:tcW w:w="1748" w:type="pct"/>
            <w:noWrap w:val="0"/>
            <w:vAlign w:val="center"/>
          </w:tcPr>
          <w:p>
            <w:pPr>
              <w:pStyle w:val="35"/>
              <w:bidi w:val="0"/>
              <w:rPr>
                <w:color w:val="auto"/>
              </w:rPr>
            </w:pPr>
            <w:r>
              <w:rPr>
                <w:rFonts w:hint="eastAsia"/>
                <w:color w:val="auto"/>
              </w:rPr>
              <w:t>95</w:t>
            </w:r>
          </w:p>
        </w:tc>
      </w:tr>
    </w:tbl>
    <w:p>
      <w:pPr>
        <w:pStyle w:val="33"/>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风险预测模型主要参数选取</w:t>
      </w:r>
    </w:p>
    <w:p>
      <w:pPr>
        <w:pStyle w:val="36"/>
        <w:bidi w:val="0"/>
        <w:rPr>
          <w:color w:val="auto"/>
        </w:rPr>
      </w:pPr>
      <w:r>
        <w:rPr>
          <w:color w:val="auto"/>
        </w:rPr>
        <w:t>表</w:t>
      </w:r>
      <w:r>
        <w:rPr>
          <w:rFonts w:hint="eastAsia"/>
          <w:color w:val="auto"/>
          <w:lang w:val="en-US" w:eastAsia="zh-CN"/>
        </w:rPr>
        <w:t>9</w:t>
      </w:r>
      <w:r>
        <w:rPr>
          <w:color w:val="auto"/>
        </w:rPr>
        <w:t>.6-2   大气风险预测模型主要参数表</w:t>
      </w:r>
    </w:p>
    <w:tbl>
      <w:tblPr>
        <w:tblStyle w:val="27"/>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54"/>
        <w:gridCol w:w="2662"/>
        <w:gridCol w:w="4696"/>
      </w:tblGrid>
      <w:tr>
        <w:trPr>
          <w:cantSplit/>
          <w:trHeight w:val="340" w:hRule="atLeast"/>
        </w:trPr>
        <w:tc>
          <w:tcPr>
            <w:tcW w:w="1132" w:type="pct"/>
            <w:noWrap w:val="0"/>
            <w:vAlign w:val="center"/>
          </w:tcPr>
          <w:p>
            <w:pPr>
              <w:pStyle w:val="35"/>
              <w:bidi w:val="0"/>
              <w:rPr>
                <w:color w:val="auto"/>
                <w:lang w:eastAsia="zh-CN"/>
              </w:rPr>
            </w:pPr>
            <w:r>
              <w:rPr>
                <w:color w:val="auto"/>
                <w:lang w:eastAsia="zh-CN"/>
              </w:rPr>
              <w:t>参数类型</w:t>
            </w:r>
          </w:p>
        </w:tc>
        <w:tc>
          <w:tcPr>
            <w:tcW w:w="1399" w:type="pct"/>
            <w:noWrap w:val="0"/>
            <w:vAlign w:val="center"/>
          </w:tcPr>
          <w:p>
            <w:pPr>
              <w:pStyle w:val="35"/>
              <w:bidi w:val="0"/>
              <w:rPr>
                <w:color w:val="auto"/>
                <w:lang w:eastAsia="zh-CN"/>
              </w:rPr>
            </w:pPr>
            <w:r>
              <w:rPr>
                <w:color w:val="auto"/>
                <w:lang w:eastAsia="zh-CN"/>
              </w:rPr>
              <w:t>选项</w:t>
            </w:r>
          </w:p>
        </w:tc>
        <w:tc>
          <w:tcPr>
            <w:tcW w:w="2468" w:type="pct"/>
            <w:noWrap w:val="0"/>
            <w:vAlign w:val="center"/>
          </w:tcPr>
          <w:p>
            <w:pPr>
              <w:pStyle w:val="35"/>
              <w:bidi w:val="0"/>
              <w:rPr>
                <w:color w:val="auto"/>
                <w:lang w:eastAsia="zh-CN"/>
              </w:rPr>
            </w:pPr>
            <w:r>
              <w:rPr>
                <w:color w:val="auto"/>
                <w:lang w:eastAsia="zh-CN"/>
              </w:rPr>
              <w:t>参数</w:t>
            </w:r>
          </w:p>
        </w:tc>
      </w:tr>
      <w:tr>
        <w:trPr>
          <w:cantSplit/>
          <w:trHeight w:val="340" w:hRule="atLeast"/>
        </w:trPr>
        <w:tc>
          <w:tcPr>
            <w:tcW w:w="1132" w:type="pct"/>
            <w:vMerge w:val="restart"/>
            <w:noWrap w:val="0"/>
            <w:vAlign w:val="center"/>
          </w:tcPr>
          <w:p>
            <w:pPr>
              <w:pStyle w:val="35"/>
              <w:bidi w:val="0"/>
              <w:rPr>
                <w:color w:val="auto"/>
                <w:lang w:eastAsia="zh-CN"/>
              </w:rPr>
            </w:pPr>
            <w:r>
              <w:rPr>
                <w:color w:val="auto"/>
                <w:lang w:eastAsia="zh-CN"/>
              </w:rPr>
              <w:t>基本情况</w:t>
            </w:r>
          </w:p>
        </w:tc>
        <w:tc>
          <w:tcPr>
            <w:tcW w:w="1399" w:type="pct"/>
            <w:noWrap w:val="0"/>
            <w:vAlign w:val="center"/>
          </w:tcPr>
          <w:p>
            <w:pPr>
              <w:pStyle w:val="35"/>
              <w:bidi w:val="0"/>
              <w:rPr>
                <w:color w:val="auto"/>
                <w:lang w:eastAsia="zh-CN"/>
              </w:rPr>
            </w:pPr>
            <w:r>
              <w:rPr>
                <w:color w:val="auto"/>
                <w:lang w:eastAsia="zh-CN"/>
              </w:rPr>
              <w:t>事故源经度</w:t>
            </w:r>
          </w:p>
        </w:tc>
        <w:tc>
          <w:tcPr>
            <w:tcW w:w="2468" w:type="pct"/>
            <w:noWrap w:val="0"/>
            <w:vAlign w:val="center"/>
          </w:tcPr>
          <w:p>
            <w:pPr>
              <w:pStyle w:val="35"/>
              <w:bidi w:val="0"/>
              <w:rPr>
                <w:color w:val="auto"/>
              </w:rPr>
            </w:pPr>
            <w:r>
              <w:rPr>
                <w:rFonts w:hint="eastAsia"/>
                <w:color w:val="auto"/>
                <w:lang w:val="en-US" w:eastAsia="zh-CN"/>
              </w:rPr>
              <w:t>东经</w:t>
            </w:r>
            <w:r>
              <w:rPr>
                <w:rFonts w:hint="eastAsia"/>
                <w:color w:val="auto"/>
              </w:rPr>
              <w:t>113°14'57.79"</w:t>
            </w:r>
          </w:p>
        </w:tc>
      </w:tr>
      <w:tr>
        <w:trPr>
          <w:cantSplit/>
          <w:trHeight w:val="340" w:hRule="atLeast"/>
        </w:trPr>
        <w:tc>
          <w:tcPr>
            <w:tcW w:w="1132" w:type="pct"/>
            <w:vMerge w:val="continue"/>
            <w:noWrap w:val="0"/>
            <w:vAlign w:val="center"/>
          </w:tcPr>
          <w:p>
            <w:pPr>
              <w:pStyle w:val="35"/>
              <w:bidi w:val="0"/>
              <w:rPr>
                <w:color w:val="auto"/>
                <w:lang w:eastAsia="zh-CN"/>
              </w:rPr>
            </w:pPr>
          </w:p>
        </w:tc>
        <w:tc>
          <w:tcPr>
            <w:tcW w:w="1399" w:type="pct"/>
            <w:noWrap w:val="0"/>
            <w:vAlign w:val="center"/>
          </w:tcPr>
          <w:p>
            <w:pPr>
              <w:pStyle w:val="35"/>
              <w:bidi w:val="0"/>
              <w:rPr>
                <w:color w:val="auto"/>
                <w:lang w:eastAsia="zh-CN"/>
              </w:rPr>
            </w:pPr>
            <w:r>
              <w:rPr>
                <w:color w:val="auto"/>
                <w:lang w:eastAsia="zh-CN"/>
              </w:rPr>
              <w:t>事故源纬度</w:t>
            </w:r>
          </w:p>
        </w:tc>
        <w:tc>
          <w:tcPr>
            <w:tcW w:w="2468" w:type="pct"/>
            <w:noWrap w:val="0"/>
            <w:vAlign w:val="center"/>
          </w:tcPr>
          <w:p>
            <w:pPr>
              <w:pStyle w:val="35"/>
              <w:bidi w:val="0"/>
              <w:rPr>
                <w:color w:val="auto"/>
                <w:lang w:eastAsia="zh-CN"/>
              </w:rPr>
            </w:pPr>
            <w:r>
              <w:rPr>
                <w:rFonts w:hint="eastAsia"/>
                <w:color w:val="auto"/>
                <w:lang w:val="en-US" w:eastAsia="zh-CN"/>
              </w:rPr>
              <w:t>北纬</w:t>
            </w:r>
            <w:r>
              <w:rPr>
                <w:rFonts w:hint="eastAsia"/>
                <w:color w:val="auto"/>
                <w:lang w:eastAsia="zh-CN"/>
              </w:rPr>
              <w:t xml:space="preserve"> 29°29'34.80"</w:t>
            </w:r>
          </w:p>
        </w:tc>
      </w:tr>
      <w:tr>
        <w:trPr>
          <w:cantSplit/>
          <w:trHeight w:val="340" w:hRule="atLeast"/>
        </w:trPr>
        <w:tc>
          <w:tcPr>
            <w:tcW w:w="1132" w:type="pct"/>
            <w:vMerge w:val="continue"/>
            <w:noWrap w:val="0"/>
            <w:vAlign w:val="center"/>
          </w:tcPr>
          <w:p>
            <w:pPr>
              <w:pStyle w:val="35"/>
              <w:bidi w:val="0"/>
              <w:rPr>
                <w:color w:val="auto"/>
                <w:lang w:eastAsia="zh-CN"/>
              </w:rPr>
            </w:pPr>
          </w:p>
        </w:tc>
        <w:tc>
          <w:tcPr>
            <w:tcW w:w="1399" w:type="pct"/>
            <w:noWrap w:val="0"/>
            <w:vAlign w:val="center"/>
          </w:tcPr>
          <w:p>
            <w:pPr>
              <w:pStyle w:val="35"/>
              <w:bidi w:val="0"/>
              <w:rPr>
                <w:color w:val="auto"/>
                <w:lang w:eastAsia="zh-CN"/>
              </w:rPr>
            </w:pPr>
            <w:r>
              <w:rPr>
                <w:color w:val="auto"/>
                <w:lang w:eastAsia="zh-CN"/>
              </w:rPr>
              <w:t>事故源类型</w:t>
            </w:r>
          </w:p>
        </w:tc>
        <w:tc>
          <w:tcPr>
            <w:tcW w:w="2468" w:type="pct"/>
            <w:noWrap w:val="0"/>
            <w:vAlign w:val="center"/>
          </w:tcPr>
          <w:p>
            <w:pPr>
              <w:pStyle w:val="35"/>
              <w:bidi w:val="0"/>
              <w:rPr>
                <w:rFonts w:hint="default"/>
                <w:color w:val="auto"/>
                <w:lang w:val="en-US" w:eastAsia="zh-CN"/>
              </w:rPr>
            </w:pPr>
            <w:r>
              <w:rPr>
                <w:color w:val="auto"/>
                <w:lang w:eastAsia="zh-CN"/>
              </w:rPr>
              <w:t>泄漏</w:t>
            </w:r>
            <w:r>
              <w:rPr>
                <w:rFonts w:hint="eastAsia"/>
                <w:color w:val="auto"/>
                <w:lang w:eastAsia="zh-CN"/>
              </w:rPr>
              <w:t>/火灾伴生产生CO、</w:t>
            </w:r>
            <w:r>
              <w:rPr>
                <w:rFonts w:hint="eastAsia"/>
                <w:color w:val="auto"/>
                <w:lang w:val="en-US" w:eastAsia="zh-CN"/>
              </w:rPr>
              <w:t>甲醇泄露</w:t>
            </w:r>
          </w:p>
        </w:tc>
      </w:tr>
      <w:tr>
        <w:trPr>
          <w:cantSplit/>
          <w:trHeight w:val="340" w:hRule="atLeast"/>
        </w:trPr>
        <w:tc>
          <w:tcPr>
            <w:tcW w:w="1132" w:type="pct"/>
            <w:vMerge w:val="restart"/>
            <w:noWrap w:val="0"/>
            <w:vAlign w:val="center"/>
          </w:tcPr>
          <w:p>
            <w:pPr>
              <w:pStyle w:val="35"/>
              <w:bidi w:val="0"/>
              <w:rPr>
                <w:color w:val="auto"/>
                <w:lang w:eastAsia="zh-CN"/>
              </w:rPr>
            </w:pPr>
            <w:r>
              <w:rPr>
                <w:color w:val="auto"/>
                <w:lang w:eastAsia="zh-CN"/>
              </w:rPr>
              <w:t>气象参数</w:t>
            </w:r>
          </w:p>
        </w:tc>
        <w:tc>
          <w:tcPr>
            <w:tcW w:w="1399" w:type="pct"/>
            <w:noWrap w:val="0"/>
            <w:vAlign w:val="center"/>
          </w:tcPr>
          <w:p>
            <w:pPr>
              <w:pStyle w:val="35"/>
              <w:bidi w:val="0"/>
              <w:rPr>
                <w:color w:val="auto"/>
                <w:lang w:eastAsia="zh-CN"/>
              </w:rPr>
            </w:pPr>
            <w:r>
              <w:rPr>
                <w:color w:val="auto"/>
                <w:lang w:eastAsia="zh-CN"/>
              </w:rPr>
              <w:t>气象条件类型</w:t>
            </w:r>
          </w:p>
        </w:tc>
        <w:tc>
          <w:tcPr>
            <w:tcW w:w="2468" w:type="pct"/>
            <w:noWrap w:val="0"/>
            <w:vAlign w:val="center"/>
          </w:tcPr>
          <w:p>
            <w:pPr>
              <w:pStyle w:val="35"/>
              <w:bidi w:val="0"/>
              <w:rPr>
                <w:color w:val="auto"/>
                <w:lang w:eastAsia="zh-CN"/>
              </w:rPr>
            </w:pPr>
            <w:r>
              <w:rPr>
                <w:color w:val="auto"/>
                <w:lang w:eastAsia="zh-CN"/>
              </w:rPr>
              <w:t>最不利气象条件</w:t>
            </w:r>
          </w:p>
        </w:tc>
      </w:tr>
      <w:tr>
        <w:trPr>
          <w:cantSplit/>
          <w:trHeight w:val="340" w:hRule="atLeast"/>
        </w:trPr>
        <w:tc>
          <w:tcPr>
            <w:tcW w:w="1132" w:type="pct"/>
            <w:vMerge w:val="continue"/>
            <w:noWrap w:val="0"/>
            <w:vAlign w:val="center"/>
          </w:tcPr>
          <w:p>
            <w:pPr>
              <w:pStyle w:val="35"/>
              <w:bidi w:val="0"/>
              <w:rPr>
                <w:color w:val="auto"/>
                <w:lang w:eastAsia="zh-CN"/>
              </w:rPr>
            </w:pPr>
          </w:p>
        </w:tc>
        <w:tc>
          <w:tcPr>
            <w:tcW w:w="1399" w:type="pct"/>
            <w:noWrap w:val="0"/>
            <w:vAlign w:val="center"/>
          </w:tcPr>
          <w:p>
            <w:pPr>
              <w:pStyle w:val="35"/>
              <w:bidi w:val="0"/>
              <w:rPr>
                <w:color w:val="auto"/>
                <w:lang w:eastAsia="zh-CN"/>
              </w:rPr>
            </w:pPr>
            <w:r>
              <w:rPr>
                <w:color w:val="auto"/>
                <w:lang w:eastAsia="zh-CN"/>
              </w:rPr>
              <w:t>风速m/s</w:t>
            </w:r>
          </w:p>
        </w:tc>
        <w:tc>
          <w:tcPr>
            <w:tcW w:w="2468" w:type="pct"/>
            <w:noWrap w:val="0"/>
            <w:vAlign w:val="center"/>
          </w:tcPr>
          <w:p>
            <w:pPr>
              <w:pStyle w:val="35"/>
              <w:bidi w:val="0"/>
              <w:rPr>
                <w:color w:val="auto"/>
                <w:lang w:eastAsia="zh-CN"/>
              </w:rPr>
            </w:pPr>
            <w:r>
              <w:rPr>
                <w:color w:val="auto"/>
                <w:lang w:eastAsia="zh-CN"/>
              </w:rPr>
              <w:t>1.5</w:t>
            </w:r>
          </w:p>
        </w:tc>
      </w:tr>
      <w:tr>
        <w:trPr>
          <w:cantSplit/>
          <w:trHeight w:val="340" w:hRule="atLeast"/>
        </w:trPr>
        <w:tc>
          <w:tcPr>
            <w:tcW w:w="1132" w:type="pct"/>
            <w:vMerge w:val="continue"/>
            <w:noWrap w:val="0"/>
            <w:vAlign w:val="center"/>
          </w:tcPr>
          <w:p>
            <w:pPr>
              <w:pStyle w:val="35"/>
              <w:bidi w:val="0"/>
              <w:rPr>
                <w:color w:val="auto"/>
                <w:lang w:eastAsia="zh-CN"/>
              </w:rPr>
            </w:pPr>
          </w:p>
        </w:tc>
        <w:tc>
          <w:tcPr>
            <w:tcW w:w="1399" w:type="pct"/>
            <w:noWrap w:val="0"/>
            <w:vAlign w:val="center"/>
          </w:tcPr>
          <w:p>
            <w:pPr>
              <w:pStyle w:val="35"/>
              <w:bidi w:val="0"/>
              <w:rPr>
                <w:color w:val="auto"/>
                <w:lang w:eastAsia="zh-CN"/>
              </w:rPr>
            </w:pPr>
            <w:r>
              <w:rPr>
                <w:color w:val="auto"/>
                <w:lang w:eastAsia="zh-CN"/>
              </w:rPr>
              <w:t>环境温度</w:t>
            </w:r>
            <w:r>
              <w:rPr>
                <w:rFonts w:hint="eastAsia"/>
                <w:color w:val="auto"/>
                <w:lang w:eastAsia="zh-CN"/>
              </w:rPr>
              <w:t>℃</w:t>
            </w:r>
          </w:p>
        </w:tc>
        <w:tc>
          <w:tcPr>
            <w:tcW w:w="2468" w:type="pct"/>
            <w:noWrap w:val="0"/>
            <w:vAlign w:val="center"/>
          </w:tcPr>
          <w:p>
            <w:pPr>
              <w:pStyle w:val="35"/>
              <w:bidi w:val="0"/>
              <w:rPr>
                <w:color w:val="auto"/>
                <w:lang w:eastAsia="zh-CN"/>
              </w:rPr>
            </w:pPr>
            <w:r>
              <w:rPr>
                <w:color w:val="auto"/>
                <w:lang w:eastAsia="zh-CN"/>
              </w:rPr>
              <w:t>25</w:t>
            </w:r>
          </w:p>
        </w:tc>
      </w:tr>
      <w:tr>
        <w:trPr>
          <w:cantSplit/>
          <w:trHeight w:val="340" w:hRule="atLeast"/>
        </w:trPr>
        <w:tc>
          <w:tcPr>
            <w:tcW w:w="1132" w:type="pct"/>
            <w:vMerge w:val="continue"/>
            <w:noWrap w:val="0"/>
            <w:vAlign w:val="center"/>
          </w:tcPr>
          <w:p>
            <w:pPr>
              <w:pStyle w:val="35"/>
              <w:bidi w:val="0"/>
              <w:rPr>
                <w:color w:val="auto"/>
                <w:lang w:eastAsia="zh-CN"/>
              </w:rPr>
            </w:pPr>
          </w:p>
        </w:tc>
        <w:tc>
          <w:tcPr>
            <w:tcW w:w="1399" w:type="pct"/>
            <w:noWrap w:val="0"/>
            <w:vAlign w:val="center"/>
          </w:tcPr>
          <w:p>
            <w:pPr>
              <w:pStyle w:val="35"/>
              <w:bidi w:val="0"/>
              <w:rPr>
                <w:color w:val="auto"/>
                <w:lang w:eastAsia="zh-CN"/>
              </w:rPr>
            </w:pPr>
            <w:r>
              <w:rPr>
                <w:color w:val="auto"/>
                <w:lang w:eastAsia="zh-CN"/>
              </w:rPr>
              <w:t>相对湿度%</w:t>
            </w:r>
          </w:p>
        </w:tc>
        <w:tc>
          <w:tcPr>
            <w:tcW w:w="2468" w:type="pct"/>
            <w:noWrap w:val="0"/>
            <w:vAlign w:val="center"/>
          </w:tcPr>
          <w:p>
            <w:pPr>
              <w:pStyle w:val="35"/>
              <w:bidi w:val="0"/>
              <w:rPr>
                <w:color w:val="auto"/>
                <w:lang w:eastAsia="zh-CN"/>
              </w:rPr>
            </w:pPr>
            <w:r>
              <w:rPr>
                <w:color w:val="auto"/>
                <w:lang w:eastAsia="zh-CN"/>
              </w:rPr>
              <w:t>50</w:t>
            </w:r>
          </w:p>
        </w:tc>
      </w:tr>
      <w:tr>
        <w:trPr>
          <w:cantSplit/>
          <w:trHeight w:val="340" w:hRule="atLeast"/>
        </w:trPr>
        <w:tc>
          <w:tcPr>
            <w:tcW w:w="1132" w:type="pct"/>
            <w:vMerge w:val="continue"/>
            <w:noWrap w:val="0"/>
            <w:vAlign w:val="center"/>
          </w:tcPr>
          <w:p>
            <w:pPr>
              <w:pStyle w:val="35"/>
              <w:bidi w:val="0"/>
              <w:rPr>
                <w:color w:val="auto"/>
                <w:lang w:eastAsia="zh-CN"/>
              </w:rPr>
            </w:pPr>
          </w:p>
        </w:tc>
        <w:tc>
          <w:tcPr>
            <w:tcW w:w="1399" w:type="pct"/>
            <w:noWrap w:val="0"/>
            <w:vAlign w:val="center"/>
          </w:tcPr>
          <w:p>
            <w:pPr>
              <w:pStyle w:val="35"/>
              <w:bidi w:val="0"/>
              <w:rPr>
                <w:color w:val="auto"/>
                <w:lang w:eastAsia="zh-CN"/>
              </w:rPr>
            </w:pPr>
            <w:r>
              <w:rPr>
                <w:color w:val="auto"/>
                <w:lang w:eastAsia="zh-CN"/>
              </w:rPr>
              <w:t>稳定度</w:t>
            </w:r>
          </w:p>
        </w:tc>
        <w:tc>
          <w:tcPr>
            <w:tcW w:w="2468" w:type="pct"/>
            <w:noWrap w:val="0"/>
            <w:vAlign w:val="center"/>
          </w:tcPr>
          <w:p>
            <w:pPr>
              <w:pStyle w:val="35"/>
              <w:bidi w:val="0"/>
              <w:rPr>
                <w:color w:val="auto"/>
                <w:lang w:eastAsia="zh-CN"/>
              </w:rPr>
            </w:pPr>
            <w:r>
              <w:rPr>
                <w:color w:val="auto"/>
                <w:lang w:eastAsia="zh-CN"/>
              </w:rPr>
              <w:t>F</w:t>
            </w:r>
          </w:p>
        </w:tc>
      </w:tr>
      <w:tr>
        <w:trPr>
          <w:cantSplit/>
          <w:trHeight w:val="340" w:hRule="atLeast"/>
        </w:trPr>
        <w:tc>
          <w:tcPr>
            <w:tcW w:w="1132" w:type="pct"/>
            <w:vMerge w:val="restart"/>
            <w:noWrap w:val="0"/>
            <w:vAlign w:val="center"/>
          </w:tcPr>
          <w:p>
            <w:pPr>
              <w:pStyle w:val="35"/>
              <w:bidi w:val="0"/>
              <w:rPr>
                <w:color w:val="auto"/>
                <w:lang w:eastAsia="zh-CN"/>
              </w:rPr>
            </w:pPr>
            <w:r>
              <w:rPr>
                <w:color w:val="auto"/>
                <w:lang w:eastAsia="zh-CN"/>
              </w:rPr>
              <w:t>其他参数</w:t>
            </w:r>
          </w:p>
        </w:tc>
        <w:tc>
          <w:tcPr>
            <w:tcW w:w="1399" w:type="pct"/>
            <w:noWrap w:val="0"/>
            <w:vAlign w:val="center"/>
          </w:tcPr>
          <w:p>
            <w:pPr>
              <w:pStyle w:val="35"/>
              <w:bidi w:val="0"/>
              <w:rPr>
                <w:color w:val="auto"/>
                <w:lang w:eastAsia="zh-CN"/>
              </w:rPr>
            </w:pPr>
            <w:r>
              <w:rPr>
                <w:color w:val="auto"/>
                <w:lang w:eastAsia="zh-CN"/>
              </w:rPr>
              <w:t>地表粗糙度m</w:t>
            </w:r>
          </w:p>
        </w:tc>
        <w:tc>
          <w:tcPr>
            <w:tcW w:w="2468" w:type="pct"/>
            <w:noWrap w:val="0"/>
            <w:vAlign w:val="center"/>
          </w:tcPr>
          <w:p>
            <w:pPr>
              <w:pStyle w:val="35"/>
              <w:bidi w:val="0"/>
              <w:rPr>
                <w:color w:val="auto"/>
                <w:lang w:eastAsia="zh-CN"/>
              </w:rPr>
            </w:pPr>
            <w:r>
              <w:rPr>
                <w:color w:val="auto"/>
                <w:lang w:eastAsia="zh-CN"/>
              </w:rPr>
              <w:t>0.1</w:t>
            </w:r>
          </w:p>
        </w:tc>
      </w:tr>
      <w:tr>
        <w:trPr>
          <w:cantSplit/>
          <w:trHeight w:val="340" w:hRule="atLeast"/>
        </w:trPr>
        <w:tc>
          <w:tcPr>
            <w:tcW w:w="1132" w:type="pct"/>
            <w:vMerge w:val="continue"/>
            <w:noWrap w:val="0"/>
            <w:vAlign w:val="center"/>
          </w:tcPr>
          <w:p>
            <w:pPr>
              <w:pStyle w:val="35"/>
              <w:bidi w:val="0"/>
              <w:rPr>
                <w:color w:val="auto"/>
                <w:lang w:eastAsia="zh-CN"/>
              </w:rPr>
            </w:pPr>
          </w:p>
        </w:tc>
        <w:tc>
          <w:tcPr>
            <w:tcW w:w="1399" w:type="pct"/>
            <w:noWrap w:val="0"/>
            <w:vAlign w:val="center"/>
          </w:tcPr>
          <w:p>
            <w:pPr>
              <w:pStyle w:val="35"/>
              <w:bidi w:val="0"/>
              <w:rPr>
                <w:color w:val="auto"/>
                <w:lang w:eastAsia="zh-CN"/>
              </w:rPr>
            </w:pPr>
            <w:r>
              <w:rPr>
                <w:color w:val="auto"/>
                <w:lang w:eastAsia="zh-CN"/>
              </w:rPr>
              <w:t>是否考虑地形</w:t>
            </w:r>
          </w:p>
        </w:tc>
        <w:tc>
          <w:tcPr>
            <w:tcW w:w="2468" w:type="pct"/>
            <w:noWrap w:val="0"/>
            <w:vAlign w:val="center"/>
          </w:tcPr>
          <w:p>
            <w:pPr>
              <w:pStyle w:val="35"/>
              <w:bidi w:val="0"/>
              <w:rPr>
                <w:color w:val="auto"/>
                <w:lang w:eastAsia="zh-CN"/>
              </w:rPr>
            </w:pPr>
            <w:r>
              <w:rPr>
                <w:color w:val="auto"/>
                <w:lang w:eastAsia="zh-CN"/>
              </w:rPr>
              <w:t>考虑</w:t>
            </w:r>
          </w:p>
        </w:tc>
      </w:tr>
      <w:tr>
        <w:trPr>
          <w:cantSplit/>
          <w:trHeight w:val="340" w:hRule="atLeast"/>
        </w:trPr>
        <w:tc>
          <w:tcPr>
            <w:tcW w:w="1132" w:type="pct"/>
            <w:vMerge w:val="continue"/>
            <w:noWrap w:val="0"/>
            <w:vAlign w:val="center"/>
          </w:tcPr>
          <w:p>
            <w:pPr>
              <w:pStyle w:val="35"/>
              <w:bidi w:val="0"/>
              <w:rPr>
                <w:color w:val="auto"/>
                <w:lang w:eastAsia="zh-CN"/>
              </w:rPr>
            </w:pPr>
          </w:p>
        </w:tc>
        <w:tc>
          <w:tcPr>
            <w:tcW w:w="1399" w:type="pct"/>
            <w:noWrap w:val="0"/>
            <w:vAlign w:val="center"/>
          </w:tcPr>
          <w:p>
            <w:pPr>
              <w:pStyle w:val="35"/>
              <w:bidi w:val="0"/>
              <w:rPr>
                <w:color w:val="auto"/>
                <w:lang w:eastAsia="zh-CN"/>
              </w:rPr>
            </w:pPr>
            <w:r>
              <w:rPr>
                <w:color w:val="auto"/>
                <w:lang w:eastAsia="zh-CN"/>
              </w:rPr>
              <w:t>地形数据精度m</w:t>
            </w:r>
          </w:p>
        </w:tc>
        <w:tc>
          <w:tcPr>
            <w:tcW w:w="2468" w:type="pct"/>
            <w:noWrap w:val="0"/>
            <w:vAlign w:val="center"/>
          </w:tcPr>
          <w:p>
            <w:pPr>
              <w:pStyle w:val="35"/>
              <w:bidi w:val="0"/>
              <w:rPr>
                <w:color w:val="auto"/>
                <w:lang w:eastAsia="zh-CN"/>
              </w:rPr>
            </w:pPr>
            <w:r>
              <w:rPr>
                <w:color w:val="auto"/>
                <w:lang w:eastAsia="zh-CN"/>
              </w:rPr>
              <w:t>—</w:t>
            </w:r>
          </w:p>
        </w:tc>
      </w:tr>
    </w:tbl>
    <w:p>
      <w:pPr>
        <w:pStyle w:val="33"/>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预测结果</w:t>
      </w:r>
    </w:p>
    <w:p>
      <w:pPr>
        <w:pStyle w:val="33"/>
        <w:bidi w:val="0"/>
        <w:rPr>
          <w:color w:val="auto"/>
        </w:rPr>
      </w:pPr>
      <w:r>
        <w:rPr>
          <w:color w:val="auto"/>
        </w:rPr>
        <w:t>本评价预测最不利气象条件（F稳定度，风速1.5m/s，环境温度25</w:t>
      </w:r>
      <w:r>
        <w:rPr>
          <w:rFonts w:hint="eastAsia"/>
          <w:color w:val="auto"/>
        </w:rPr>
        <w:t>℃</w:t>
      </w:r>
      <w:r>
        <w:rPr>
          <w:color w:val="auto"/>
        </w:rPr>
        <w:t>，相对湿度50%）条件下进行风险预测。由于</w:t>
      </w:r>
      <w:r>
        <w:rPr>
          <w:rFonts w:hint="eastAsia"/>
          <w:color w:val="auto"/>
          <w:lang w:val="en-US" w:eastAsia="zh-CN"/>
        </w:rPr>
        <w:t>醋酸甲酯</w:t>
      </w:r>
      <w:r>
        <w:rPr>
          <w:color w:val="auto"/>
          <w:lang w:val="zh-TW"/>
        </w:rPr>
        <w:t>无大气毒性终点浓度值，因此，不对</w:t>
      </w:r>
      <w:r>
        <w:rPr>
          <w:rFonts w:hint="eastAsia"/>
          <w:color w:val="auto"/>
          <w:lang w:val="en-US" w:eastAsia="zh-CN"/>
        </w:rPr>
        <w:t>醋酸甲酯</w:t>
      </w:r>
      <w:r>
        <w:rPr>
          <w:color w:val="auto"/>
          <w:lang w:val="zh-TW"/>
        </w:rPr>
        <w:t>储罐泄漏进行预测。</w:t>
      </w:r>
      <w:r>
        <w:rPr>
          <w:rFonts w:hint="eastAsia"/>
          <w:color w:val="auto"/>
          <w:lang w:val="en-US" w:eastAsia="zh-CN"/>
        </w:rPr>
        <w:t>甲醇</w:t>
      </w:r>
      <w:r>
        <w:rPr>
          <w:rFonts w:hint="eastAsia"/>
          <w:color w:val="auto"/>
        </w:rPr>
        <w:t>以及火灾伴生产生的CO的</w:t>
      </w:r>
      <w:r>
        <w:rPr>
          <w:color w:val="auto"/>
        </w:rPr>
        <w:t>预测结果如下：</w:t>
      </w:r>
    </w:p>
    <w:p>
      <w:pPr>
        <w:pStyle w:val="33"/>
        <w:bidi w:val="0"/>
        <w:rPr>
          <w:color w:val="auto"/>
        </w:rPr>
      </w:pPr>
      <w:r>
        <w:rPr>
          <w:rFonts w:hint="eastAsia"/>
          <w:color w:val="auto"/>
          <w:lang w:val="en-US" w:eastAsia="zh-CN"/>
        </w:rPr>
        <w:t>a</w:t>
      </w:r>
      <w:r>
        <w:rPr>
          <w:color w:val="auto"/>
        </w:rPr>
        <w:t>：甲醇预测结果</w:t>
      </w:r>
    </w:p>
    <w:p>
      <w:pPr>
        <w:pStyle w:val="33"/>
        <w:bidi w:val="0"/>
        <w:rPr>
          <w:color w:val="auto"/>
        </w:rPr>
      </w:pPr>
      <w:r>
        <w:rPr>
          <w:color w:val="auto"/>
        </w:rPr>
        <w:t>（1）甲醇在最不利气象条件预测结果（预测时刻为30.0min的廓线)</w:t>
      </w:r>
    </w:p>
    <w:p>
      <w:pPr>
        <w:pStyle w:val="33"/>
        <w:bidi w:val="0"/>
        <w:rPr>
          <w:color w:val="auto"/>
          <w:lang w:val="zh-CN"/>
        </w:rPr>
      </w:pPr>
      <w:r>
        <w:rPr>
          <w:rFonts w:hint="eastAsia"/>
          <w:color w:val="auto"/>
          <w:lang w:val="zh-CN"/>
        </w:rPr>
        <w:t>①</w:t>
      </w:r>
      <w:r>
        <w:rPr>
          <w:color w:val="auto"/>
          <w:lang w:val="zh-CN"/>
        </w:rPr>
        <w:t>给定高度2.5m的最大浓度</w:t>
      </w:r>
    </w:p>
    <w:p>
      <w:pPr>
        <w:pStyle w:val="33"/>
        <w:bidi w:val="0"/>
        <w:rPr>
          <w:color w:val="auto"/>
          <w:lang w:val="zh-CN"/>
        </w:rPr>
      </w:pPr>
      <w:r>
        <w:rPr>
          <w:color w:val="auto"/>
          <w:lang w:val="zh-CN"/>
        </w:rPr>
        <w:t>当前时刻(30 min)，最大浓度为6.2941E+02(mg/m</w:t>
      </w:r>
      <w:r>
        <w:rPr>
          <w:color w:val="auto"/>
          <w:vertAlign w:val="superscript"/>
          <w:lang w:val="zh-CN"/>
        </w:rPr>
        <w:t>3</w:t>
      </w:r>
      <w:r>
        <w:rPr>
          <w:color w:val="auto"/>
          <w:lang w:val="zh-CN"/>
        </w:rPr>
        <w:t>)，位于X=50m</w:t>
      </w:r>
    </w:p>
    <w:p>
      <w:pPr>
        <w:pStyle w:val="33"/>
        <w:bidi w:val="0"/>
        <w:rPr>
          <w:color w:val="auto"/>
          <w:lang w:val="zh-CN"/>
        </w:rPr>
      </w:pPr>
      <w:r>
        <w:rPr>
          <w:color w:val="auto"/>
          <w:lang w:val="zh-CN"/>
        </w:rPr>
        <w:t>无廓线图形，因为最小阈值浓度2700(mg/m</w:t>
      </w:r>
      <w:r>
        <w:rPr>
          <w:color w:val="auto"/>
          <w:vertAlign w:val="superscript"/>
          <w:lang w:val="zh-CN"/>
        </w:rPr>
        <w:t>3</w:t>
      </w:r>
      <w:r>
        <w:rPr>
          <w:color w:val="auto"/>
          <w:lang w:val="zh-CN"/>
        </w:rPr>
        <w:t>)大于此最大浓度</w:t>
      </w:r>
    </w:p>
    <w:p>
      <w:pPr>
        <w:pStyle w:val="33"/>
        <w:bidi w:val="0"/>
        <w:rPr>
          <w:color w:val="auto"/>
          <w:lang w:val="zh-CN"/>
        </w:rPr>
      </w:pPr>
      <w:r>
        <w:rPr>
          <w:rFonts w:hint="eastAsia"/>
          <w:color w:val="auto"/>
          <w:lang w:val="zh-CN"/>
        </w:rPr>
        <w:t>②</w:t>
      </w:r>
      <w:r>
        <w:rPr>
          <w:color w:val="auto"/>
          <w:lang w:val="zh-CN"/>
        </w:rPr>
        <w:t>廓线数据，Z=2.5(m)</w:t>
      </w:r>
    </w:p>
    <w:p>
      <w:pPr>
        <w:pStyle w:val="33"/>
        <w:bidi w:val="0"/>
        <w:rPr>
          <w:color w:val="auto"/>
          <w:lang w:val="zh-CN"/>
        </w:rPr>
      </w:pPr>
      <w:r>
        <w:rPr>
          <w:color w:val="auto"/>
          <w:lang w:val="zh-CN"/>
        </w:rPr>
        <w:t>各阈值的廓线对应的位置</w:t>
      </w:r>
    </w:p>
    <w:p>
      <w:pPr>
        <w:pStyle w:val="36"/>
        <w:bidi w:val="0"/>
        <w:rPr>
          <w:color w:val="auto"/>
          <w:lang w:val="zh-CN"/>
        </w:rPr>
      </w:pPr>
      <w:r>
        <w:rPr>
          <w:color w:val="auto"/>
          <w:lang w:val="zh-CN"/>
        </w:rPr>
        <w:t>表</w:t>
      </w:r>
      <w:r>
        <w:rPr>
          <w:rFonts w:hint="eastAsia"/>
          <w:color w:val="auto"/>
          <w:lang w:val="en-US" w:eastAsia="zh-CN"/>
        </w:rPr>
        <w:t>9</w:t>
      </w:r>
      <w:r>
        <w:rPr>
          <w:color w:val="auto"/>
          <w:lang w:val="zh-CN"/>
        </w:rPr>
        <w:t>.6-</w:t>
      </w:r>
      <w:r>
        <w:rPr>
          <w:rFonts w:hint="eastAsia"/>
          <w:color w:val="auto"/>
          <w:lang w:val="en-US" w:eastAsia="zh-CN"/>
        </w:rPr>
        <w:t>3</w:t>
      </w:r>
      <w:r>
        <w:rPr>
          <w:color w:val="auto"/>
          <w:lang w:val="zh-CN"/>
        </w:rPr>
        <w:t xml:space="preserve">   甲醇各阈值的廓线对应的位置（最不利气象条件）</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00"/>
        <w:gridCol w:w="1902"/>
        <w:gridCol w:w="1701"/>
        <w:gridCol w:w="1796"/>
        <w:gridCol w:w="22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trPr>
        <w:tc>
          <w:tcPr>
            <w:tcW w:w="999" w:type="pct"/>
            <w:noWrap w:val="0"/>
            <w:vAlign w:val="center"/>
          </w:tcPr>
          <w:p>
            <w:pPr>
              <w:pStyle w:val="35"/>
              <w:bidi w:val="0"/>
              <w:rPr>
                <w:color w:val="auto"/>
                <w:lang w:val="zh-CN"/>
              </w:rPr>
            </w:pPr>
            <w:r>
              <w:rPr>
                <w:color w:val="auto"/>
                <w:lang w:val="zh-CN"/>
              </w:rPr>
              <w:t>阈值(mg/m</w:t>
            </w:r>
            <w:r>
              <w:rPr>
                <w:color w:val="auto"/>
                <w:vertAlign w:val="superscript"/>
                <w:lang w:val="zh-CN"/>
              </w:rPr>
              <w:t>3</w:t>
            </w:r>
            <w:r>
              <w:rPr>
                <w:color w:val="auto"/>
                <w:lang w:val="zh-CN"/>
              </w:rPr>
              <w:t>)</w:t>
            </w:r>
          </w:p>
        </w:tc>
        <w:tc>
          <w:tcPr>
            <w:tcW w:w="1000" w:type="pct"/>
            <w:noWrap w:val="0"/>
            <w:vAlign w:val="center"/>
          </w:tcPr>
          <w:p>
            <w:pPr>
              <w:pStyle w:val="35"/>
              <w:bidi w:val="0"/>
              <w:rPr>
                <w:color w:val="auto"/>
                <w:lang w:val="zh-CN"/>
              </w:rPr>
            </w:pPr>
            <w:r>
              <w:rPr>
                <w:color w:val="auto"/>
                <w:lang w:val="zh-CN"/>
              </w:rPr>
              <w:t>X起点(m)</w:t>
            </w:r>
          </w:p>
        </w:tc>
        <w:tc>
          <w:tcPr>
            <w:tcW w:w="894" w:type="pct"/>
            <w:noWrap w:val="0"/>
            <w:vAlign w:val="center"/>
          </w:tcPr>
          <w:p>
            <w:pPr>
              <w:pStyle w:val="35"/>
              <w:bidi w:val="0"/>
              <w:rPr>
                <w:color w:val="auto"/>
                <w:lang w:val="zh-CN"/>
              </w:rPr>
            </w:pPr>
            <w:r>
              <w:rPr>
                <w:color w:val="auto"/>
                <w:lang w:val="zh-CN"/>
              </w:rPr>
              <w:t>X终点(m)</w:t>
            </w:r>
          </w:p>
        </w:tc>
        <w:tc>
          <w:tcPr>
            <w:tcW w:w="944" w:type="pct"/>
            <w:noWrap w:val="0"/>
            <w:vAlign w:val="center"/>
          </w:tcPr>
          <w:p>
            <w:pPr>
              <w:pStyle w:val="35"/>
              <w:bidi w:val="0"/>
              <w:rPr>
                <w:color w:val="auto"/>
                <w:lang w:val="zh-CN"/>
              </w:rPr>
            </w:pPr>
            <w:r>
              <w:rPr>
                <w:color w:val="auto"/>
                <w:lang w:val="zh-CN"/>
              </w:rPr>
              <w:t>最大半宽(m)</w:t>
            </w:r>
          </w:p>
        </w:tc>
        <w:tc>
          <w:tcPr>
            <w:tcW w:w="1161" w:type="pct"/>
            <w:noWrap w:val="0"/>
            <w:vAlign w:val="center"/>
          </w:tcPr>
          <w:p>
            <w:pPr>
              <w:pStyle w:val="35"/>
              <w:bidi w:val="0"/>
              <w:rPr>
                <w:color w:val="auto"/>
                <w:lang w:val="zh-CN"/>
              </w:rPr>
            </w:pPr>
            <w:r>
              <w:rPr>
                <w:color w:val="auto"/>
                <w:lang w:val="zh-CN"/>
              </w:rPr>
              <w:t>最大半宽对应X(m)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trPr>
        <w:tc>
          <w:tcPr>
            <w:tcW w:w="999" w:type="pct"/>
            <w:noWrap w:val="0"/>
            <w:vAlign w:val="center"/>
          </w:tcPr>
          <w:p>
            <w:pPr>
              <w:pStyle w:val="35"/>
              <w:bidi w:val="0"/>
              <w:rPr>
                <w:color w:val="auto"/>
                <w:lang w:val="zh-CN"/>
              </w:rPr>
            </w:pPr>
            <w:r>
              <w:rPr>
                <w:color w:val="auto"/>
                <w:lang w:val="zh-CN"/>
              </w:rPr>
              <w:t>2.70E+03</w:t>
            </w:r>
          </w:p>
        </w:tc>
        <w:tc>
          <w:tcPr>
            <w:tcW w:w="4000" w:type="pct"/>
            <w:gridSpan w:val="4"/>
            <w:noWrap w:val="0"/>
            <w:vAlign w:val="center"/>
          </w:tcPr>
          <w:p>
            <w:pPr>
              <w:pStyle w:val="35"/>
              <w:bidi w:val="0"/>
              <w:rPr>
                <w:color w:val="auto"/>
                <w:lang w:val="zh-CN"/>
              </w:rPr>
            </w:pPr>
            <w:r>
              <w:rPr>
                <w:color w:val="auto"/>
                <w:lang w:val="zh-CN"/>
              </w:rPr>
              <w:t>此阈值及以上，无对应位置，因计算浓度均小于此阈值</w:t>
            </w:r>
          </w:p>
        </w:tc>
      </w:tr>
    </w:tbl>
    <w:p>
      <w:pPr>
        <w:pStyle w:val="33"/>
        <w:bidi w:val="0"/>
        <w:rPr>
          <w:color w:val="auto"/>
        </w:rPr>
      </w:pPr>
      <w:r>
        <w:rPr>
          <w:color w:val="auto"/>
        </w:rPr>
        <w:t>（2）下风向关心点影响程度表</w:t>
      </w:r>
    </w:p>
    <w:p>
      <w:pPr>
        <w:pStyle w:val="36"/>
        <w:bidi w:val="0"/>
        <w:rPr>
          <w:color w:val="auto"/>
        </w:rPr>
      </w:pPr>
      <w:r>
        <w:rPr>
          <w:color w:val="auto"/>
        </w:rPr>
        <w:t>表</w:t>
      </w:r>
      <w:r>
        <w:rPr>
          <w:rFonts w:hint="eastAsia"/>
          <w:color w:val="auto"/>
          <w:lang w:val="en-US" w:eastAsia="zh-CN"/>
        </w:rPr>
        <w:t>9</w:t>
      </w:r>
      <w:r>
        <w:rPr>
          <w:color w:val="auto"/>
        </w:rPr>
        <w:t>.6-</w:t>
      </w:r>
      <w:r>
        <w:rPr>
          <w:rFonts w:hint="eastAsia"/>
          <w:color w:val="auto"/>
          <w:lang w:val="en-US" w:eastAsia="zh-CN"/>
        </w:rPr>
        <w:t>4</w:t>
      </w:r>
      <w:r>
        <w:rPr>
          <w:color w:val="auto"/>
        </w:rPr>
        <w:t xml:space="preserve">   下风向相对关心点影响程度预测一览表（最不利气象条件）</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01"/>
        <w:gridCol w:w="1507"/>
        <w:gridCol w:w="1796"/>
        <w:gridCol w:w="2403"/>
        <w:gridCol w:w="19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999" w:type="pct"/>
            <w:noWrap w:val="0"/>
            <w:vAlign w:val="center"/>
          </w:tcPr>
          <w:p>
            <w:pPr>
              <w:pStyle w:val="35"/>
              <w:bidi w:val="0"/>
              <w:rPr>
                <w:color w:val="auto"/>
              </w:rPr>
            </w:pPr>
            <w:r>
              <w:rPr>
                <w:color w:val="auto"/>
              </w:rPr>
              <w:t>名称</w:t>
            </w:r>
          </w:p>
        </w:tc>
        <w:tc>
          <w:tcPr>
            <w:tcW w:w="792" w:type="pct"/>
            <w:noWrap w:val="0"/>
            <w:vAlign w:val="center"/>
          </w:tcPr>
          <w:p>
            <w:pPr>
              <w:pStyle w:val="35"/>
              <w:bidi w:val="0"/>
              <w:rPr>
                <w:color w:val="auto"/>
              </w:rPr>
            </w:pPr>
            <w:r>
              <w:rPr>
                <w:color w:val="auto"/>
              </w:rPr>
              <w:t>X</w:t>
            </w:r>
          </w:p>
        </w:tc>
        <w:tc>
          <w:tcPr>
            <w:tcW w:w="944" w:type="pct"/>
            <w:noWrap w:val="0"/>
            <w:vAlign w:val="center"/>
          </w:tcPr>
          <w:p>
            <w:pPr>
              <w:pStyle w:val="35"/>
              <w:bidi w:val="0"/>
              <w:rPr>
                <w:color w:val="auto"/>
              </w:rPr>
            </w:pPr>
            <w:r>
              <w:rPr>
                <w:color w:val="auto"/>
              </w:rPr>
              <w:t>Y</w:t>
            </w:r>
          </w:p>
        </w:tc>
        <w:tc>
          <w:tcPr>
            <w:tcW w:w="1263" w:type="pct"/>
            <w:noWrap w:val="0"/>
            <w:vAlign w:val="center"/>
          </w:tcPr>
          <w:p>
            <w:pPr>
              <w:pStyle w:val="35"/>
              <w:bidi w:val="0"/>
              <w:rPr>
                <w:color w:val="auto"/>
              </w:rPr>
            </w:pPr>
            <w:r>
              <w:rPr>
                <w:color w:val="auto"/>
              </w:rPr>
              <w:t>最大浓度mg/m3</w:t>
            </w:r>
          </w:p>
        </w:tc>
        <w:tc>
          <w:tcPr>
            <w:tcW w:w="1000" w:type="pct"/>
            <w:noWrap w:val="0"/>
            <w:vAlign w:val="center"/>
          </w:tcPr>
          <w:p>
            <w:pPr>
              <w:pStyle w:val="35"/>
              <w:bidi w:val="0"/>
              <w:rPr>
                <w:color w:val="auto"/>
              </w:rPr>
            </w:pPr>
            <w:r>
              <w:rPr>
                <w:color w:val="auto"/>
              </w:rPr>
              <w:t>时间min</w:t>
            </w:r>
          </w:p>
        </w:tc>
      </w:tr>
      <w:tr>
        <w:trPr>
          <w:trHeight w:val="340" w:hRule="atLeast"/>
        </w:trPr>
        <w:tc>
          <w:tcPr>
            <w:tcW w:w="999" w:type="pct"/>
            <w:noWrap w:val="0"/>
            <w:vAlign w:val="center"/>
          </w:tcPr>
          <w:p>
            <w:pPr>
              <w:pStyle w:val="35"/>
              <w:bidi w:val="0"/>
              <w:rPr>
                <w:color w:val="auto"/>
              </w:rPr>
            </w:pPr>
            <w:r>
              <w:rPr>
                <w:color w:val="auto"/>
              </w:rPr>
              <w:t>大田村</w:t>
            </w:r>
          </w:p>
        </w:tc>
        <w:tc>
          <w:tcPr>
            <w:tcW w:w="792" w:type="pct"/>
            <w:noWrap w:val="0"/>
            <w:vAlign w:val="center"/>
          </w:tcPr>
          <w:p>
            <w:pPr>
              <w:pStyle w:val="35"/>
              <w:bidi w:val="0"/>
              <w:rPr>
                <w:color w:val="auto"/>
              </w:rPr>
            </w:pPr>
            <w:r>
              <w:rPr>
                <w:color w:val="auto"/>
              </w:rPr>
              <w:t>1983</w:t>
            </w:r>
          </w:p>
        </w:tc>
        <w:tc>
          <w:tcPr>
            <w:tcW w:w="944" w:type="pct"/>
            <w:noWrap w:val="0"/>
            <w:vAlign w:val="center"/>
          </w:tcPr>
          <w:p>
            <w:pPr>
              <w:pStyle w:val="35"/>
              <w:bidi w:val="0"/>
              <w:rPr>
                <w:color w:val="auto"/>
              </w:rPr>
            </w:pPr>
            <w:r>
              <w:rPr>
                <w:color w:val="auto"/>
              </w:rPr>
              <w:t>1508</w:t>
            </w:r>
          </w:p>
        </w:tc>
        <w:tc>
          <w:tcPr>
            <w:tcW w:w="1263" w:type="pct"/>
            <w:noWrap w:val="0"/>
            <w:vAlign w:val="center"/>
          </w:tcPr>
          <w:p>
            <w:pPr>
              <w:pStyle w:val="35"/>
              <w:bidi w:val="0"/>
              <w:rPr>
                <w:color w:val="auto"/>
              </w:rPr>
            </w:pPr>
            <w:r>
              <w:rPr>
                <w:color w:val="auto"/>
              </w:rPr>
              <w:t>0</w:t>
            </w:r>
          </w:p>
        </w:tc>
        <w:tc>
          <w:tcPr>
            <w:tcW w:w="1000" w:type="pct"/>
            <w:noWrap w:val="0"/>
            <w:vAlign w:val="center"/>
          </w:tcPr>
          <w:p>
            <w:pPr>
              <w:pStyle w:val="35"/>
              <w:bidi w:val="0"/>
              <w:rPr>
                <w:color w:val="auto"/>
              </w:rPr>
            </w:pPr>
            <w:r>
              <w:rPr>
                <w:color w:val="auto"/>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999" w:type="pct"/>
            <w:noWrap w:val="0"/>
            <w:vAlign w:val="center"/>
          </w:tcPr>
          <w:p>
            <w:pPr>
              <w:pStyle w:val="35"/>
              <w:bidi w:val="0"/>
              <w:rPr>
                <w:color w:val="auto"/>
              </w:rPr>
            </w:pPr>
            <w:r>
              <w:rPr>
                <w:color w:val="auto"/>
              </w:rPr>
              <w:t>方家咀</w:t>
            </w:r>
          </w:p>
        </w:tc>
        <w:tc>
          <w:tcPr>
            <w:tcW w:w="792" w:type="pct"/>
            <w:noWrap w:val="0"/>
            <w:vAlign w:val="center"/>
          </w:tcPr>
          <w:p>
            <w:pPr>
              <w:pStyle w:val="35"/>
              <w:bidi w:val="0"/>
              <w:rPr>
                <w:color w:val="auto"/>
              </w:rPr>
            </w:pPr>
            <w:r>
              <w:rPr>
                <w:color w:val="auto"/>
              </w:rPr>
              <w:t>-681</w:t>
            </w:r>
          </w:p>
        </w:tc>
        <w:tc>
          <w:tcPr>
            <w:tcW w:w="944" w:type="pct"/>
            <w:noWrap w:val="0"/>
            <w:vAlign w:val="center"/>
          </w:tcPr>
          <w:p>
            <w:pPr>
              <w:pStyle w:val="35"/>
              <w:bidi w:val="0"/>
              <w:rPr>
                <w:color w:val="auto"/>
              </w:rPr>
            </w:pPr>
            <w:r>
              <w:rPr>
                <w:color w:val="auto"/>
              </w:rPr>
              <w:t>684</w:t>
            </w:r>
          </w:p>
        </w:tc>
        <w:tc>
          <w:tcPr>
            <w:tcW w:w="1263" w:type="pct"/>
            <w:noWrap w:val="0"/>
            <w:vAlign w:val="center"/>
          </w:tcPr>
          <w:p>
            <w:pPr>
              <w:pStyle w:val="35"/>
              <w:bidi w:val="0"/>
              <w:rPr>
                <w:color w:val="auto"/>
              </w:rPr>
            </w:pPr>
            <w:r>
              <w:rPr>
                <w:color w:val="auto"/>
              </w:rPr>
              <w:t>0</w:t>
            </w:r>
          </w:p>
        </w:tc>
        <w:tc>
          <w:tcPr>
            <w:tcW w:w="1000" w:type="pct"/>
            <w:noWrap w:val="0"/>
            <w:vAlign w:val="center"/>
          </w:tcPr>
          <w:p>
            <w:pPr>
              <w:pStyle w:val="35"/>
              <w:bidi w:val="0"/>
              <w:rPr>
                <w:color w:val="auto"/>
              </w:rPr>
            </w:pPr>
            <w:r>
              <w:rPr>
                <w:color w:val="auto"/>
              </w:rPr>
              <w:t>0</w:t>
            </w:r>
          </w:p>
        </w:tc>
      </w:tr>
      <w:tr>
        <w:trPr>
          <w:trHeight w:val="340" w:hRule="atLeast"/>
        </w:trPr>
        <w:tc>
          <w:tcPr>
            <w:tcW w:w="999" w:type="pct"/>
            <w:noWrap w:val="0"/>
            <w:vAlign w:val="center"/>
          </w:tcPr>
          <w:p>
            <w:pPr>
              <w:pStyle w:val="35"/>
              <w:bidi w:val="0"/>
              <w:rPr>
                <w:color w:val="auto"/>
              </w:rPr>
            </w:pPr>
            <w:r>
              <w:rPr>
                <w:color w:val="auto"/>
              </w:rPr>
              <w:t>东风村</w:t>
            </w:r>
          </w:p>
        </w:tc>
        <w:tc>
          <w:tcPr>
            <w:tcW w:w="792" w:type="pct"/>
            <w:noWrap w:val="0"/>
            <w:vAlign w:val="center"/>
          </w:tcPr>
          <w:p>
            <w:pPr>
              <w:pStyle w:val="35"/>
              <w:bidi w:val="0"/>
              <w:rPr>
                <w:color w:val="auto"/>
              </w:rPr>
            </w:pPr>
            <w:r>
              <w:rPr>
                <w:color w:val="auto"/>
              </w:rPr>
              <w:t>-1938</w:t>
            </w:r>
          </w:p>
        </w:tc>
        <w:tc>
          <w:tcPr>
            <w:tcW w:w="944" w:type="pct"/>
            <w:noWrap w:val="0"/>
            <w:vAlign w:val="center"/>
          </w:tcPr>
          <w:p>
            <w:pPr>
              <w:pStyle w:val="35"/>
              <w:bidi w:val="0"/>
              <w:rPr>
                <w:color w:val="auto"/>
              </w:rPr>
            </w:pPr>
            <w:r>
              <w:rPr>
                <w:color w:val="auto"/>
              </w:rPr>
              <w:t>-430</w:t>
            </w:r>
          </w:p>
        </w:tc>
        <w:tc>
          <w:tcPr>
            <w:tcW w:w="1263" w:type="pct"/>
            <w:noWrap w:val="0"/>
            <w:vAlign w:val="center"/>
          </w:tcPr>
          <w:p>
            <w:pPr>
              <w:pStyle w:val="35"/>
              <w:bidi w:val="0"/>
              <w:rPr>
                <w:color w:val="auto"/>
              </w:rPr>
            </w:pPr>
            <w:r>
              <w:rPr>
                <w:color w:val="auto"/>
              </w:rPr>
              <w:t>1.36E+02</w:t>
            </w:r>
          </w:p>
        </w:tc>
        <w:tc>
          <w:tcPr>
            <w:tcW w:w="1000" w:type="pct"/>
            <w:noWrap w:val="0"/>
            <w:vAlign w:val="center"/>
          </w:tcPr>
          <w:p>
            <w:pPr>
              <w:pStyle w:val="35"/>
              <w:bidi w:val="0"/>
              <w:rPr>
                <w:color w:val="auto"/>
              </w:rPr>
            </w:pPr>
            <w:r>
              <w:rPr>
                <w:color w:val="auto"/>
              </w:rPr>
              <w:t>17.58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999" w:type="pct"/>
            <w:noWrap w:val="0"/>
            <w:vAlign w:val="center"/>
          </w:tcPr>
          <w:p>
            <w:pPr>
              <w:pStyle w:val="35"/>
              <w:bidi w:val="0"/>
              <w:rPr>
                <w:color w:val="auto"/>
              </w:rPr>
            </w:pPr>
            <w:r>
              <w:rPr>
                <w:color w:val="auto"/>
              </w:rPr>
              <w:t>胜利村</w:t>
            </w:r>
          </w:p>
        </w:tc>
        <w:tc>
          <w:tcPr>
            <w:tcW w:w="792" w:type="pct"/>
            <w:noWrap w:val="0"/>
            <w:vAlign w:val="center"/>
          </w:tcPr>
          <w:p>
            <w:pPr>
              <w:pStyle w:val="35"/>
              <w:bidi w:val="0"/>
              <w:rPr>
                <w:color w:val="auto"/>
              </w:rPr>
            </w:pPr>
            <w:r>
              <w:rPr>
                <w:color w:val="auto"/>
              </w:rPr>
              <w:t>907</w:t>
            </w:r>
          </w:p>
        </w:tc>
        <w:tc>
          <w:tcPr>
            <w:tcW w:w="944" w:type="pct"/>
            <w:noWrap w:val="0"/>
            <w:vAlign w:val="center"/>
          </w:tcPr>
          <w:p>
            <w:pPr>
              <w:pStyle w:val="35"/>
              <w:bidi w:val="0"/>
              <w:rPr>
                <w:color w:val="auto"/>
              </w:rPr>
            </w:pPr>
            <w:r>
              <w:rPr>
                <w:color w:val="auto"/>
              </w:rPr>
              <w:t>-311</w:t>
            </w:r>
          </w:p>
        </w:tc>
        <w:tc>
          <w:tcPr>
            <w:tcW w:w="1263" w:type="pct"/>
            <w:noWrap w:val="0"/>
            <w:vAlign w:val="center"/>
          </w:tcPr>
          <w:p>
            <w:pPr>
              <w:pStyle w:val="35"/>
              <w:bidi w:val="0"/>
              <w:rPr>
                <w:color w:val="auto"/>
              </w:rPr>
            </w:pPr>
            <w:r>
              <w:rPr>
                <w:color w:val="auto"/>
              </w:rPr>
              <w:t>0</w:t>
            </w:r>
          </w:p>
        </w:tc>
        <w:tc>
          <w:tcPr>
            <w:tcW w:w="1000" w:type="pct"/>
            <w:noWrap w:val="0"/>
            <w:vAlign w:val="center"/>
          </w:tcPr>
          <w:p>
            <w:pPr>
              <w:pStyle w:val="35"/>
              <w:bidi w:val="0"/>
              <w:rPr>
                <w:color w:val="auto"/>
              </w:rPr>
            </w:pPr>
            <w:r>
              <w:rPr>
                <w:color w:val="auto"/>
              </w:rPr>
              <w:t>0</w:t>
            </w:r>
          </w:p>
        </w:tc>
      </w:tr>
      <w:tr>
        <w:trPr>
          <w:trHeight w:val="340" w:hRule="atLeast"/>
        </w:trPr>
        <w:tc>
          <w:tcPr>
            <w:tcW w:w="999" w:type="pct"/>
            <w:noWrap w:val="0"/>
            <w:vAlign w:val="center"/>
          </w:tcPr>
          <w:p>
            <w:pPr>
              <w:pStyle w:val="35"/>
              <w:bidi w:val="0"/>
              <w:rPr>
                <w:color w:val="auto"/>
              </w:rPr>
            </w:pPr>
            <w:r>
              <w:rPr>
                <w:color w:val="auto"/>
              </w:rPr>
              <w:t>胜利小区</w:t>
            </w:r>
          </w:p>
        </w:tc>
        <w:tc>
          <w:tcPr>
            <w:tcW w:w="792" w:type="pct"/>
            <w:noWrap w:val="0"/>
            <w:vAlign w:val="center"/>
          </w:tcPr>
          <w:p>
            <w:pPr>
              <w:pStyle w:val="35"/>
              <w:bidi w:val="0"/>
              <w:rPr>
                <w:color w:val="auto"/>
              </w:rPr>
            </w:pPr>
            <w:r>
              <w:rPr>
                <w:color w:val="auto"/>
              </w:rPr>
              <w:t>907</w:t>
            </w:r>
          </w:p>
        </w:tc>
        <w:tc>
          <w:tcPr>
            <w:tcW w:w="944" w:type="pct"/>
            <w:noWrap w:val="0"/>
            <w:vAlign w:val="center"/>
          </w:tcPr>
          <w:p>
            <w:pPr>
              <w:pStyle w:val="35"/>
              <w:bidi w:val="0"/>
              <w:rPr>
                <w:color w:val="auto"/>
              </w:rPr>
            </w:pPr>
            <w:r>
              <w:rPr>
                <w:color w:val="auto"/>
              </w:rPr>
              <w:t>-1119</w:t>
            </w:r>
          </w:p>
        </w:tc>
        <w:tc>
          <w:tcPr>
            <w:tcW w:w="1263" w:type="pct"/>
            <w:noWrap w:val="0"/>
            <w:vAlign w:val="center"/>
          </w:tcPr>
          <w:p>
            <w:pPr>
              <w:pStyle w:val="35"/>
              <w:bidi w:val="0"/>
              <w:rPr>
                <w:color w:val="auto"/>
              </w:rPr>
            </w:pPr>
            <w:r>
              <w:rPr>
                <w:color w:val="auto"/>
              </w:rPr>
              <w:t>0</w:t>
            </w:r>
          </w:p>
        </w:tc>
        <w:tc>
          <w:tcPr>
            <w:tcW w:w="1000" w:type="pct"/>
            <w:noWrap w:val="0"/>
            <w:vAlign w:val="center"/>
          </w:tcPr>
          <w:p>
            <w:pPr>
              <w:pStyle w:val="35"/>
              <w:bidi w:val="0"/>
              <w:rPr>
                <w:color w:val="auto"/>
              </w:rPr>
            </w:pPr>
            <w:r>
              <w:rPr>
                <w:color w:val="auto"/>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999" w:type="pct"/>
            <w:noWrap w:val="0"/>
            <w:vAlign w:val="center"/>
          </w:tcPr>
          <w:p>
            <w:pPr>
              <w:pStyle w:val="35"/>
              <w:bidi w:val="0"/>
              <w:rPr>
                <w:color w:val="auto"/>
              </w:rPr>
            </w:pPr>
            <w:r>
              <w:rPr>
                <w:color w:val="auto"/>
              </w:rPr>
              <w:t>云溪区一中</w:t>
            </w:r>
          </w:p>
        </w:tc>
        <w:tc>
          <w:tcPr>
            <w:tcW w:w="792" w:type="pct"/>
            <w:noWrap w:val="0"/>
            <w:vAlign w:val="center"/>
          </w:tcPr>
          <w:p>
            <w:pPr>
              <w:pStyle w:val="35"/>
              <w:bidi w:val="0"/>
              <w:rPr>
                <w:color w:val="auto"/>
              </w:rPr>
            </w:pPr>
            <w:r>
              <w:rPr>
                <w:color w:val="auto"/>
              </w:rPr>
              <w:t>1492</w:t>
            </w:r>
          </w:p>
        </w:tc>
        <w:tc>
          <w:tcPr>
            <w:tcW w:w="944" w:type="pct"/>
            <w:noWrap w:val="0"/>
            <w:vAlign w:val="center"/>
          </w:tcPr>
          <w:p>
            <w:pPr>
              <w:pStyle w:val="35"/>
              <w:bidi w:val="0"/>
              <w:rPr>
                <w:color w:val="auto"/>
              </w:rPr>
            </w:pPr>
            <w:r>
              <w:rPr>
                <w:color w:val="auto"/>
              </w:rPr>
              <w:t>-1009</w:t>
            </w:r>
          </w:p>
        </w:tc>
        <w:tc>
          <w:tcPr>
            <w:tcW w:w="1263" w:type="pct"/>
            <w:noWrap w:val="0"/>
            <w:vAlign w:val="center"/>
          </w:tcPr>
          <w:p>
            <w:pPr>
              <w:pStyle w:val="35"/>
              <w:bidi w:val="0"/>
              <w:rPr>
                <w:color w:val="auto"/>
              </w:rPr>
            </w:pPr>
            <w:r>
              <w:rPr>
                <w:color w:val="auto"/>
              </w:rPr>
              <w:t>0</w:t>
            </w:r>
          </w:p>
        </w:tc>
        <w:tc>
          <w:tcPr>
            <w:tcW w:w="1000" w:type="pct"/>
            <w:noWrap w:val="0"/>
            <w:vAlign w:val="center"/>
          </w:tcPr>
          <w:p>
            <w:pPr>
              <w:pStyle w:val="35"/>
              <w:bidi w:val="0"/>
              <w:rPr>
                <w:color w:val="auto"/>
              </w:rPr>
            </w:pPr>
            <w:r>
              <w:rPr>
                <w:color w:val="auto"/>
              </w:rPr>
              <w:t>0</w:t>
            </w:r>
          </w:p>
        </w:tc>
      </w:tr>
      <w:tr>
        <w:trPr>
          <w:trHeight w:val="340" w:hRule="atLeast"/>
        </w:trPr>
        <w:tc>
          <w:tcPr>
            <w:tcW w:w="999" w:type="pct"/>
            <w:noWrap w:val="0"/>
            <w:vAlign w:val="center"/>
          </w:tcPr>
          <w:p>
            <w:pPr>
              <w:pStyle w:val="35"/>
              <w:bidi w:val="0"/>
              <w:rPr>
                <w:color w:val="auto"/>
              </w:rPr>
            </w:pPr>
            <w:r>
              <w:rPr>
                <w:color w:val="auto"/>
              </w:rPr>
              <w:t>云溪城区</w:t>
            </w:r>
          </w:p>
        </w:tc>
        <w:tc>
          <w:tcPr>
            <w:tcW w:w="792" w:type="pct"/>
            <w:noWrap w:val="0"/>
            <w:vAlign w:val="center"/>
          </w:tcPr>
          <w:p>
            <w:pPr>
              <w:pStyle w:val="35"/>
              <w:bidi w:val="0"/>
              <w:rPr>
                <w:color w:val="auto"/>
              </w:rPr>
            </w:pPr>
            <w:r>
              <w:rPr>
                <w:color w:val="auto"/>
              </w:rPr>
              <w:t>1170</w:t>
            </w:r>
          </w:p>
        </w:tc>
        <w:tc>
          <w:tcPr>
            <w:tcW w:w="944" w:type="pct"/>
            <w:noWrap w:val="0"/>
            <w:vAlign w:val="center"/>
          </w:tcPr>
          <w:p>
            <w:pPr>
              <w:pStyle w:val="35"/>
              <w:bidi w:val="0"/>
              <w:rPr>
                <w:color w:val="auto"/>
              </w:rPr>
            </w:pPr>
            <w:r>
              <w:rPr>
                <w:color w:val="auto"/>
              </w:rPr>
              <w:t>-1332</w:t>
            </w:r>
          </w:p>
        </w:tc>
        <w:tc>
          <w:tcPr>
            <w:tcW w:w="1263" w:type="pct"/>
            <w:noWrap w:val="0"/>
            <w:vAlign w:val="center"/>
          </w:tcPr>
          <w:p>
            <w:pPr>
              <w:pStyle w:val="35"/>
              <w:bidi w:val="0"/>
              <w:rPr>
                <w:color w:val="auto"/>
              </w:rPr>
            </w:pPr>
            <w:r>
              <w:rPr>
                <w:color w:val="auto"/>
              </w:rPr>
              <w:t>0</w:t>
            </w:r>
          </w:p>
        </w:tc>
        <w:tc>
          <w:tcPr>
            <w:tcW w:w="1000" w:type="pct"/>
            <w:noWrap w:val="0"/>
            <w:vAlign w:val="center"/>
          </w:tcPr>
          <w:p>
            <w:pPr>
              <w:pStyle w:val="35"/>
              <w:bidi w:val="0"/>
              <w:rPr>
                <w:color w:val="auto"/>
              </w:rPr>
            </w:pPr>
            <w:r>
              <w:rPr>
                <w:color w:val="auto"/>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999" w:type="pct"/>
            <w:noWrap w:val="0"/>
            <w:vAlign w:val="center"/>
          </w:tcPr>
          <w:p>
            <w:pPr>
              <w:pStyle w:val="35"/>
              <w:bidi w:val="0"/>
              <w:rPr>
                <w:color w:val="auto"/>
              </w:rPr>
            </w:pPr>
            <w:r>
              <w:rPr>
                <w:color w:val="auto"/>
              </w:rPr>
              <w:t>云溪区中心小学</w:t>
            </w:r>
          </w:p>
        </w:tc>
        <w:tc>
          <w:tcPr>
            <w:tcW w:w="792" w:type="pct"/>
            <w:noWrap w:val="0"/>
            <w:vAlign w:val="center"/>
          </w:tcPr>
          <w:p>
            <w:pPr>
              <w:pStyle w:val="35"/>
              <w:bidi w:val="0"/>
              <w:rPr>
                <w:color w:val="auto"/>
              </w:rPr>
            </w:pPr>
            <w:r>
              <w:rPr>
                <w:color w:val="auto"/>
              </w:rPr>
              <w:t>1976</w:t>
            </w:r>
          </w:p>
        </w:tc>
        <w:tc>
          <w:tcPr>
            <w:tcW w:w="944" w:type="pct"/>
            <w:noWrap w:val="0"/>
            <w:vAlign w:val="center"/>
          </w:tcPr>
          <w:p>
            <w:pPr>
              <w:pStyle w:val="35"/>
              <w:bidi w:val="0"/>
              <w:rPr>
                <w:color w:val="auto"/>
              </w:rPr>
            </w:pPr>
            <w:r>
              <w:rPr>
                <w:color w:val="auto"/>
              </w:rPr>
              <w:t>-1298</w:t>
            </w:r>
          </w:p>
        </w:tc>
        <w:tc>
          <w:tcPr>
            <w:tcW w:w="1263" w:type="pct"/>
            <w:noWrap w:val="0"/>
            <w:vAlign w:val="center"/>
          </w:tcPr>
          <w:p>
            <w:pPr>
              <w:pStyle w:val="35"/>
              <w:bidi w:val="0"/>
              <w:rPr>
                <w:color w:val="auto"/>
              </w:rPr>
            </w:pPr>
            <w:r>
              <w:rPr>
                <w:color w:val="auto"/>
              </w:rPr>
              <w:t>0</w:t>
            </w:r>
          </w:p>
        </w:tc>
        <w:tc>
          <w:tcPr>
            <w:tcW w:w="1000" w:type="pct"/>
            <w:noWrap w:val="0"/>
            <w:vAlign w:val="center"/>
          </w:tcPr>
          <w:p>
            <w:pPr>
              <w:pStyle w:val="35"/>
              <w:bidi w:val="0"/>
              <w:rPr>
                <w:color w:val="auto"/>
              </w:rPr>
            </w:pPr>
            <w:r>
              <w:rPr>
                <w:color w:val="auto"/>
              </w:rPr>
              <w:t>0</w:t>
            </w:r>
          </w:p>
        </w:tc>
      </w:tr>
      <w:tr>
        <w:trPr>
          <w:trHeight w:val="340" w:hRule="atLeast"/>
        </w:trPr>
        <w:tc>
          <w:tcPr>
            <w:tcW w:w="999" w:type="pct"/>
            <w:noWrap w:val="0"/>
            <w:vAlign w:val="center"/>
          </w:tcPr>
          <w:p>
            <w:pPr>
              <w:pStyle w:val="35"/>
              <w:bidi w:val="0"/>
              <w:rPr>
                <w:color w:val="auto"/>
              </w:rPr>
            </w:pPr>
            <w:r>
              <w:rPr>
                <w:color w:val="auto"/>
              </w:rPr>
              <w:t>云溪区人民医院</w:t>
            </w:r>
          </w:p>
        </w:tc>
        <w:tc>
          <w:tcPr>
            <w:tcW w:w="792" w:type="pct"/>
            <w:noWrap w:val="0"/>
            <w:vAlign w:val="center"/>
          </w:tcPr>
          <w:p>
            <w:pPr>
              <w:pStyle w:val="35"/>
              <w:bidi w:val="0"/>
              <w:rPr>
                <w:color w:val="auto"/>
              </w:rPr>
            </w:pPr>
            <w:r>
              <w:rPr>
                <w:color w:val="auto"/>
              </w:rPr>
              <w:t>1679</w:t>
            </w:r>
          </w:p>
        </w:tc>
        <w:tc>
          <w:tcPr>
            <w:tcW w:w="944" w:type="pct"/>
            <w:noWrap w:val="0"/>
            <w:vAlign w:val="center"/>
          </w:tcPr>
          <w:p>
            <w:pPr>
              <w:pStyle w:val="35"/>
              <w:bidi w:val="0"/>
              <w:rPr>
                <w:color w:val="auto"/>
              </w:rPr>
            </w:pPr>
            <w:r>
              <w:rPr>
                <w:color w:val="auto"/>
              </w:rPr>
              <w:t>-1612</w:t>
            </w:r>
          </w:p>
        </w:tc>
        <w:tc>
          <w:tcPr>
            <w:tcW w:w="1263" w:type="pct"/>
            <w:noWrap w:val="0"/>
            <w:vAlign w:val="center"/>
          </w:tcPr>
          <w:p>
            <w:pPr>
              <w:pStyle w:val="35"/>
              <w:bidi w:val="0"/>
              <w:rPr>
                <w:color w:val="auto"/>
              </w:rPr>
            </w:pPr>
            <w:r>
              <w:rPr>
                <w:color w:val="auto"/>
              </w:rPr>
              <w:t>0</w:t>
            </w:r>
          </w:p>
        </w:tc>
        <w:tc>
          <w:tcPr>
            <w:tcW w:w="1000" w:type="pct"/>
            <w:noWrap w:val="0"/>
            <w:vAlign w:val="center"/>
          </w:tcPr>
          <w:p>
            <w:pPr>
              <w:pStyle w:val="35"/>
              <w:bidi w:val="0"/>
              <w:rPr>
                <w:color w:val="auto"/>
              </w:rPr>
            </w:pPr>
            <w:r>
              <w:rPr>
                <w:color w:val="auto"/>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999" w:type="pct"/>
            <w:noWrap w:val="0"/>
            <w:vAlign w:val="center"/>
          </w:tcPr>
          <w:p>
            <w:pPr>
              <w:pStyle w:val="35"/>
              <w:bidi w:val="0"/>
              <w:rPr>
                <w:color w:val="auto"/>
              </w:rPr>
            </w:pPr>
            <w:r>
              <w:rPr>
                <w:color w:val="auto"/>
              </w:rPr>
              <w:t>云溪区中医院</w:t>
            </w:r>
          </w:p>
        </w:tc>
        <w:tc>
          <w:tcPr>
            <w:tcW w:w="792" w:type="pct"/>
            <w:noWrap w:val="0"/>
            <w:vAlign w:val="center"/>
          </w:tcPr>
          <w:p>
            <w:pPr>
              <w:pStyle w:val="35"/>
              <w:bidi w:val="0"/>
              <w:rPr>
                <w:color w:val="auto"/>
              </w:rPr>
            </w:pPr>
            <w:r>
              <w:rPr>
                <w:color w:val="auto"/>
              </w:rPr>
              <w:t>1637</w:t>
            </w:r>
          </w:p>
        </w:tc>
        <w:tc>
          <w:tcPr>
            <w:tcW w:w="944" w:type="pct"/>
            <w:noWrap w:val="0"/>
            <w:vAlign w:val="center"/>
          </w:tcPr>
          <w:p>
            <w:pPr>
              <w:pStyle w:val="35"/>
              <w:bidi w:val="0"/>
              <w:rPr>
                <w:color w:val="auto"/>
              </w:rPr>
            </w:pPr>
            <w:r>
              <w:rPr>
                <w:color w:val="auto"/>
              </w:rPr>
              <w:t>-2395</w:t>
            </w:r>
          </w:p>
        </w:tc>
        <w:tc>
          <w:tcPr>
            <w:tcW w:w="1263" w:type="pct"/>
            <w:noWrap w:val="0"/>
            <w:vAlign w:val="center"/>
          </w:tcPr>
          <w:p>
            <w:pPr>
              <w:pStyle w:val="35"/>
              <w:bidi w:val="0"/>
              <w:rPr>
                <w:color w:val="auto"/>
              </w:rPr>
            </w:pPr>
            <w:r>
              <w:rPr>
                <w:color w:val="auto"/>
              </w:rPr>
              <w:t>0</w:t>
            </w:r>
          </w:p>
        </w:tc>
        <w:tc>
          <w:tcPr>
            <w:tcW w:w="1000" w:type="pct"/>
            <w:noWrap w:val="0"/>
            <w:vAlign w:val="center"/>
          </w:tcPr>
          <w:p>
            <w:pPr>
              <w:pStyle w:val="35"/>
              <w:bidi w:val="0"/>
              <w:rPr>
                <w:color w:val="auto"/>
              </w:rPr>
            </w:pPr>
            <w:r>
              <w:rPr>
                <w:color w:val="auto"/>
              </w:rPr>
              <w:t>0</w:t>
            </w:r>
          </w:p>
        </w:tc>
      </w:tr>
      <w:tr>
        <w:trPr>
          <w:trHeight w:val="340" w:hRule="atLeast"/>
        </w:trPr>
        <w:tc>
          <w:tcPr>
            <w:tcW w:w="999" w:type="pct"/>
            <w:noWrap w:val="0"/>
            <w:vAlign w:val="center"/>
          </w:tcPr>
          <w:p>
            <w:pPr>
              <w:pStyle w:val="35"/>
              <w:bidi w:val="0"/>
              <w:rPr>
                <w:color w:val="auto"/>
              </w:rPr>
            </w:pPr>
            <w:r>
              <w:rPr>
                <w:color w:val="auto"/>
              </w:rPr>
              <w:t>基隆村</w:t>
            </w:r>
          </w:p>
        </w:tc>
        <w:tc>
          <w:tcPr>
            <w:tcW w:w="792" w:type="pct"/>
            <w:noWrap w:val="0"/>
            <w:vAlign w:val="center"/>
          </w:tcPr>
          <w:p>
            <w:pPr>
              <w:pStyle w:val="35"/>
              <w:bidi w:val="0"/>
              <w:rPr>
                <w:color w:val="auto"/>
              </w:rPr>
            </w:pPr>
            <w:r>
              <w:rPr>
                <w:color w:val="auto"/>
              </w:rPr>
              <w:t>915</w:t>
            </w:r>
          </w:p>
        </w:tc>
        <w:tc>
          <w:tcPr>
            <w:tcW w:w="944" w:type="pct"/>
            <w:noWrap w:val="0"/>
            <w:vAlign w:val="center"/>
          </w:tcPr>
          <w:p>
            <w:pPr>
              <w:pStyle w:val="35"/>
              <w:bidi w:val="0"/>
              <w:rPr>
                <w:color w:val="auto"/>
              </w:rPr>
            </w:pPr>
            <w:r>
              <w:rPr>
                <w:color w:val="auto"/>
              </w:rPr>
              <w:t>2890</w:t>
            </w:r>
          </w:p>
        </w:tc>
        <w:tc>
          <w:tcPr>
            <w:tcW w:w="1263" w:type="pct"/>
            <w:noWrap w:val="0"/>
            <w:vAlign w:val="center"/>
          </w:tcPr>
          <w:p>
            <w:pPr>
              <w:pStyle w:val="35"/>
              <w:bidi w:val="0"/>
              <w:rPr>
                <w:color w:val="auto"/>
              </w:rPr>
            </w:pPr>
            <w:r>
              <w:rPr>
                <w:color w:val="auto"/>
              </w:rPr>
              <w:t>0</w:t>
            </w:r>
          </w:p>
        </w:tc>
        <w:tc>
          <w:tcPr>
            <w:tcW w:w="1000" w:type="pct"/>
            <w:noWrap w:val="0"/>
            <w:vAlign w:val="center"/>
          </w:tcPr>
          <w:p>
            <w:pPr>
              <w:pStyle w:val="35"/>
              <w:bidi w:val="0"/>
              <w:rPr>
                <w:color w:val="auto"/>
              </w:rPr>
            </w:pPr>
            <w:r>
              <w:rPr>
                <w:color w:val="auto"/>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999" w:type="pct"/>
            <w:noWrap w:val="0"/>
            <w:vAlign w:val="center"/>
          </w:tcPr>
          <w:p>
            <w:pPr>
              <w:pStyle w:val="35"/>
              <w:bidi w:val="0"/>
              <w:rPr>
                <w:color w:val="auto"/>
              </w:rPr>
            </w:pPr>
            <w:r>
              <w:rPr>
                <w:color w:val="auto"/>
              </w:rPr>
              <w:t>滨湖村</w:t>
            </w:r>
          </w:p>
        </w:tc>
        <w:tc>
          <w:tcPr>
            <w:tcW w:w="792" w:type="pct"/>
            <w:noWrap w:val="0"/>
            <w:vAlign w:val="center"/>
          </w:tcPr>
          <w:p>
            <w:pPr>
              <w:pStyle w:val="35"/>
              <w:bidi w:val="0"/>
              <w:rPr>
                <w:color w:val="auto"/>
              </w:rPr>
            </w:pPr>
            <w:r>
              <w:rPr>
                <w:color w:val="auto"/>
              </w:rPr>
              <w:t>-2960</w:t>
            </w:r>
          </w:p>
        </w:tc>
        <w:tc>
          <w:tcPr>
            <w:tcW w:w="944" w:type="pct"/>
            <w:noWrap w:val="0"/>
            <w:vAlign w:val="center"/>
          </w:tcPr>
          <w:p>
            <w:pPr>
              <w:pStyle w:val="35"/>
              <w:bidi w:val="0"/>
              <w:rPr>
                <w:color w:val="auto"/>
              </w:rPr>
            </w:pPr>
            <w:r>
              <w:rPr>
                <w:color w:val="auto"/>
              </w:rPr>
              <w:t>-3817</w:t>
            </w:r>
          </w:p>
        </w:tc>
        <w:tc>
          <w:tcPr>
            <w:tcW w:w="1263" w:type="pct"/>
            <w:noWrap w:val="0"/>
            <w:vAlign w:val="center"/>
          </w:tcPr>
          <w:p>
            <w:pPr>
              <w:pStyle w:val="35"/>
              <w:bidi w:val="0"/>
              <w:rPr>
                <w:color w:val="auto"/>
              </w:rPr>
            </w:pPr>
            <w:r>
              <w:rPr>
                <w:color w:val="auto"/>
              </w:rPr>
              <w:t>0</w:t>
            </w:r>
          </w:p>
        </w:tc>
        <w:tc>
          <w:tcPr>
            <w:tcW w:w="1000" w:type="pct"/>
            <w:noWrap w:val="0"/>
            <w:vAlign w:val="center"/>
          </w:tcPr>
          <w:p>
            <w:pPr>
              <w:pStyle w:val="35"/>
              <w:bidi w:val="0"/>
              <w:rPr>
                <w:color w:val="auto"/>
              </w:rPr>
            </w:pPr>
            <w:r>
              <w:rPr>
                <w:color w:val="auto"/>
              </w:rPr>
              <w:t>0</w:t>
            </w:r>
          </w:p>
        </w:tc>
      </w:tr>
      <w:tr>
        <w:trPr>
          <w:trHeight w:val="340" w:hRule="atLeast"/>
        </w:trPr>
        <w:tc>
          <w:tcPr>
            <w:tcW w:w="999" w:type="pct"/>
            <w:noWrap w:val="0"/>
            <w:vAlign w:val="center"/>
          </w:tcPr>
          <w:p>
            <w:pPr>
              <w:pStyle w:val="35"/>
              <w:bidi w:val="0"/>
              <w:rPr>
                <w:color w:val="auto"/>
              </w:rPr>
            </w:pPr>
            <w:r>
              <w:rPr>
                <w:color w:val="auto"/>
              </w:rPr>
              <w:t>凌泊湖小区</w:t>
            </w:r>
          </w:p>
        </w:tc>
        <w:tc>
          <w:tcPr>
            <w:tcW w:w="792" w:type="pct"/>
            <w:noWrap w:val="0"/>
            <w:vAlign w:val="center"/>
          </w:tcPr>
          <w:p>
            <w:pPr>
              <w:pStyle w:val="35"/>
              <w:bidi w:val="0"/>
              <w:rPr>
                <w:color w:val="auto"/>
              </w:rPr>
            </w:pPr>
            <w:r>
              <w:rPr>
                <w:color w:val="auto"/>
              </w:rPr>
              <w:t>-4370</w:t>
            </w:r>
          </w:p>
        </w:tc>
        <w:tc>
          <w:tcPr>
            <w:tcW w:w="944" w:type="pct"/>
            <w:noWrap w:val="0"/>
            <w:vAlign w:val="center"/>
          </w:tcPr>
          <w:p>
            <w:pPr>
              <w:pStyle w:val="35"/>
              <w:bidi w:val="0"/>
              <w:rPr>
                <w:color w:val="auto"/>
              </w:rPr>
            </w:pPr>
            <w:r>
              <w:rPr>
                <w:color w:val="auto"/>
              </w:rPr>
              <w:t>-2882</w:t>
            </w:r>
          </w:p>
        </w:tc>
        <w:tc>
          <w:tcPr>
            <w:tcW w:w="1263" w:type="pct"/>
            <w:noWrap w:val="0"/>
            <w:vAlign w:val="center"/>
          </w:tcPr>
          <w:p>
            <w:pPr>
              <w:pStyle w:val="35"/>
              <w:bidi w:val="0"/>
              <w:rPr>
                <w:color w:val="auto"/>
              </w:rPr>
            </w:pPr>
            <w:r>
              <w:rPr>
                <w:color w:val="auto"/>
              </w:rPr>
              <w:t>4.02E+01</w:t>
            </w:r>
          </w:p>
        </w:tc>
        <w:tc>
          <w:tcPr>
            <w:tcW w:w="1000" w:type="pct"/>
            <w:noWrap w:val="0"/>
            <w:vAlign w:val="center"/>
          </w:tcPr>
          <w:p>
            <w:pPr>
              <w:pStyle w:val="35"/>
              <w:bidi w:val="0"/>
              <w:rPr>
                <w:color w:val="auto"/>
              </w:rPr>
            </w:pPr>
            <w:r>
              <w:rPr>
                <w:color w:val="auto"/>
              </w:rPr>
              <w:t>41.33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999" w:type="pct"/>
            <w:noWrap w:val="0"/>
            <w:vAlign w:val="center"/>
          </w:tcPr>
          <w:p>
            <w:pPr>
              <w:pStyle w:val="35"/>
              <w:bidi w:val="0"/>
              <w:rPr>
                <w:color w:val="auto"/>
              </w:rPr>
            </w:pPr>
            <w:r>
              <w:rPr>
                <w:color w:val="auto"/>
              </w:rPr>
              <w:t>滨湖村</w:t>
            </w:r>
          </w:p>
        </w:tc>
        <w:tc>
          <w:tcPr>
            <w:tcW w:w="792" w:type="pct"/>
            <w:noWrap w:val="0"/>
            <w:vAlign w:val="center"/>
          </w:tcPr>
          <w:p>
            <w:pPr>
              <w:pStyle w:val="35"/>
              <w:bidi w:val="0"/>
              <w:rPr>
                <w:color w:val="auto"/>
              </w:rPr>
            </w:pPr>
            <w:r>
              <w:rPr>
                <w:color w:val="auto"/>
              </w:rPr>
              <w:t>-3003</w:t>
            </w:r>
          </w:p>
        </w:tc>
        <w:tc>
          <w:tcPr>
            <w:tcW w:w="944" w:type="pct"/>
            <w:noWrap w:val="0"/>
            <w:vAlign w:val="center"/>
          </w:tcPr>
          <w:p>
            <w:pPr>
              <w:pStyle w:val="35"/>
              <w:bidi w:val="0"/>
              <w:rPr>
                <w:color w:val="auto"/>
              </w:rPr>
            </w:pPr>
            <w:r>
              <w:rPr>
                <w:color w:val="auto"/>
              </w:rPr>
              <w:t>-4046</w:t>
            </w:r>
          </w:p>
        </w:tc>
        <w:tc>
          <w:tcPr>
            <w:tcW w:w="1263" w:type="pct"/>
            <w:noWrap w:val="0"/>
            <w:vAlign w:val="center"/>
          </w:tcPr>
          <w:p>
            <w:pPr>
              <w:pStyle w:val="35"/>
              <w:bidi w:val="0"/>
              <w:rPr>
                <w:color w:val="auto"/>
              </w:rPr>
            </w:pPr>
            <w:r>
              <w:rPr>
                <w:color w:val="auto"/>
              </w:rPr>
              <w:t>4.25E+01</w:t>
            </w:r>
          </w:p>
        </w:tc>
        <w:tc>
          <w:tcPr>
            <w:tcW w:w="1000" w:type="pct"/>
            <w:noWrap w:val="0"/>
            <w:vAlign w:val="center"/>
          </w:tcPr>
          <w:p>
            <w:pPr>
              <w:pStyle w:val="35"/>
              <w:bidi w:val="0"/>
              <w:rPr>
                <w:color w:val="auto"/>
              </w:rPr>
            </w:pPr>
            <w:r>
              <w:rPr>
                <w:color w:val="auto"/>
              </w:rPr>
              <w:t>34.66</w:t>
            </w:r>
          </w:p>
        </w:tc>
      </w:tr>
      <w:tr>
        <w:trPr>
          <w:trHeight w:val="340" w:hRule="atLeast"/>
        </w:trPr>
        <w:tc>
          <w:tcPr>
            <w:tcW w:w="999" w:type="pct"/>
            <w:noWrap w:val="0"/>
            <w:vAlign w:val="center"/>
          </w:tcPr>
          <w:p>
            <w:pPr>
              <w:pStyle w:val="35"/>
              <w:bidi w:val="0"/>
              <w:rPr>
                <w:color w:val="auto"/>
              </w:rPr>
            </w:pPr>
            <w:r>
              <w:rPr>
                <w:color w:val="auto"/>
              </w:rPr>
              <w:t>滨湖小学</w:t>
            </w:r>
          </w:p>
        </w:tc>
        <w:tc>
          <w:tcPr>
            <w:tcW w:w="792" w:type="pct"/>
            <w:noWrap w:val="0"/>
            <w:vAlign w:val="center"/>
          </w:tcPr>
          <w:p>
            <w:pPr>
              <w:pStyle w:val="35"/>
              <w:bidi w:val="0"/>
              <w:rPr>
                <w:color w:val="auto"/>
              </w:rPr>
            </w:pPr>
            <w:r>
              <w:rPr>
                <w:color w:val="auto"/>
              </w:rPr>
              <w:t>4229</w:t>
            </w:r>
          </w:p>
        </w:tc>
        <w:tc>
          <w:tcPr>
            <w:tcW w:w="944" w:type="pct"/>
            <w:noWrap w:val="0"/>
            <w:vAlign w:val="center"/>
          </w:tcPr>
          <w:p>
            <w:pPr>
              <w:pStyle w:val="35"/>
              <w:bidi w:val="0"/>
              <w:rPr>
                <w:color w:val="auto"/>
              </w:rPr>
            </w:pPr>
            <w:r>
              <w:rPr>
                <w:color w:val="auto"/>
              </w:rPr>
              <w:t>-873</w:t>
            </w:r>
          </w:p>
        </w:tc>
        <w:tc>
          <w:tcPr>
            <w:tcW w:w="1263" w:type="pct"/>
            <w:noWrap w:val="0"/>
            <w:vAlign w:val="center"/>
          </w:tcPr>
          <w:p>
            <w:pPr>
              <w:pStyle w:val="35"/>
              <w:bidi w:val="0"/>
              <w:rPr>
                <w:color w:val="auto"/>
              </w:rPr>
            </w:pPr>
            <w:r>
              <w:rPr>
                <w:color w:val="auto"/>
              </w:rPr>
              <w:t>5.12E+01</w:t>
            </w:r>
          </w:p>
        </w:tc>
        <w:tc>
          <w:tcPr>
            <w:tcW w:w="1000" w:type="pct"/>
            <w:noWrap w:val="0"/>
            <w:vAlign w:val="center"/>
          </w:tcPr>
          <w:p>
            <w:pPr>
              <w:pStyle w:val="35"/>
              <w:bidi w:val="0"/>
              <w:rPr>
                <w:color w:val="auto"/>
              </w:rPr>
            </w:pPr>
            <w:r>
              <w:rPr>
                <w:color w:val="auto"/>
              </w:rPr>
              <w:t>35.55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999" w:type="pct"/>
            <w:noWrap w:val="0"/>
            <w:vAlign w:val="center"/>
          </w:tcPr>
          <w:p>
            <w:pPr>
              <w:pStyle w:val="35"/>
              <w:bidi w:val="0"/>
              <w:rPr>
                <w:color w:val="auto"/>
              </w:rPr>
            </w:pPr>
            <w:r>
              <w:rPr>
                <w:color w:val="auto"/>
              </w:rPr>
              <w:t>青坡社区</w:t>
            </w:r>
          </w:p>
        </w:tc>
        <w:tc>
          <w:tcPr>
            <w:tcW w:w="792" w:type="pct"/>
            <w:noWrap w:val="0"/>
            <w:vAlign w:val="center"/>
          </w:tcPr>
          <w:p>
            <w:pPr>
              <w:pStyle w:val="35"/>
              <w:bidi w:val="0"/>
              <w:rPr>
                <w:color w:val="auto"/>
              </w:rPr>
            </w:pPr>
            <w:r>
              <w:rPr>
                <w:color w:val="auto"/>
              </w:rPr>
              <w:t>1983</w:t>
            </w:r>
          </w:p>
        </w:tc>
        <w:tc>
          <w:tcPr>
            <w:tcW w:w="944" w:type="pct"/>
            <w:noWrap w:val="0"/>
            <w:vAlign w:val="center"/>
          </w:tcPr>
          <w:p>
            <w:pPr>
              <w:pStyle w:val="35"/>
              <w:bidi w:val="0"/>
              <w:rPr>
                <w:color w:val="auto"/>
              </w:rPr>
            </w:pPr>
            <w:r>
              <w:rPr>
                <w:color w:val="auto"/>
              </w:rPr>
              <w:t>1508</w:t>
            </w:r>
          </w:p>
        </w:tc>
        <w:tc>
          <w:tcPr>
            <w:tcW w:w="1263" w:type="pct"/>
            <w:noWrap w:val="0"/>
            <w:vAlign w:val="center"/>
          </w:tcPr>
          <w:p>
            <w:pPr>
              <w:pStyle w:val="35"/>
              <w:bidi w:val="0"/>
              <w:rPr>
                <w:color w:val="auto"/>
              </w:rPr>
            </w:pPr>
            <w:r>
              <w:rPr>
                <w:color w:val="auto"/>
              </w:rPr>
              <w:t>0</w:t>
            </w:r>
          </w:p>
        </w:tc>
        <w:tc>
          <w:tcPr>
            <w:tcW w:w="1000" w:type="pct"/>
            <w:noWrap w:val="0"/>
            <w:vAlign w:val="center"/>
          </w:tcPr>
          <w:p>
            <w:pPr>
              <w:pStyle w:val="35"/>
              <w:bidi w:val="0"/>
              <w:rPr>
                <w:color w:val="auto"/>
              </w:rPr>
            </w:pPr>
            <w:r>
              <w:rPr>
                <w:color w:val="auto"/>
              </w:rPr>
              <w:t>0</w:t>
            </w:r>
          </w:p>
        </w:tc>
      </w:tr>
    </w:tbl>
    <w:p>
      <w:pPr>
        <w:pStyle w:val="33"/>
        <w:bidi w:val="0"/>
        <w:rPr>
          <w:color w:val="auto"/>
        </w:rPr>
      </w:pPr>
      <w:r>
        <w:rPr>
          <w:color w:val="auto"/>
        </w:rPr>
        <w:t>（3）事故源项及事故后果基本信息</w:t>
      </w:r>
    </w:p>
    <w:p>
      <w:pPr>
        <w:pStyle w:val="36"/>
        <w:bidi w:val="0"/>
        <w:rPr>
          <w:color w:val="auto"/>
        </w:rPr>
      </w:pPr>
      <w:r>
        <w:rPr>
          <w:color w:val="auto"/>
        </w:rPr>
        <w:t>表</w:t>
      </w:r>
      <w:r>
        <w:rPr>
          <w:rFonts w:hint="eastAsia"/>
          <w:color w:val="auto"/>
          <w:lang w:val="en-US" w:eastAsia="zh-CN"/>
        </w:rPr>
        <w:t>9</w:t>
      </w:r>
      <w:r>
        <w:rPr>
          <w:color w:val="auto"/>
        </w:rPr>
        <w:t>.6-</w:t>
      </w:r>
      <w:r>
        <w:rPr>
          <w:rFonts w:hint="eastAsia"/>
          <w:color w:val="auto"/>
          <w:lang w:val="en-US" w:eastAsia="zh-CN"/>
        </w:rPr>
        <w:t>5</w:t>
      </w:r>
      <w:r>
        <w:rPr>
          <w:color w:val="auto"/>
        </w:rPr>
        <w:t xml:space="preserve">   事故源项及事故后果基本信息表（最不利气象条件）</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655"/>
        <w:gridCol w:w="1050"/>
        <w:gridCol w:w="438"/>
        <w:gridCol w:w="1455"/>
        <w:gridCol w:w="412"/>
        <w:gridCol w:w="1019"/>
        <w:gridCol w:w="207"/>
        <w:gridCol w:w="1394"/>
        <w:gridCol w:w="323"/>
        <w:gridCol w:w="1375"/>
      </w:tblGrid>
      <w:tr>
        <w:trPr>
          <w:trHeight w:val="340" w:hRule="atLeast"/>
          <w:jc w:val="center"/>
        </w:trPr>
        <w:tc>
          <w:tcPr>
            <w:tcW w:w="5000" w:type="pct"/>
            <w:gridSpan w:val="10"/>
            <w:noWrap w:val="0"/>
            <w:vAlign w:val="center"/>
          </w:tcPr>
          <w:p>
            <w:pPr>
              <w:pStyle w:val="35"/>
              <w:bidi w:val="0"/>
              <w:rPr>
                <w:color w:val="auto"/>
                <w:lang w:eastAsia="zh-CN"/>
              </w:rPr>
            </w:pPr>
            <w:r>
              <w:rPr>
                <w:color w:val="auto"/>
              </w:rPr>
              <w:t>风险事故情形</w:t>
            </w:r>
            <w:r>
              <w:rPr>
                <w:color w:val="auto"/>
                <w:lang w:eastAsia="zh-CN"/>
              </w:rPr>
              <w:t>分析</w:t>
            </w:r>
          </w:p>
        </w:tc>
      </w:tr>
      <w:tr>
        <w:trPr>
          <w:trHeight w:val="340" w:hRule="atLeast"/>
          <w:jc w:val="center"/>
        </w:trPr>
        <w:tc>
          <w:tcPr>
            <w:tcW w:w="887" w:type="pct"/>
            <w:noWrap w:val="0"/>
            <w:vAlign w:val="center"/>
          </w:tcPr>
          <w:p>
            <w:pPr>
              <w:pStyle w:val="35"/>
              <w:bidi w:val="0"/>
              <w:rPr>
                <w:color w:val="auto"/>
                <w:lang w:eastAsia="zh-CN"/>
              </w:rPr>
            </w:pPr>
            <w:r>
              <w:rPr>
                <w:color w:val="auto"/>
                <w:lang w:eastAsia="zh-CN"/>
              </w:rPr>
              <w:t>代表性风险事故情形描述</w:t>
            </w:r>
          </w:p>
        </w:tc>
        <w:tc>
          <w:tcPr>
            <w:tcW w:w="4112" w:type="pct"/>
            <w:gridSpan w:val="9"/>
            <w:noWrap w:val="0"/>
            <w:vAlign w:val="center"/>
          </w:tcPr>
          <w:p>
            <w:pPr>
              <w:pStyle w:val="35"/>
              <w:bidi w:val="0"/>
              <w:rPr>
                <w:color w:val="auto"/>
                <w:lang w:eastAsia="zh-CN"/>
              </w:rPr>
            </w:pPr>
            <w:r>
              <w:rPr>
                <w:color w:val="auto"/>
                <w:lang w:eastAsia="zh-CN"/>
              </w:rPr>
              <w:t>甲醇储罐泄漏</w:t>
            </w:r>
          </w:p>
        </w:tc>
      </w:tr>
      <w:tr>
        <w:trPr>
          <w:trHeight w:val="340" w:hRule="atLeast"/>
          <w:jc w:val="center"/>
        </w:trPr>
        <w:tc>
          <w:tcPr>
            <w:tcW w:w="887" w:type="pct"/>
            <w:noWrap w:val="0"/>
            <w:vAlign w:val="center"/>
          </w:tcPr>
          <w:p>
            <w:pPr>
              <w:pStyle w:val="35"/>
              <w:bidi w:val="0"/>
              <w:rPr>
                <w:color w:val="auto"/>
              </w:rPr>
            </w:pPr>
            <w:r>
              <w:rPr>
                <w:color w:val="auto"/>
              </w:rPr>
              <w:t>环境风险类型</w:t>
            </w:r>
          </w:p>
        </w:tc>
        <w:tc>
          <w:tcPr>
            <w:tcW w:w="4112" w:type="pct"/>
            <w:gridSpan w:val="9"/>
            <w:noWrap w:val="0"/>
            <w:vAlign w:val="center"/>
          </w:tcPr>
          <w:p>
            <w:pPr>
              <w:pStyle w:val="35"/>
              <w:bidi w:val="0"/>
              <w:rPr>
                <w:color w:val="auto"/>
                <w:lang w:eastAsia="zh-CN"/>
              </w:rPr>
            </w:pPr>
            <w:r>
              <w:rPr>
                <w:color w:val="auto"/>
                <w:lang w:eastAsia="zh-CN"/>
              </w:rPr>
              <w:t>大气</w:t>
            </w:r>
          </w:p>
        </w:tc>
      </w:tr>
      <w:tr>
        <w:trPr>
          <w:trHeight w:val="340" w:hRule="atLeast"/>
          <w:jc w:val="center"/>
        </w:trPr>
        <w:tc>
          <w:tcPr>
            <w:tcW w:w="887" w:type="pct"/>
            <w:noWrap w:val="0"/>
            <w:vAlign w:val="center"/>
          </w:tcPr>
          <w:p>
            <w:pPr>
              <w:pStyle w:val="35"/>
              <w:bidi w:val="0"/>
              <w:rPr>
                <w:color w:val="auto"/>
              </w:rPr>
            </w:pPr>
            <w:r>
              <w:rPr>
                <w:color w:val="auto"/>
              </w:rPr>
              <w:t>泄漏设备类型</w:t>
            </w:r>
          </w:p>
        </w:tc>
        <w:tc>
          <w:tcPr>
            <w:tcW w:w="798" w:type="pct"/>
            <w:gridSpan w:val="2"/>
            <w:noWrap w:val="0"/>
            <w:vAlign w:val="center"/>
          </w:tcPr>
          <w:p>
            <w:pPr>
              <w:pStyle w:val="35"/>
              <w:bidi w:val="0"/>
              <w:rPr>
                <w:color w:val="auto"/>
                <w:lang w:eastAsia="zh-CN"/>
              </w:rPr>
            </w:pPr>
            <w:r>
              <w:rPr>
                <w:color w:val="auto"/>
                <w:lang w:eastAsia="zh-CN"/>
              </w:rPr>
              <w:t>储罐</w:t>
            </w:r>
          </w:p>
        </w:tc>
        <w:tc>
          <w:tcPr>
            <w:tcW w:w="1001" w:type="pct"/>
            <w:gridSpan w:val="2"/>
            <w:noWrap w:val="0"/>
            <w:vAlign w:val="center"/>
          </w:tcPr>
          <w:p>
            <w:pPr>
              <w:pStyle w:val="35"/>
              <w:bidi w:val="0"/>
              <w:rPr>
                <w:color w:val="auto"/>
              </w:rPr>
            </w:pPr>
            <w:r>
              <w:rPr>
                <w:color w:val="auto"/>
              </w:rPr>
              <w:t>操作温度/</w:t>
            </w:r>
            <w:r>
              <w:rPr>
                <w:rFonts w:hint="eastAsia"/>
                <w:color w:val="auto"/>
              </w:rPr>
              <w:t>℃</w:t>
            </w:r>
          </w:p>
        </w:tc>
        <w:tc>
          <w:tcPr>
            <w:tcW w:w="657" w:type="pct"/>
            <w:gridSpan w:val="2"/>
            <w:noWrap w:val="0"/>
            <w:vAlign w:val="center"/>
          </w:tcPr>
          <w:p>
            <w:pPr>
              <w:pStyle w:val="35"/>
              <w:bidi w:val="0"/>
              <w:rPr>
                <w:color w:val="auto"/>
                <w:lang w:eastAsia="zh-CN"/>
              </w:rPr>
            </w:pPr>
            <w:r>
              <w:rPr>
                <w:color w:val="auto"/>
                <w:lang w:eastAsia="zh-CN"/>
              </w:rPr>
              <w:t>常温</w:t>
            </w:r>
          </w:p>
        </w:tc>
        <w:tc>
          <w:tcPr>
            <w:tcW w:w="920" w:type="pct"/>
            <w:gridSpan w:val="2"/>
            <w:noWrap w:val="0"/>
            <w:vAlign w:val="center"/>
          </w:tcPr>
          <w:p>
            <w:pPr>
              <w:pStyle w:val="35"/>
              <w:bidi w:val="0"/>
              <w:rPr>
                <w:color w:val="auto"/>
              </w:rPr>
            </w:pPr>
            <w:r>
              <w:rPr>
                <w:color w:val="auto"/>
              </w:rPr>
              <w:t>操作压力/MPa</w:t>
            </w:r>
          </w:p>
        </w:tc>
        <w:tc>
          <w:tcPr>
            <w:tcW w:w="735" w:type="pct"/>
            <w:noWrap w:val="0"/>
            <w:vAlign w:val="center"/>
          </w:tcPr>
          <w:p>
            <w:pPr>
              <w:pStyle w:val="35"/>
              <w:bidi w:val="0"/>
              <w:rPr>
                <w:color w:val="auto"/>
                <w:lang w:eastAsia="zh-CN"/>
              </w:rPr>
            </w:pPr>
            <w:r>
              <w:rPr>
                <w:color w:val="auto"/>
                <w:lang w:eastAsia="zh-CN"/>
              </w:rPr>
              <w:t>常压</w:t>
            </w:r>
          </w:p>
        </w:tc>
      </w:tr>
      <w:tr>
        <w:trPr>
          <w:trHeight w:val="340" w:hRule="atLeast"/>
          <w:jc w:val="center"/>
        </w:trPr>
        <w:tc>
          <w:tcPr>
            <w:tcW w:w="887" w:type="pct"/>
            <w:noWrap w:val="0"/>
            <w:vAlign w:val="center"/>
          </w:tcPr>
          <w:p>
            <w:pPr>
              <w:pStyle w:val="35"/>
              <w:bidi w:val="0"/>
              <w:rPr>
                <w:color w:val="auto"/>
              </w:rPr>
            </w:pPr>
            <w:r>
              <w:rPr>
                <w:color w:val="auto"/>
              </w:rPr>
              <w:t>泄漏危险物质</w:t>
            </w:r>
          </w:p>
        </w:tc>
        <w:tc>
          <w:tcPr>
            <w:tcW w:w="798" w:type="pct"/>
            <w:gridSpan w:val="2"/>
            <w:noWrap w:val="0"/>
            <w:vAlign w:val="center"/>
          </w:tcPr>
          <w:p>
            <w:pPr>
              <w:pStyle w:val="35"/>
              <w:bidi w:val="0"/>
              <w:rPr>
                <w:color w:val="auto"/>
                <w:lang w:eastAsia="zh-CN"/>
              </w:rPr>
            </w:pPr>
            <w:r>
              <w:rPr>
                <w:color w:val="auto"/>
                <w:lang w:eastAsia="zh-CN"/>
              </w:rPr>
              <w:t>甲醇</w:t>
            </w:r>
          </w:p>
        </w:tc>
        <w:tc>
          <w:tcPr>
            <w:tcW w:w="1001" w:type="pct"/>
            <w:gridSpan w:val="2"/>
            <w:noWrap w:val="0"/>
            <w:vAlign w:val="center"/>
          </w:tcPr>
          <w:p>
            <w:pPr>
              <w:pStyle w:val="35"/>
              <w:bidi w:val="0"/>
              <w:rPr>
                <w:color w:val="auto"/>
              </w:rPr>
            </w:pPr>
            <w:r>
              <w:rPr>
                <w:color w:val="auto"/>
              </w:rPr>
              <w:t>最大存在量/kg</w:t>
            </w:r>
          </w:p>
        </w:tc>
        <w:tc>
          <w:tcPr>
            <w:tcW w:w="657" w:type="pct"/>
            <w:gridSpan w:val="2"/>
            <w:noWrap w:val="0"/>
            <w:vAlign w:val="center"/>
          </w:tcPr>
          <w:p>
            <w:pPr>
              <w:pStyle w:val="35"/>
              <w:bidi w:val="0"/>
              <w:rPr>
                <w:color w:val="auto"/>
                <w:lang w:eastAsia="zh-CN"/>
              </w:rPr>
            </w:pPr>
            <w:r>
              <w:rPr>
                <w:color w:val="auto"/>
                <w:lang w:eastAsia="zh-CN"/>
              </w:rPr>
              <w:t>40300</w:t>
            </w:r>
          </w:p>
        </w:tc>
        <w:tc>
          <w:tcPr>
            <w:tcW w:w="920" w:type="pct"/>
            <w:gridSpan w:val="2"/>
            <w:noWrap w:val="0"/>
            <w:vAlign w:val="center"/>
          </w:tcPr>
          <w:p>
            <w:pPr>
              <w:pStyle w:val="35"/>
              <w:bidi w:val="0"/>
              <w:rPr>
                <w:color w:val="auto"/>
              </w:rPr>
            </w:pPr>
            <w:r>
              <w:rPr>
                <w:color w:val="auto"/>
              </w:rPr>
              <w:t>泄漏孔径/mm</w:t>
            </w:r>
          </w:p>
        </w:tc>
        <w:tc>
          <w:tcPr>
            <w:tcW w:w="735" w:type="pct"/>
            <w:noWrap w:val="0"/>
            <w:vAlign w:val="center"/>
          </w:tcPr>
          <w:p>
            <w:pPr>
              <w:pStyle w:val="35"/>
              <w:bidi w:val="0"/>
              <w:rPr>
                <w:color w:val="auto"/>
                <w:lang w:eastAsia="zh-CN"/>
              </w:rPr>
            </w:pPr>
            <w:r>
              <w:rPr>
                <w:color w:val="auto"/>
                <w:lang w:eastAsia="zh-CN"/>
              </w:rPr>
              <w:t>30</w:t>
            </w:r>
          </w:p>
        </w:tc>
      </w:tr>
      <w:tr>
        <w:trPr>
          <w:trHeight w:val="340" w:hRule="atLeast"/>
          <w:jc w:val="center"/>
        </w:trPr>
        <w:tc>
          <w:tcPr>
            <w:tcW w:w="887" w:type="pct"/>
            <w:noWrap w:val="0"/>
            <w:vAlign w:val="center"/>
          </w:tcPr>
          <w:p>
            <w:pPr>
              <w:pStyle w:val="35"/>
              <w:bidi w:val="0"/>
              <w:rPr>
                <w:color w:val="auto"/>
              </w:rPr>
            </w:pPr>
            <w:r>
              <w:rPr>
                <w:color w:val="auto"/>
              </w:rPr>
              <w:t>泄漏速率/(kg/s)</w:t>
            </w:r>
          </w:p>
        </w:tc>
        <w:tc>
          <w:tcPr>
            <w:tcW w:w="798" w:type="pct"/>
            <w:gridSpan w:val="2"/>
            <w:noWrap w:val="0"/>
            <w:vAlign w:val="center"/>
          </w:tcPr>
          <w:p>
            <w:pPr>
              <w:pStyle w:val="35"/>
              <w:bidi w:val="0"/>
              <w:rPr>
                <w:color w:val="auto"/>
                <w:lang w:eastAsia="zh-CN"/>
              </w:rPr>
            </w:pPr>
            <w:r>
              <w:rPr>
                <w:color w:val="auto"/>
                <w:lang w:eastAsia="zh-CN"/>
              </w:rPr>
              <w:t>8.58</w:t>
            </w:r>
          </w:p>
        </w:tc>
        <w:tc>
          <w:tcPr>
            <w:tcW w:w="1001" w:type="pct"/>
            <w:gridSpan w:val="2"/>
            <w:noWrap w:val="0"/>
            <w:vAlign w:val="center"/>
          </w:tcPr>
          <w:p>
            <w:pPr>
              <w:pStyle w:val="35"/>
              <w:bidi w:val="0"/>
              <w:rPr>
                <w:color w:val="auto"/>
              </w:rPr>
            </w:pPr>
            <w:r>
              <w:rPr>
                <w:color w:val="auto"/>
              </w:rPr>
              <w:t>泄漏时间/min</w:t>
            </w:r>
          </w:p>
        </w:tc>
        <w:tc>
          <w:tcPr>
            <w:tcW w:w="657" w:type="pct"/>
            <w:gridSpan w:val="2"/>
            <w:noWrap w:val="0"/>
            <w:vAlign w:val="center"/>
          </w:tcPr>
          <w:p>
            <w:pPr>
              <w:pStyle w:val="35"/>
              <w:bidi w:val="0"/>
              <w:rPr>
                <w:color w:val="auto"/>
                <w:lang w:eastAsia="zh-CN"/>
              </w:rPr>
            </w:pPr>
            <w:r>
              <w:rPr>
                <w:color w:val="auto"/>
                <w:lang w:eastAsia="zh-CN"/>
              </w:rPr>
              <w:t>30</w:t>
            </w:r>
          </w:p>
        </w:tc>
        <w:tc>
          <w:tcPr>
            <w:tcW w:w="920" w:type="pct"/>
            <w:gridSpan w:val="2"/>
            <w:noWrap w:val="0"/>
            <w:vAlign w:val="center"/>
          </w:tcPr>
          <w:p>
            <w:pPr>
              <w:pStyle w:val="35"/>
              <w:bidi w:val="0"/>
              <w:rPr>
                <w:color w:val="auto"/>
              </w:rPr>
            </w:pPr>
            <w:r>
              <w:rPr>
                <w:color w:val="auto"/>
              </w:rPr>
              <w:t>泄漏量/kg</w:t>
            </w:r>
          </w:p>
        </w:tc>
        <w:tc>
          <w:tcPr>
            <w:tcW w:w="735" w:type="pct"/>
            <w:noWrap w:val="0"/>
            <w:vAlign w:val="center"/>
          </w:tcPr>
          <w:p>
            <w:pPr>
              <w:pStyle w:val="35"/>
              <w:bidi w:val="0"/>
              <w:rPr>
                <w:color w:val="auto"/>
                <w:lang w:eastAsia="zh-CN"/>
              </w:rPr>
            </w:pPr>
            <w:r>
              <w:rPr>
                <w:color w:val="auto"/>
                <w:lang w:eastAsia="zh-CN"/>
              </w:rPr>
              <w:t>15444</w:t>
            </w:r>
          </w:p>
        </w:tc>
      </w:tr>
      <w:tr>
        <w:trPr>
          <w:trHeight w:val="340" w:hRule="atLeast"/>
          <w:jc w:val="center"/>
        </w:trPr>
        <w:tc>
          <w:tcPr>
            <w:tcW w:w="887" w:type="pct"/>
            <w:noWrap w:val="0"/>
            <w:vAlign w:val="center"/>
          </w:tcPr>
          <w:p>
            <w:pPr>
              <w:pStyle w:val="35"/>
              <w:bidi w:val="0"/>
              <w:rPr>
                <w:color w:val="auto"/>
              </w:rPr>
            </w:pPr>
            <w:r>
              <w:rPr>
                <w:color w:val="auto"/>
              </w:rPr>
              <w:t>泄漏高度/m</w:t>
            </w:r>
          </w:p>
        </w:tc>
        <w:tc>
          <w:tcPr>
            <w:tcW w:w="798" w:type="pct"/>
            <w:gridSpan w:val="2"/>
            <w:noWrap w:val="0"/>
            <w:vAlign w:val="center"/>
          </w:tcPr>
          <w:p>
            <w:pPr>
              <w:pStyle w:val="35"/>
              <w:bidi w:val="0"/>
              <w:rPr>
                <w:color w:val="auto"/>
                <w:lang w:eastAsia="zh-CN"/>
              </w:rPr>
            </w:pPr>
            <w:r>
              <w:rPr>
                <w:color w:val="auto"/>
                <w:lang w:eastAsia="zh-CN"/>
              </w:rPr>
              <w:t>2.5</w:t>
            </w:r>
          </w:p>
        </w:tc>
        <w:tc>
          <w:tcPr>
            <w:tcW w:w="1001" w:type="pct"/>
            <w:gridSpan w:val="2"/>
            <w:noWrap w:val="0"/>
            <w:vAlign w:val="center"/>
          </w:tcPr>
          <w:p>
            <w:pPr>
              <w:pStyle w:val="35"/>
              <w:bidi w:val="0"/>
              <w:rPr>
                <w:color w:val="auto"/>
              </w:rPr>
            </w:pPr>
            <w:r>
              <w:rPr>
                <w:color w:val="auto"/>
              </w:rPr>
              <w:t>泄漏液体蒸发量/kg</w:t>
            </w:r>
          </w:p>
        </w:tc>
        <w:tc>
          <w:tcPr>
            <w:tcW w:w="657" w:type="pct"/>
            <w:gridSpan w:val="2"/>
            <w:noWrap w:val="0"/>
            <w:vAlign w:val="center"/>
          </w:tcPr>
          <w:p>
            <w:pPr>
              <w:pStyle w:val="35"/>
              <w:bidi w:val="0"/>
              <w:rPr>
                <w:color w:val="auto"/>
                <w:lang w:eastAsia="zh-CN"/>
              </w:rPr>
            </w:pPr>
            <w:r>
              <w:rPr>
                <w:color w:val="auto"/>
                <w:lang w:eastAsia="zh-CN"/>
              </w:rPr>
              <w:t>/</w:t>
            </w:r>
          </w:p>
        </w:tc>
        <w:tc>
          <w:tcPr>
            <w:tcW w:w="920" w:type="pct"/>
            <w:gridSpan w:val="2"/>
            <w:noWrap w:val="0"/>
            <w:vAlign w:val="center"/>
          </w:tcPr>
          <w:p>
            <w:pPr>
              <w:pStyle w:val="35"/>
              <w:bidi w:val="0"/>
              <w:rPr>
                <w:color w:val="auto"/>
              </w:rPr>
            </w:pPr>
            <w:r>
              <w:rPr>
                <w:color w:val="auto"/>
              </w:rPr>
              <w:t>泄漏频率</w:t>
            </w:r>
          </w:p>
        </w:tc>
        <w:tc>
          <w:tcPr>
            <w:tcW w:w="735" w:type="pct"/>
            <w:noWrap w:val="0"/>
            <w:vAlign w:val="center"/>
          </w:tcPr>
          <w:p>
            <w:pPr>
              <w:pStyle w:val="35"/>
              <w:bidi w:val="0"/>
              <w:rPr>
                <w:color w:val="auto"/>
                <w:lang w:eastAsia="zh-CN"/>
              </w:rPr>
            </w:pPr>
            <w:r>
              <w:rPr>
                <w:color w:val="auto"/>
                <w:lang w:eastAsia="zh-CN"/>
              </w:rPr>
              <w:t xml:space="preserve">1.0×10-6/a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5000" w:type="pct"/>
            <w:gridSpan w:val="10"/>
            <w:noWrap w:val="0"/>
            <w:vAlign w:val="center"/>
          </w:tcPr>
          <w:p>
            <w:pPr>
              <w:pStyle w:val="35"/>
              <w:bidi w:val="0"/>
              <w:rPr>
                <w:color w:val="auto"/>
              </w:rPr>
            </w:pPr>
            <w:r>
              <w:rPr>
                <w:color w:val="auto"/>
              </w:rPr>
              <w:t>事故后果预测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887" w:type="pct"/>
            <w:vMerge w:val="restart"/>
            <w:noWrap w:val="0"/>
            <w:vAlign w:val="center"/>
          </w:tcPr>
          <w:p>
            <w:pPr>
              <w:pStyle w:val="35"/>
              <w:bidi w:val="0"/>
              <w:rPr>
                <w:color w:val="auto"/>
              </w:rPr>
            </w:pPr>
            <w:r>
              <w:rPr>
                <w:color w:val="auto"/>
              </w:rPr>
              <w:t>大气</w:t>
            </w:r>
          </w:p>
        </w:tc>
        <w:tc>
          <w:tcPr>
            <w:tcW w:w="563" w:type="pct"/>
            <w:noWrap w:val="0"/>
            <w:vAlign w:val="center"/>
          </w:tcPr>
          <w:p>
            <w:pPr>
              <w:pStyle w:val="35"/>
              <w:bidi w:val="0"/>
              <w:rPr>
                <w:color w:val="auto"/>
              </w:rPr>
            </w:pPr>
            <w:r>
              <w:rPr>
                <w:color w:val="auto"/>
              </w:rPr>
              <w:t>危险物质</w:t>
            </w:r>
          </w:p>
        </w:tc>
        <w:tc>
          <w:tcPr>
            <w:tcW w:w="3549" w:type="pct"/>
            <w:gridSpan w:val="8"/>
            <w:noWrap w:val="0"/>
            <w:vAlign w:val="center"/>
          </w:tcPr>
          <w:p>
            <w:pPr>
              <w:pStyle w:val="35"/>
              <w:bidi w:val="0"/>
              <w:rPr>
                <w:color w:val="auto"/>
              </w:rPr>
            </w:pPr>
            <w:r>
              <w:rPr>
                <w:color w:val="auto"/>
              </w:rPr>
              <w:t>大气环境影响</w:t>
            </w:r>
          </w:p>
        </w:tc>
      </w:tr>
      <w:tr>
        <w:trPr>
          <w:trHeight w:val="340" w:hRule="atLeast"/>
          <w:jc w:val="center"/>
        </w:trPr>
        <w:tc>
          <w:tcPr>
            <w:tcW w:w="887" w:type="pct"/>
            <w:vMerge w:val="continue"/>
            <w:noWrap w:val="0"/>
            <w:vAlign w:val="center"/>
          </w:tcPr>
          <w:p>
            <w:pPr>
              <w:pStyle w:val="35"/>
              <w:bidi w:val="0"/>
              <w:rPr>
                <w:color w:val="auto"/>
              </w:rPr>
            </w:pPr>
          </w:p>
        </w:tc>
        <w:tc>
          <w:tcPr>
            <w:tcW w:w="563" w:type="pct"/>
            <w:vMerge w:val="restart"/>
            <w:noWrap w:val="0"/>
            <w:vAlign w:val="center"/>
          </w:tcPr>
          <w:p>
            <w:pPr>
              <w:pStyle w:val="35"/>
              <w:bidi w:val="0"/>
              <w:rPr>
                <w:color w:val="auto"/>
                <w:lang w:eastAsia="zh-CN"/>
              </w:rPr>
            </w:pPr>
            <w:r>
              <w:rPr>
                <w:color w:val="auto"/>
                <w:lang w:eastAsia="zh-CN"/>
              </w:rPr>
              <w:t>甲醇</w:t>
            </w:r>
          </w:p>
        </w:tc>
        <w:tc>
          <w:tcPr>
            <w:tcW w:w="1015" w:type="pct"/>
            <w:gridSpan w:val="2"/>
            <w:noWrap w:val="0"/>
            <w:vAlign w:val="center"/>
          </w:tcPr>
          <w:p>
            <w:pPr>
              <w:pStyle w:val="35"/>
              <w:bidi w:val="0"/>
              <w:rPr>
                <w:color w:val="auto"/>
              </w:rPr>
            </w:pPr>
            <w:r>
              <w:rPr>
                <w:color w:val="auto"/>
              </w:rPr>
              <w:t>指标</w:t>
            </w:r>
          </w:p>
        </w:tc>
        <w:tc>
          <w:tcPr>
            <w:tcW w:w="767" w:type="pct"/>
            <w:gridSpan w:val="2"/>
            <w:noWrap w:val="0"/>
            <w:vAlign w:val="center"/>
          </w:tcPr>
          <w:p>
            <w:pPr>
              <w:pStyle w:val="35"/>
              <w:bidi w:val="0"/>
              <w:rPr>
                <w:color w:val="auto"/>
              </w:rPr>
            </w:pPr>
            <w:r>
              <w:rPr>
                <w:color w:val="auto"/>
              </w:rPr>
              <w:t>浓度值/(mg/m3)</w:t>
            </w:r>
          </w:p>
        </w:tc>
        <w:tc>
          <w:tcPr>
            <w:tcW w:w="858" w:type="pct"/>
            <w:gridSpan w:val="2"/>
            <w:noWrap w:val="0"/>
            <w:vAlign w:val="center"/>
          </w:tcPr>
          <w:p>
            <w:pPr>
              <w:pStyle w:val="35"/>
              <w:bidi w:val="0"/>
              <w:rPr>
                <w:color w:val="auto"/>
              </w:rPr>
            </w:pPr>
            <w:r>
              <w:rPr>
                <w:color w:val="auto"/>
              </w:rPr>
              <w:t>最远影响距离/m</w:t>
            </w:r>
          </w:p>
        </w:tc>
        <w:tc>
          <w:tcPr>
            <w:tcW w:w="906" w:type="pct"/>
            <w:gridSpan w:val="2"/>
            <w:noWrap w:val="0"/>
            <w:vAlign w:val="center"/>
          </w:tcPr>
          <w:p>
            <w:pPr>
              <w:pStyle w:val="35"/>
              <w:bidi w:val="0"/>
              <w:rPr>
                <w:color w:val="auto"/>
              </w:rPr>
            </w:pPr>
            <w:r>
              <w:rPr>
                <w:color w:val="auto"/>
              </w:rPr>
              <w:t>到达时间/min</w:t>
            </w:r>
          </w:p>
        </w:tc>
      </w:tr>
      <w:tr>
        <w:trPr>
          <w:trHeight w:val="340" w:hRule="atLeast"/>
          <w:jc w:val="center"/>
        </w:trPr>
        <w:tc>
          <w:tcPr>
            <w:tcW w:w="887" w:type="pct"/>
            <w:vMerge w:val="continue"/>
            <w:noWrap w:val="0"/>
            <w:vAlign w:val="center"/>
          </w:tcPr>
          <w:p>
            <w:pPr>
              <w:pStyle w:val="35"/>
              <w:bidi w:val="0"/>
              <w:rPr>
                <w:color w:val="auto"/>
              </w:rPr>
            </w:pPr>
          </w:p>
        </w:tc>
        <w:tc>
          <w:tcPr>
            <w:tcW w:w="563" w:type="pct"/>
            <w:vMerge w:val="continue"/>
            <w:noWrap w:val="0"/>
            <w:vAlign w:val="center"/>
          </w:tcPr>
          <w:p>
            <w:pPr>
              <w:pStyle w:val="35"/>
              <w:bidi w:val="0"/>
              <w:rPr>
                <w:color w:val="auto"/>
              </w:rPr>
            </w:pPr>
          </w:p>
        </w:tc>
        <w:tc>
          <w:tcPr>
            <w:tcW w:w="1015" w:type="pct"/>
            <w:gridSpan w:val="2"/>
            <w:noWrap w:val="0"/>
            <w:vAlign w:val="center"/>
          </w:tcPr>
          <w:p>
            <w:pPr>
              <w:pStyle w:val="35"/>
              <w:bidi w:val="0"/>
              <w:rPr>
                <w:color w:val="auto"/>
              </w:rPr>
            </w:pPr>
            <w:r>
              <w:rPr>
                <w:color w:val="auto"/>
              </w:rPr>
              <w:t>大气毒性终点浓度-1</w:t>
            </w:r>
          </w:p>
        </w:tc>
        <w:tc>
          <w:tcPr>
            <w:tcW w:w="767" w:type="pct"/>
            <w:gridSpan w:val="2"/>
            <w:noWrap w:val="0"/>
            <w:vAlign w:val="center"/>
          </w:tcPr>
          <w:p>
            <w:pPr>
              <w:pStyle w:val="35"/>
              <w:bidi w:val="0"/>
              <w:rPr>
                <w:color w:val="auto"/>
                <w:lang w:eastAsia="zh-CN"/>
              </w:rPr>
            </w:pPr>
            <w:r>
              <w:rPr>
                <w:color w:val="auto"/>
                <w:lang w:eastAsia="zh-CN"/>
              </w:rPr>
              <w:t>9400</w:t>
            </w:r>
          </w:p>
        </w:tc>
        <w:tc>
          <w:tcPr>
            <w:tcW w:w="858" w:type="pct"/>
            <w:gridSpan w:val="2"/>
            <w:noWrap w:val="0"/>
            <w:vAlign w:val="center"/>
          </w:tcPr>
          <w:p>
            <w:pPr>
              <w:pStyle w:val="35"/>
              <w:bidi w:val="0"/>
              <w:rPr>
                <w:color w:val="auto"/>
                <w:lang w:eastAsia="zh-CN"/>
              </w:rPr>
            </w:pPr>
            <w:r>
              <w:rPr>
                <w:color w:val="auto"/>
                <w:lang w:eastAsia="zh-CN"/>
              </w:rPr>
              <w:t>/</w:t>
            </w:r>
          </w:p>
        </w:tc>
        <w:tc>
          <w:tcPr>
            <w:tcW w:w="906" w:type="pct"/>
            <w:gridSpan w:val="2"/>
            <w:noWrap w:val="0"/>
            <w:vAlign w:val="center"/>
          </w:tcPr>
          <w:p>
            <w:pPr>
              <w:pStyle w:val="35"/>
              <w:bidi w:val="0"/>
              <w:rPr>
                <w:color w:val="auto"/>
                <w:lang w:eastAsia="zh-CN"/>
              </w:rPr>
            </w:pPr>
            <w:r>
              <w:rPr>
                <w:color w:val="auto"/>
                <w:lang w:eastAsia="zh-CN"/>
              </w:rPr>
              <w:t>/</w:t>
            </w:r>
          </w:p>
        </w:tc>
      </w:tr>
      <w:tr>
        <w:trPr>
          <w:trHeight w:val="340" w:hRule="atLeast"/>
          <w:jc w:val="center"/>
        </w:trPr>
        <w:tc>
          <w:tcPr>
            <w:tcW w:w="887" w:type="pct"/>
            <w:vMerge w:val="continue"/>
            <w:noWrap w:val="0"/>
            <w:vAlign w:val="center"/>
          </w:tcPr>
          <w:p>
            <w:pPr>
              <w:pStyle w:val="35"/>
              <w:bidi w:val="0"/>
              <w:rPr>
                <w:color w:val="auto"/>
              </w:rPr>
            </w:pPr>
          </w:p>
        </w:tc>
        <w:tc>
          <w:tcPr>
            <w:tcW w:w="563" w:type="pct"/>
            <w:vMerge w:val="continue"/>
            <w:noWrap w:val="0"/>
            <w:vAlign w:val="center"/>
          </w:tcPr>
          <w:p>
            <w:pPr>
              <w:pStyle w:val="35"/>
              <w:bidi w:val="0"/>
              <w:rPr>
                <w:color w:val="auto"/>
              </w:rPr>
            </w:pPr>
          </w:p>
        </w:tc>
        <w:tc>
          <w:tcPr>
            <w:tcW w:w="1015" w:type="pct"/>
            <w:gridSpan w:val="2"/>
            <w:noWrap w:val="0"/>
            <w:vAlign w:val="center"/>
          </w:tcPr>
          <w:p>
            <w:pPr>
              <w:pStyle w:val="35"/>
              <w:bidi w:val="0"/>
              <w:rPr>
                <w:color w:val="auto"/>
              </w:rPr>
            </w:pPr>
            <w:r>
              <w:rPr>
                <w:color w:val="auto"/>
              </w:rPr>
              <w:t>大气毒性终点浓度-2</w:t>
            </w:r>
          </w:p>
        </w:tc>
        <w:tc>
          <w:tcPr>
            <w:tcW w:w="767" w:type="pct"/>
            <w:gridSpan w:val="2"/>
            <w:noWrap w:val="0"/>
            <w:vAlign w:val="center"/>
          </w:tcPr>
          <w:p>
            <w:pPr>
              <w:pStyle w:val="35"/>
              <w:bidi w:val="0"/>
              <w:rPr>
                <w:color w:val="auto"/>
                <w:lang w:eastAsia="zh-CN"/>
              </w:rPr>
            </w:pPr>
            <w:r>
              <w:rPr>
                <w:color w:val="auto"/>
                <w:lang w:eastAsia="zh-CN"/>
              </w:rPr>
              <w:t>2700</w:t>
            </w:r>
          </w:p>
        </w:tc>
        <w:tc>
          <w:tcPr>
            <w:tcW w:w="858" w:type="pct"/>
            <w:gridSpan w:val="2"/>
            <w:noWrap w:val="0"/>
            <w:vAlign w:val="center"/>
          </w:tcPr>
          <w:p>
            <w:pPr>
              <w:pStyle w:val="35"/>
              <w:bidi w:val="0"/>
              <w:rPr>
                <w:color w:val="auto"/>
                <w:lang w:eastAsia="zh-CN"/>
              </w:rPr>
            </w:pPr>
            <w:r>
              <w:rPr>
                <w:color w:val="auto"/>
                <w:lang w:eastAsia="zh-CN"/>
              </w:rPr>
              <w:t>/</w:t>
            </w:r>
          </w:p>
        </w:tc>
        <w:tc>
          <w:tcPr>
            <w:tcW w:w="906" w:type="pct"/>
            <w:gridSpan w:val="2"/>
            <w:noWrap w:val="0"/>
            <w:vAlign w:val="center"/>
          </w:tcPr>
          <w:p>
            <w:pPr>
              <w:pStyle w:val="35"/>
              <w:bidi w:val="0"/>
              <w:rPr>
                <w:color w:val="auto"/>
                <w:lang w:eastAsia="zh-CN"/>
              </w:rPr>
            </w:pPr>
            <w:r>
              <w:rPr>
                <w:color w:val="auto"/>
                <w:lang w:eastAsia="zh-CN"/>
              </w:rPr>
              <w:t>/</w:t>
            </w:r>
          </w:p>
        </w:tc>
      </w:tr>
      <w:tr>
        <w:trPr>
          <w:trHeight w:val="340" w:hRule="atLeast"/>
          <w:jc w:val="center"/>
        </w:trPr>
        <w:tc>
          <w:tcPr>
            <w:tcW w:w="887" w:type="pct"/>
            <w:vMerge w:val="continue"/>
            <w:noWrap w:val="0"/>
            <w:vAlign w:val="center"/>
          </w:tcPr>
          <w:p>
            <w:pPr>
              <w:pStyle w:val="35"/>
              <w:bidi w:val="0"/>
              <w:rPr>
                <w:color w:val="auto"/>
              </w:rPr>
            </w:pPr>
          </w:p>
        </w:tc>
        <w:tc>
          <w:tcPr>
            <w:tcW w:w="563" w:type="pct"/>
            <w:vMerge w:val="continue"/>
            <w:noWrap w:val="0"/>
            <w:vAlign w:val="center"/>
          </w:tcPr>
          <w:p>
            <w:pPr>
              <w:pStyle w:val="35"/>
              <w:bidi w:val="0"/>
              <w:rPr>
                <w:color w:val="auto"/>
              </w:rPr>
            </w:pPr>
          </w:p>
        </w:tc>
        <w:tc>
          <w:tcPr>
            <w:tcW w:w="1015" w:type="pct"/>
            <w:gridSpan w:val="2"/>
            <w:noWrap w:val="0"/>
            <w:vAlign w:val="center"/>
          </w:tcPr>
          <w:p>
            <w:pPr>
              <w:pStyle w:val="35"/>
              <w:bidi w:val="0"/>
              <w:rPr>
                <w:color w:val="auto"/>
              </w:rPr>
            </w:pPr>
            <w:r>
              <w:rPr>
                <w:color w:val="auto"/>
              </w:rPr>
              <w:t>敏感目标名称</w:t>
            </w:r>
          </w:p>
        </w:tc>
        <w:tc>
          <w:tcPr>
            <w:tcW w:w="767" w:type="pct"/>
            <w:gridSpan w:val="2"/>
            <w:noWrap w:val="0"/>
            <w:vAlign w:val="center"/>
          </w:tcPr>
          <w:p>
            <w:pPr>
              <w:pStyle w:val="35"/>
              <w:bidi w:val="0"/>
              <w:rPr>
                <w:color w:val="auto"/>
                <w:lang w:eastAsia="zh-CN"/>
              </w:rPr>
            </w:pPr>
            <w:r>
              <w:rPr>
                <w:color w:val="auto"/>
                <w:lang w:eastAsia="zh-CN"/>
              </w:rPr>
              <w:t>超大气毒性终点浓度1时间/min</w:t>
            </w:r>
          </w:p>
        </w:tc>
        <w:tc>
          <w:tcPr>
            <w:tcW w:w="858" w:type="pct"/>
            <w:gridSpan w:val="2"/>
            <w:noWrap w:val="0"/>
            <w:vAlign w:val="center"/>
          </w:tcPr>
          <w:p>
            <w:pPr>
              <w:pStyle w:val="35"/>
              <w:bidi w:val="0"/>
              <w:rPr>
                <w:color w:val="auto"/>
                <w:lang w:eastAsia="zh-CN"/>
              </w:rPr>
            </w:pPr>
            <w:r>
              <w:rPr>
                <w:color w:val="auto"/>
                <w:lang w:eastAsia="zh-CN"/>
              </w:rPr>
              <w:t>超大气毒性终点浓度1持续时间/min</w:t>
            </w:r>
          </w:p>
        </w:tc>
        <w:tc>
          <w:tcPr>
            <w:tcW w:w="906" w:type="pct"/>
            <w:gridSpan w:val="2"/>
            <w:noWrap w:val="0"/>
            <w:vAlign w:val="center"/>
          </w:tcPr>
          <w:p>
            <w:pPr>
              <w:pStyle w:val="35"/>
              <w:bidi w:val="0"/>
              <w:rPr>
                <w:color w:val="auto"/>
              </w:rPr>
            </w:pPr>
            <w:r>
              <w:rPr>
                <w:color w:val="auto"/>
              </w:rPr>
              <w:t>最大浓度/(mg/m</w:t>
            </w:r>
            <w:r>
              <w:rPr>
                <w:color w:val="auto"/>
                <w:vertAlign w:val="superscript"/>
              </w:rPr>
              <w:t>3</w:t>
            </w:r>
            <w:r>
              <w:rPr>
                <w:color w:val="auto"/>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887" w:type="pct"/>
            <w:vMerge w:val="continue"/>
            <w:noWrap w:val="0"/>
            <w:vAlign w:val="center"/>
          </w:tcPr>
          <w:p>
            <w:pPr>
              <w:pStyle w:val="35"/>
              <w:bidi w:val="0"/>
              <w:rPr>
                <w:color w:val="auto"/>
              </w:rPr>
            </w:pPr>
          </w:p>
        </w:tc>
        <w:tc>
          <w:tcPr>
            <w:tcW w:w="563" w:type="pct"/>
            <w:vMerge w:val="continue"/>
            <w:noWrap w:val="0"/>
            <w:vAlign w:val="center"/>
          </w:tcPr>
          <w:p>
            <w:pPr>
              <w:pStyle w:val="35"/>
              <w:bidi w:val="0"/>
              <w:rPr>
                <w:color w:val="auto"/>
              </w:rPr>
            </w:pPr>
          </w:p>
        </w:tc>
        <w:tc>
          <w:tcPr>
            <w:tcW w:w="3549" w:type="pct"/>
            <w:gridSpan w:val="8"/>
            <w:noWrap w:val="0"/>
            <w:vAlign w:val="center"/>
          </w:tcPr>
          <w:p>
            <w:pPr>
              <w:pStyle w:val="35"/>
              <w:bidi w:val="0"/>
              <w:rPr>
                <w:color w:val="auto"/>
                <w:lang w:eastAsia="zh-CN"/>
              </w:rPr>
            </w:pPr>
            <w:r>
              <w:rPr>
                <w:color w:val="auto"/>
                <w:lang w:eastAsia="zh-CN"/>
              </w:rPr>
              <w:t>各敏感点最大浓度均不超过大气毒性终点浓度-1和大气毒性终点浓度-2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887" w:type="pct"/>
            <w:vMerge w:val="continue"/>
            <w:noWrap w:val="0"/>
            <w:vAlign w:val="center"/>
          </w:tcPr>
          <w:p>
            <w:pPr>
              <w:pStyle w:val="35"/>
              <w:bidi w:val="0"/>
              <w:rPr>
                <w:color w:val="auto"/>
              </w:rPr>
            </w:pPr>
          </w:p>
        </w:tc>
        <w:tc>
          <w:tcPr>
            <w:tcW w:w="563" w:type="pct"/>
            <w:vMerge w:val="continue"/>
            <w:noWrap w:val="0"/>
            <w:vAlign w:val="center"/>
          </w:tcPr>
          <w:p>
            <w:pPr>
              <w:pStyle w:val="35"/>
              <w:bidi w:val="0"/>
              <w:rPr>
                <w:color w:val="auto"/>
              </w:rPr>
            </w:pPr>
          </w:p>
        </w:tc>
        <w:tc>
          <w:tcPr>
            <w:tcW w:w="1015" w:type="pct"/>
            <w:gridSpan w:val="2"/>
            <w:noWrap w:val="0"/>
            <w:vAlign w:val="center"/>
          </w:tcPr>
          <w:p>
            <w:pPr>
              <w:pStyle w:val="35"/>
              <w:bidi w:val="0"/>
              <w:rPr>
                <w:color w:val="auto"/>
              </w:rPr>
            </w:pPr>
            <w:r>
              <w:rPr>
                <w:color w:val="auto"/>
              </w:rPr>
              <w:t>敏感目标名称</w:t>
            </w:r>
          </w:p>
        </w:tc>
        <w:tc>
          <w:tcPr>
            <w:tcW w:w="767" w:type="pct"/>
            <w:gridSpan w:val="2"/>
            <w:noWrap w:val="0"/>
            <w:vAlign w:val="center"/>
          </w:tcPr>
          <w:p>
            <w:pPr>
              <w:pStyle w:val="35"/>
              <w:bidi w:val="0"/>
              <w:rPr>
                <w:color w:val="auto"/>
                <w:lang w:eastAsia="zh-CN"/>
              </w:rPr>
            </w:pPr>
            <w:r>
              <w:rPr>
                <w:color w:val="auto"/>
                <w:lang w:eastAsia="zh-CN"/>
              </w:rPr>
              <w:t>超大气毒性终点浓度2时间/min</w:t>
            </w:r>
          </w:p>
        </w:tc>
        <w:tc>
          <w:tcPr>
            <w:tcW w:w="858" w:type="pct"/>
            <w:gridSpan w:val="2"/>
            <w:noWrap w:val="0"/>
            <w:vAlign w:val="center"/>
          </w:tcPr>
          <w:p>
            <w:pPr>
              <w:pStyle w:val="35"/>
              <w:bidi w:val="0"/>
              <w:rPr>
                <w:color w:val="auto"/>
                <w:lang w:eastAsia="zh-CN"/>
              </w:rPr>
            </w:pPr>
            <w:r>
              <w:rPr>
                <w:color w:val="auto"/>
                <w:lang w:eastAsia="zh-CN"/>
              </w:rPr>
              <w:t>超大气毒性终点浓度2持续时间/min</w:t>
            </w:r>
          </w:p>
        </w:tc>
        <w:tc>
          <w:tcPr>
            <w:tcW w:w="906" w:type="pct"/>
            <w:gridSpan w:val="2"/>
            <w:noWrap w:val="0"/>
            <w:vAlign w:val="center"/>
          </w:tcPr>
          <w:p>
            <w:pPr>
              <w:pStyle w:val="35"/>
              <w:bidi w:val="0"/>
              <w:rPr>
                <w:color w:val="auto"/>
              </w:rPr>
            </w:pPr>
            <w:r>
              <w:rPr>
                <w:color w:val="auto"/>
              </w:rPr>
              <w:t>最大浓度/(mg/m3)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887" w:type="pct"/>
            <w:vMerge w:val="continue"/>
            <w:noWrap w:val="0"/>
            <w:vAlign w:val="center"/>
          </w:tcPr>
          <w:p>
            <w:pPr>
              <w:pStyle w:val="35"/>
              <w:bidi w:val="0"/>
              <w:rPr>
                <w:color w:val="auto"/>
              </w:rPr>
            </w:pPr>
          </w:p>
        </w:tc>
        <w:tc>
          <w:tcPr>
            <w:tcW w:w="563" w:type="pct"/>
            <w:vMerge w:val="continue"/>
            <w:noWrap w:val="0"/>
            <w:vAlign w:val="center"/>
          </w:tcPr>
          <w:p>
            <w:pPr>
              <w:pStyle w:val="35"/>
              <w:bidi w:val="0"/>
              <w:rPr>
                <w:color w:val="auto"/>
              </w:rPr>
            </w:pPr>
          </w:p>
        </w:tc>
        <w:tc>
          <w:tcPr>
            <w:tcW w:w="1015" w:type="pct"/>
            <w:gridSpan w:val="2"/>
            <w:noWrap w:val="0"/>
            <w:vAlign w:val="center"/>
          </w:tcPr>
          <w:p>
            <w:pPr>
              <w:pStyle w:val="35"/>
              <w:bidi w:val="0"/>
              <w:rPr>
                <w:color w:val="auto"/>
                <w:lang w:eastAsia="zh-CN"/>
              </w:rPr>
            </w:pPr>
            <w:r>
              <w:rPr>
                <w:color w:val="auto"/>
                <w:lang w:eastAsia="zh-CN"/>
              </w:rPr>
              <w:t>东风村</w:t>
            </w:r>
          </w:p>
        </w:tc>
        <w:tc>
          <w:tcPr>
            <w:tcW w:w="767" w:type="pct"/>
            <w:gridSpan w:val="2"/>
            <w:noWrap w:val="0"/>
            <w:vAlign w:val="center"/>
          </w:tcPr>
          <w:p>
            <w:pPr>
              <w:pStyle w:val="35"/>
              <w:bidi w:val="0"/>
              <w:rPr>
                <w:color w:val="auto"/>
                <w:lang w:eastAsia="zh-CN"/>
              </w:rPr>
            </w:pPr>
            <w:r>
              <w:rPr>
                <w:color w:val="auto"/>
                <w:lang w:eastAsia="zh-CN"/>
              </w:rPr>
              <w:t>/</w:t>
            </w:r>
          </w:p>
        </w:tc>
        <w:tc>
          <w:tcPr>
            <w:tcW w:w="858" w:type="pct"/>
            <w:gridSpan w:val="2"/>
            <w:noWrap w:val="0"/>
            <w:vAlign w:val="center"/>
          </w:tcPr>
          <w:p>
            <w:pPr>
              <w:pStyle w:val="35"/>
              <w:bidi w:val="0"/>
              <w:rPr>
                <w:color w:val="auto"/>
                <w:lang w:eastAsia="zh-CN"/>
              </w:rPr>
            </w:pPr>
            <w:r>
              <w:rPr>
                <w:color w:val="auto"/>
                <w:lang w:eastAsia="zh-CN"/>
              </w:rPr>
              <w:t>/</w:t>
            </w:r>
          </w:p>
        </w:tc>
        <w:tc>
          <w:tcPr>
            <w:tcW w:w="906" w:type="pct"/>
            <w:gridSpan w:val="2"/>
            <w:noWrap w:val="0"/>
            <w:vAlign w:val="center"/>
          </w:tcPr>
          <w:p>
            <w:pPr>
              <w:pStyle w:val="35"/>
              <w:bidi w:val="0"/>
              <w:rPr>
                <w:color w:val="auto"/>
                <w:lang w:eastAsia="zh-CN"/>
              </w:rPr>
            </w:pPr>
            <w:r>
              <w:rPr>
                <w:color w:val="auto"/>
              </w:rPr>
              <w:t>1.36E+02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887" w:type="pct"/>
            <w:vMerge w:val="continue"/>
            <w:noWrap w:val="0"/>
            <w:vAlign w:val="center"/>
          </w:tcPr>
          <w:p>
            <w:pPr>
              <w:pStyle w:val="35"/>
              <w:bidi w:val="0"/>
              <w:rPr>
                <w:color w:val="auto"/>
              </w:rPr>
            </w:pPr>
          </w:p>
        </w:tc>
        <w:tc>
          <w:tcPr>
            <w:tcW w:w="563" w:type="pct"/>
            <w:vMerge w:val="continue"/>
            <w:noWrap w:val="0"/>
            <w:vAlign w:val="center"/>
          </w:tcPr>
          <w:p>
            <w:pPr>
              <w:pStyle w:val="35"/>
              <w:bidi w:val="0"/>
              <w:rPr>
                <w:color w:val="auto"/>
              </w:rPr>
            </w:pPr>
          </w:p>
        </w:tc>
        <w:tc>
          <w:tcPr>
            <w:tcW w:w="1015" w:type="pct"/>
            <w:gridSpan w:val="2"/>
            <w:noWrap w:val="0"/>
            <w:vAlign w:val="center"/>
          </w:tcPr>
          <w:p>
            <w:pPr>
              <w:pStyle w:val="35"/>
              <w:bidi w:val="0"/>
              <w:rPr>
                <w:color w:val="auto"/>
              </w:rPr>
            </w:pPr>
            <w:r>
              <w:rPr>
                <w:color w:val="auto"/>
              </w:rPr>
              <w:t>凌泊湖小区</w:t>
            </w:r>
          </w:p>
        </w:tc>
        <w:tc>
          <w:tcPr>
            <w:tcW w:w="767" w:type="pct"/>
            <w:gridSpan w:val="2"/>
            <w:noWrap w:val="0"/>
            <w:vAlign w:val="center"/>
          </w:tcPr>
          <w:p>
            <w:pPr>
              <w:pStyle w:val="35"/>
              <w:bidi w:val="0"/>
              <w:rPr>
                <w:color w:val="auto"/>
                <w:lang w:eastAsia="zh-CN"/>
              </w:rPr>
            </w:pPr>
            <w:r>
              <w:rPr>
                <w:color w:val="auto"/>
                <w:lang w:eastAsia="zh-CN"/>
              </w:rPr>
              <w:t>/</w:t>
            </w:r>
          </w:p>
        </w:tc>
        <w:tc>
          <w:tcPr>
            <w:tcW w:w="858" w:type="pct"/>
            <w:gridSpan w:val="2"/>
            <w:noWrap w:val="0"/>
            <w:vAlign w:val="center"/>
          </w:tcPr>
          <w:p>
            <w:pPr>
              <w:pStyle w:val="35"/>
              <w:bidi w:val="0"/>
              <w:rPr>
                <w:color w:val="auto"/>
                <w:lang w:eastAsia="zh-CN"/>
              </w:rPr>
            </w:pPr>
            <w:r>
              <w:rPr>
                <w:color w:val="auto"/>
                <w:lang w:eastAsia="zh-CN"/>
              </w:rPr>
              <w:t>/</w:t>
            </w:r>
          </w:p>
        </w:tc>
        <w:tc>
          <w:tcPr>
            <w:tcW w:w="906" w:type="pct"/>
            <w:gridSpan w:val="2"/>
            <w:noWrap w:val="0"/>
            <w:vAlign w:val="center"/>
          </w:tcPr>
          <w:p>
            <w:pPr>
              <w:pStyle w:val="35"/>
              <w:bidi w:val="0"/>
              <w:rPr>
                <w:color w:val="auto"/>
              </w:rPr>
            </w:pPr>
            <w:r>
              <w:rPr>
                <w:color w:val="auto"/>
              </w:rPr>
              <w:t>4.02E+01</w:t>
            </w:r>
          </w:p>
        </w:tc>
      </w:tr>
      <w:tr>
        <w:trPr>
          <w:trHeight w:val="340" w:hRule="atLeast"/>
          <w:jc w:val="center"/>
        </w:trPr>
        <w:tc>
          <w:tcPr>
            <w:tcW w:w="887" w:type="pct"/>
            <w:vMerge w:val="continue"/>
            <w:noWrap w:val="0"/>
            <w:vAlign w:val="center"/>
          </w:tcPr>
          <w:p>
            <w:pPr>
              <w:pStyle w:val="35"/>
              <w:bidi w:val="0"/>
              <w:rPr>
                <w:color w:val="auto"/>
              </w:rPr>
            </w:pPr>
          </w:p>
        </w:tc>
        <w:tc>
          <w:tcPr>
            <w:tcW w:w="563" w:type="pct"/>
            <w:vMerge w:val="continue"/>
            <w:noWrap w:val="0"/>
            <w:vAlign w:val="center"/>
          </w:tcPr>
          <w:p>
            <w:pPr>
              <w:pStyle w:val="35"/>
              <w:bidi w:val="0"/>
              <w:rPr>
                <w:color w:val="auto"/>
              </w:rPr>
            </w:pPr>
          </w:p>
        </w:tc>
        <w:tc>
          <w:tcPr>
            <w:tcW w:w="1015" w:type="pct"/>
            <w:gridSpan w:val="2"/>
            <w:noWrap w:val="0"/>
            <w:vAlign w:val="center"/>
          </w:tcPr>
          <w:p>
            <w:pPr>
              <w:pStyle w:val="35"/>
              <w:bidi w:val="0"/>
              <w:rPr>
                <w:color w:val="auto"/>
              </w:rPr>
            </w:pPr>
            <w:r>
              <w:rPr>
                <w:color w:val="auto"/>
              </w:rPr>
              <w:t>滨湖村</w:t>
            </w:r>
          </w:p>
        </w:tc>
        <w:tc>
          <w:tcPr>
            <w:tcW w:w="767" w:type="pct"/>
            <w:gridSpan w:val="2"/>
            <w:noWrap w:val="0"/>
            <w:vAlign w:val="center"/>
          </w:tcPr>
          <w:p>
            <w:pPr>
              <w:pStyle w:val="35"/>
              <w:bidi w:val="0"/>
              <w:rPr>
                <w:color w:val="auto"/>
                <w:lang w:eastAsia="zh-CN"/>
              </w:rPr>
            </w:pPr>
            <w:r>
              <w:rPr>
                <w:color w:val="auto"/>
                <w:lang w:eastAsia="zh-CN"/>
              </w:rPr>
              <w:t>/</w:t>
            </w:r>
          </w:p>
        </w:tc>
        <w:tc>
          <w:tcPr>
            <w:tcW w:w="858" w:type="pct"/>
            <w:gridSpan w:val="2"/>
            <w:noWrap w:val="0"/>
            <w:vAlign w:val="center"/>
          </w:tcPr>
          <w:p>
            <w:pPr>
              <w:pStyle w:val="35"/>
              <w:bidi w:val="0"/>
              <w:rPr>
                <w:color w:val="auto"/>
                <w:lang w:eastAsia="zh-CN"/>
              </w:rPr>
            </w:pPr>
            <w:r>
              <w:rPr>
                <w:color w:val="auto"/>
                <w:lang w:eastAsia="zh-CN"/>
              </w:rPr>
              <w:t>/</w:t>
            </w:r>
          </w:p>
        </w:tc>
        <w:tc>
          <w:tcPr>
            <w:tcW w:w="906" w:type="pct"/>
            <w:gridSpan w:val="2"/>
            <w:noWrap w:val="0"/>
            <w:vAlign w:val="center"/>
          </w:tcPr>
          <w:p>
            <w:pPr>
              <w:pStyle w:val="35"/>
              <w:bidi w:val="0"/>
              <w:rPr>
                <w:color w:val="auto"/>
              </w:rPr>
            </w:pPr>
            <w:r>
              <w:rPr>
                <w:color w:val="auto"/>
              </w:rPr>
              <w:t>4.25E+01</w:t>
            </w:r>
          </w:p>
        </w:tc>
      </w:tr>
      <w:tr>
        <w:trPr>
          <w:trHeight w:val="340" w:hRule="atLeast"/>
          <w:jc w:val="center"/>
        </w:trPr>
        <w:tc>
          <w:tcPr>
            <w:tcW w:w="887" w:type="pct"/>
            <w:vMerge w:val="continue"/>
            <w:noWrap w:val="0"/>
            <w:vAlign w:val="center"/>
          </w:tcPr>
          <w:p>
            <w:pPr>
              <w:pStyle w:val="35"/>
              <w:bidi w:val="0"/>
              <w:rPr>
                <w:color w:val="auto"/>
              </w:rPr>
            </w:pPr>
          </w:p>
        </w:tc>
        <w:tc>
          <w:tcPr>
            <w:tcW w:w="563" w:type="pct"/>
            <w:vMerge w:val="continue"/>
            <w:noWrap w:val="0"/>
            <w:vAlign w:val="center"/>
          </w:tcPr>
          <w:p>
            <w:pPr>
              <w:pStyle w:val="35"/>
              <w:bidi w:val="0"/>
              <w:rPr>
                <w:color w:val="auto"/>
              </w:rPr>
            </w:pPr>
          </w:p>
        </w:tc>
        <w:tc>
          <w:tcPr>
            <w:tcW w:w="1015" w:type="pct"/>
            <w:gridSpan w:val="2"/>
            <w:noWrap w:val="0"/>
            <w:vAlign w:val="center"/>
          </w:tcPr>
          <w:p>
            <w:pPr>
              <w:pStyle w:val="35"/>
              <w:bidi w:val="0"/>
              <w:rPr>
                <w:color w:val="auto"/>
              </w:rPr>
            </w:pPr>
            <w:r>
              <w:rPr>
                <w:color w:val="auto"/>
              </w:rPr>
              <w:t>滨湖小学</w:t>
            </w:r>
          </w:p>
        </w:tc>
        <w:tc>
          <w:tcPr>
            <w:tcW w:w="767" w:type="pct"/>
            <w:gridSpan w:val="2"/>
            <w:noWrap w:val="0"/>
            <w:vAlign w:val="center"/>
          </w:tcPr>
          <w:p>
            <w:pPr>
              <w:pStyle w:val="35"/>
              <w:bidi w:val="0"/>
              <w:rPr>
                <w:color w:val="auto"/>
                <w:lang w:eastAsia="zh-CN"/>
              </w:rPr>
            </w:pPr>
            <w:r>
              <w:rPr>
                <w:color w:val="auto"/>
                <w:lang w:eastAsia="zh-CN"/>
              </w:rPr>
              <w:t>/</w:t>
            </w:r>
          </w:p>
        </w:tc>
        <w:tc>
          <w:tcPr>
            <w:tcW w:w="858" w:type="pct"/>
            <w:gridSpan w:val="2"/>
            <w:noWrap w:val="0"/>
            <w:vAlign w:val="center"/>
          </w:tcPr>
          <w:p>
            <w:pPr>
              <w:pStyle w:val="35"/>
              <w:bidi w:val="0"/>
              <w:rPr>
                <w:color w:val="auto"/>
                <w:lang w:eastAsia="zh-CN"/>
              </w:rPr>
            </w:pPr>
            <w:r>
              <w:rPr>
                <w:color w:val="auto"/>
                <w:lang w:eastAsia="zh-CN"/>
              </w:rPr>
              <w:t>/</w:t>
            </w:r>
          </w:p>
        </w:tc>
        <w:tc>
          <w:tcPr>
            <w:tcW w:w="906" w:type="pct"/>
            <w:gridSpan w:val="2"/>
            <w:noWrap w:val="0"/>
            <w:vAlign w:val="center"/>
          </w:tcPr>
          <w:p>
            <w:pPr>
              <w:pStyle w:val="35"/>
              <w:bidi w:val="0"/>
              <w:rPr>
                <w:color w:val="auto"/>
              </w:rPr>
            </w:pPr>
            <w:r>
              <w:rPr>
                <w:color w:val="auto"/>
              </w:rPr>
              <w:t>5.12E+01</w:t>
            </w:r>
          </w:p>
        </w:tc>
      </w:tr>
    </w:tbl>
    <w:p>
      <w:pPr>
        <w:pStyle w:val="33"/>
        <w:bidi w:val="0"/>
        <w:rPr>
          <w:color w:val="auto"/>
        </w:rPr>
      </w:pPr>
      <w:r>
        <w:rPr>
          <w:color w:val="auto"/>
        </w:rPr>
        <w:t>根据上表甲醇储罐泄漏的预测结果，当甲醇储罐泄漏时，在最不利和最常见的气象条件下，对下风向下方向关心点东风村、凌泊湖小区、滨湖村、滨湖小学会产生一定影响，但均不超过大气毒性终点浓度-1（9400mg/m</w:t>
      </w:r>
      <w:r>
        <w:rPr>
          <w:color w:val="auto"/>
          <w:vertAlign w:val="superscript"/>
        </w:rPr>
        <w:t>3</w:t>
      </w:r>
      <w:r>
        <w:rPr>
          <w:color w:val="auto"/>
        </w:rPr>
        <w:t>）和大气毒性终点浓度-2（2700mg/m</w:t>
      </w:r>
      <w:r>
        <w:rPr>
          <w:color w:val="auto"/>
          <w:vertAlign w:val="superscript"/>
        </w:rPr>
        <w:t>3</w:t>
      </w:r>
      <w:r>
        <w:rPr>
          <w:color w:val="auto"/>
        </w:rPr>
        <w:t>），企业应在日常加强风险防范措施及应急预案。</w:t>
      </w:r>
    </w:p>
    <w:p>
      <w:pPr>
        <w:pStyle w:val="33"/>
        <w:bidi w:val="0"/>
        <w:rPr>
          <w:b w:val="0"/>
          <w:bCs w:val="0"/>
          <w:color w:val="auto"/>
        </w:rPr>
      </w:pPr>
      <w:r>
        <w:rPr>
          <w:rFonts w:hint="eastAsia"/>
          <w:b w:val="0"/>
          <w:bCs w:val="0"/>
          <w:color w:val="auto"/>
          <w:lang w:val="en-US" w:eastAsia="zh-CN"/>
        </w:rPr>
        <w:t>b、醋酸甲酯</w:t>
      </w:r>
      <w:r>
        <w:rPr>
          <w:b w:val="0"/>
          <w:bCs w:val="0"/>
          <w:color w:val="auto"/>
        </w:rPr>
        <w:t>储罐发生火灾爆炸伴生CO</w:t>
      </w:r>
    </w:p>
    <w:p>
      <w:pPr>
        <w:pStyle w:val="33"/>
        <w:bidi w:val="0"/>
        <w:rPr>
          <w:color w:val="auto"/>
        </w:rPr>
      </w:pPr>
      <w:r>
        <w:rPr>
          <w:color w:val="auto"/>
        </w:rPr>
        <w:t>（1）火灾爆炸伴生CO在最不利气象条件预测结果（预测时刻为30.0min的廓线)</w:t>
      </w:r>
    </w:p>
    <w:p>
      <w:pPr>
        <w:pStyle w:val="33"/>
        <w:bidi w:val="0"/>
        <w:rPr>
          <w:color w:val="auto"/>
          <w:lang w:val="zh-CN"/>
        </w:rPr>
      </w:pPr>
      <w:r>
        <w:rPr>
          <w:rFonts w:hint="eastAsia"/>
          <w:color w:val="auto"/>
          <w:lang w:val="zh-CN"/>
        </w:rPr>
        <w:t>①</w:t>
      </w:r>
      <w:r>
        <w:rPr>
          <w:color w:val="auto"/>
          <w:lang w:val="zh-CN"/>
        </w:rPr>
        <w:t>给定高度2.5m的最大浓度</w:t>
      </w:r>
    </w:p>
    <w:p>
      <w:pPr>
        <w:pStyle w:val="33"/>
        <w:bidi w:val="0"/>
        <w:rPr>
          <w:color w:val="auto"/>
          <w:lang w:val="zh-CN"/>
        </w:rPr>
      </w:pPr>
      <w:r>
        <w:rPr>
          <w:color w:val="auto"/>
          <w:lang w:val="zh-CN"/>
        </w:rPr>
        <w:t>当前时刻(30 min)，最大浓度为1.2978E+03(mg/m</w:t>
      </w:r>
      <w:r>
        <w:rPr>
          <w:color w:val="auto"/>
          <w:vertAlign w:val="superscript"/>
          <w:lang w:val="zh-CN"/>
        </w:rPr>
        <w:t>3</w:t>
      </w:r>
      <w:r>
        <w:rPr>
          <w:color w:val="auto"/>
          <w:lang w:val="zh-CN"/>
        </w:rPr>
        <w:t>)，位于X=1</w:t>
      </w:r>
      <w:r>
        <w:rPr>
          <w:rFonts w:hint="eastAsia"/>
          <w:color w:val="auto"/>
          <w:lang w:val="zh-CN"/>
        </w:rPr>
        <w:t>40</w:t>
      </w:r>
      <w:r>
        <w:rPr>
          <w:color w:val="auto"/>
          <w:lang w:val="zh-CN"/>
        </w:rPr>
        <w:t>m</w:t>
      </w:r>
      <w:r>
        <w:rPr>
          <w:rFonts w:hint="eastAsia"/>
          <w:color w:val="auto"/>
          <w:lang w:val="zh-CN"/>
        </w:rPr>
        <w:t>。</w:t>
      </w:r>
    </w:p>
    <w:p>
      <w:pPr>
        <w:pStyle w:val="33"/>
        <w:bidi w:val="0"/>
        <w:rPr>
          <w:color w:val="auto"/>
          <w:lang w:val="zh-CN"/>
        </w:rPr>
      </w:pPr>
      <w:r>
        <w:rPr>
          <w:rFonts w:hint="eastAsia"/>
          <w:color w:val="auto"/>
          <w:lang w:val="zh-CN"/>
        </w:rPr>
        <w:t>②</w:t>
      </w:r>
      <w:r>
        <w:rPr>
          <w:color w:val="auto"/>
          <w:lang w:val="zh-CN"/>
        </w:rPr>
        <w:t>廓线数据，Z=2.5(m)</w:t>
      </w:r>
    </w:p>
    <w:p>
      <w:pPr>
        <w:pStyle w:val="33"/>
        <w:bidi w:val="0"/>
        <w:rPr>
          <w:color w:val="auto"/>
          <w:lang w:val="zh-CN"/>
        </w:rPr>
      </w:pPr>
      <w:r>
        <w:rPr>
          <w:color w:val="auto"/>
          <w:lang w:val="zh-CN"/>
        </w:rPr>
        <w:t>各阈值的廓线对应的位置</w:t>
      </w:r>
      <w:r>
        <w:rPr>
          <w:rFonts w:hint="eastAsia"/>
          <w:color w:val="auto"/>
          <w:lang w:val="zh-CN"/>
        </w:rPr>
        <w:t>。</w:t>
      </w:r>
    </w:p>
    <w:p>
      <w:pPr>
        <w:pStyle w:val="36"/>
        <w:bidi w:val="0"/>
        <w:rPr>
          <w:b/>
          <w:color w:val="auto"/>
          <w:szCs w:val="21"/>
          <w:u w:val="single"/>
          <w:lang w:val="zh-CN"/>
        </w:rPr>
      </w:pPr>
      <w:r>
        <w:rPr>
          <w:color w:val="auto"/>
          <w:lang w:val="zh-CN"/>
        </w:rPr>
        <w:t>表</w:t>
      </w:r>
      <w:r>
        <w:rPr>
          <w:rFonts w:hint="eastAsia"/>
          <w:color w:val="auto"/>
          <w:lang w:val="en-US" w:eastAsia="zh-CN"/>
        </w:rPr>
        <w:t>9</w:t>
      </w:r>
      <w:r>
        <w:rPr>
          <w:color w:val="auto"/>
          <w:lang w:val="zh-CN"/>
        </w:rPr>
        <w:t>.6-</w:t>
      </w:r>
      <w:r>
        <w:rPr>
          <w:rFonts w:hint="eastAsia"/>
          <w:color w:val="auto"/>
          <w:lang w:val="en-US" w:eastAsia="zh-CN"/>
        </w:rPr>
        <w:t>6</w:t>
      </w:r>
      <w:r>
        <w:rPr>
          <w:color w:val="auto"/>
          <w:lang w:val="zh-CN"/>
        </w:rPr>
        <w:t xml:space="preserve">   </w:t>
      </w:r>
      <w:r>
        <w:rPr>
          <w:rFonts w:hint="eastAsia"/>
          <w:color w:val="auto"/>
          <w:lang w:val="zh-CN"/>
        </w:rPr>
        <w:t>火灾爆炸伴生CO</w:t>
      </w:r>
      <w:r>
        <w:rPr>
          <w:color w:val="auto"/>
          <w:lang w:val="zh-CN"/>
        </w:rPr>
        <w:t>各阈值的廓线对应的位置（最不利气象条件）</w:t>
      </w:r>
    </w:p>
    <w:tbl>
      <w:tblPr>
        <w:tblStyle w:val="27"/>
        <w:tblW w:w="900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1801"/>
        <w:gridCol w:w="1610"/>
        <w:gridCol w:w="1701"/>
        <w:gridCol w:w="20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800"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ascii="Times New Roman" w:hAnsi="Times New Roman"/>
                <w:color w:val="auto"/>
                <w:sz w:val="21"/>
                <w:szCs w:val="21"/>
                <w:u w:val="single"/>
                <w:lang w:val="zh-CN"/>
              </w:rPr>
              <w:t>阈值(mg/m</w:t>
            </w:r>
            <w:r>
              <w:rPr>
                <w:rFonts w:ascii="Times New Roman" w:hAnsi="Times New Roman"/>
                <w:color w:val="auto"/>
                <w:sz w:val="21"/>
                <w:szCs w:val="21"/>
                <w:u w:val="single"/>
                <w:vertAlign w:val="superscript"/>
                <w:lang w:val="zh-CN"/>
              </w:rPr>
              <w:t>3</w:t>
            </w:r>
            <w:r>
              <w:rPr>
                <w:rFonts w:ascii="Times New Roman" w:hAnsi="Times New Roman"/>
                <w:color w:val="auto"/>
                <w:sz w:val="21"/>
                <w:szCs w:val="21"/>
                <w:u w:val="single"/>
                <w:lang w:val="zh-CN"/>
              </w:rPr>
              <w:t>)</w:t>
            </w:r>
          </w:p>
        </w:tc>
        <w:tc>
          <w:tcPr>
            <w:tcW w:w="1801"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ascii="Times New Roman" w:hAnsi="Times New Roman"/>
                <w:color w:val="auto"/>
                <w:sz w:val="21"/>
                <w:szCs w:val="21"/>
                <w:u w:val="single"/>
                <w:lang w:val="zh-CN"/>
              </w:rPr>
              <w:t>X起点(m)</w:t>
            </w:r>
          </w:p>
        </w:tc>
        <w:tc>
          <w:tcPr>
            <w:tcW w:w="1610"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ascii="Times New Roman" w:hAnsi="Times New Roman"/>
                <w:color w:val="auto"/>
                <w:sz w:val="21"/>
                <w:szCs w:val="21"/>
                <w:u w:val="single"/>
                <w:lang w:val="zh-CN"/>
              </w:rPr>
              <w:t>X终点(m)</w:t>
            </w:r>
          </w:p>
        </w:tc>
        <w:tc>
          <w:tcPr>
            <w:tcW w:w="1701"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ascii="Times New Roman" w:hAnsi="Times New Roman"/>
                <w:color w:val="auto"/>
                <w:sz w:val="21"/>
                <w:szCs w:val="21"/>
                <w:u w:val="single"/>
                <w:lang w:val="zh-CN"/>
              </w:rPr>
              <w:t>最大半宽(m)</w:t>
            </w:r>
          </w:p>
        </w:tc>
        <w:tc>
          <w:tcPr>
            <w:tcW w:w="2092"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ascii="Times New Roman" w:hAnsi="Times New Roman"/>
                <w:color w:val="auto"/>
                <w:sz w:val="21"/>
                <w:szCs w:val="21"/>
                <w:u w:val="single"/>
                <w:lang w:val="zh-CN"/>
              </w:rPr>
              <w:t>最大半宽对应X(m)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800"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hint="eastAsia" w:ascii="Times New Roman" w:hAnsi="Times New Roman"/>
                <w:color w:val="auto"/>
                <w:sz w:val="21"/>
                <w:szCs w:val="21"/>
                <w:u w:val="single"/>
                <w:lang w:val="zh-CN"/>
              </w:rPr>
              <w:t>9.50</w:t>
            </w:r>
            <w:r>
              <w:rPr>
                <w:rFonts w:ascii="Times New Roman" w:hAnsi="Times New Roman"/>
                <w:color w:val="auto"/>
                <w:sz w:val="21"/>
                <w:szCs w:val="21"/>
                <w:u w:val="single"/>
                <w:lang w:val="zh-CN"/>
              </w:rPr>
              <w:t>E+0</w:t>
            </w:r>
            <w:r>
              <w:rPr>
                <w:rFonts w:hint="eastAsia" w:ascii="Times New Roman" w:hAnsi="Times New Roman"/>
                <w:color w:val="auto"/>
                <w:sz w:val="21"/>
                <w:szCs w:val="21"/>
                <w:u w:val="single"/>
                <w:lang w:val="zh-CN"/>
              </w:rPr>
              <w:t>1</w:t>
            </w:r>
          </w:p>
        </w:tc>
        <w:tc>
          <w:tcPr>
            <w:tcW w:w="1801"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hint="eastAsia" w:ascii="Times New Roman" w:hAnsi="Times New Roman"/>
                <w:color w:val="auto"/>
                <w:sz w:val="21"/>
                <w:szCs w:val="21"/>
                <w:u w:val="single"/>
                <w:lang w:val="zh-CN"/>
              </w:rPr>
              <w:t>50</w:t>
            </w:r>
          </w:p>
        </w:tc>
        <w:tc>
          <w:tcPr>
            <w:tcW w:w="1610"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hint="eastAsia" w:ascii="Times New Roman" w:hAnsi="Times New Roman"/>
                <w:color w:val="auto"/>
                <w:sz w:val="21"/>
                <w:szCs w:val="21"/>
                <w:u w:val="single"/>
                <w:lang w:val="zh-CN"/>
              </w:rPr>
              <w:t>1550</w:t>
            </w:r>
          </w:p>
        </w:tc>
        <w:tc>
          <w:tcPr>
            <w:tcW w:w="1701"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hint="eastAsia" w:ascii="Times New Roman" w:hAnsi="Times New Roman"/>
                <w:color w:val="auto"/>
                <w:sz w:val="21"/>
                <w:szCs w:val="21"/>
                <w:u w:val="single"/>
                <w:lang w:val="zh-CN"/>
              </w:rPr>
              <w:t>52</w:t>
            </w:r>
          </w:p>
        </w:tc>
        <w:tc>
          <w:tcPr>
            <w:tcW w:w="2092"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hint="eastAsia" w:ascii="Times New Roman" w:hAnsi="Times New Roman"/>
                <w:color w:val="auto"/>
                <w:sz w:val="21"/>
                <w:szCs w:val="21"/>
                <w:u w:val="single"/>
                <w:lang w:val="zh-CN"/>
              </w:rPr>
              <w:t>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800"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hint="eastAsia" w:ascii="Times New Roman" w:hAnsi="Times New Roman"/>
                <w:color w:val="auto"/>
                <w:sz w:val="21"/>
                <w:szCs w:val="21"/>
                <w:u w:val="single"/>
                <w:lang w:val="zh-CN"/>
              </w:rPr>
              <w:t>3.8</w:t>
            </w:r>
            <w:r>
              <w:rPr>
                <w:rFonts w:ascii="Times New Roman" w:hAnsi="Times New Roman"/>
                <w:color w:val="auto"/>
                <w:sz w:val="21"/>
                <w:szCs w:val="21"/>
                <w:u w:val="single"/>
                <w:lang w:val="zh-CN"/>
              </w:rPr>
              <w:t>0E+02</w:t>
            </w:r>
          </w:p>
        </w:tc>
        <w:tc>
          <w:tcPr>
            <w:tcW w:w="1801"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hint="eastAsia" w:ascii="Times New Roman" w:hAnsi="Times New Roman"/>
                <w:color w:val="auto"/>
                <w:sz w:val="21"/>
                <w:szCs w:val="21"/>
                <w:u w:val="single"/>
                <w:lang w:val="zh-CN"/>
              </w:rPr>
              <w:t>60</w:t>
            </w:r>
          </w:p>
        </w:tc>
        <w:tc>
          <w:tcPr>
            <w:tcW w:w="1610"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hint="eastAsia" w:ascii="Times New Roman" w:hAnsi="Times New Roman"/>
                <w:color w:val="auto"/>
                <w:sz w:val="21"/>
                <w:szCs w:val="21"/>
                <w:u w:val="single"/>
                <w:lang w:val="zh-CN"/>
              </w:rPr>
              <w:t>610</w:t>
            </w:r>
          </w:p>
        </w:tc>
        <w:tc>
          <w:tcPr>
            <w:tcW w:w="1701"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hint="eastAsia" w:ascii="Times New Roman" w:hAnsi="Times New Roman"/>
                <w:color w:val="auto"/>
                <w:sz w:val="21"/>
                <w:szCs w:val="21"/>
                <w:u w:val="single"/>
                <w:lang w:val="zh-CN"/>
              </w:rPr>
              <w:t>20</w:t>
            </w:r>
          </w:p>
        </w:tc>
        <w:tc>
          <w:tcPr>
            <w:tcW w:w="2092" w:type="dxa"/>
            <w:noWrap w:val="0"/>
            <w:vAlign w:val="center"/>
          </w:tcPr>
          <w:p>
            <w:pPr>
              <w:pStyle w:val="8"/>
              <w:widowControl w:val="0"/>
              <w:spacing w:line="240" w:lineRule="auto"/>
              <w:ind w:firstLine="0"/>
              <w:jc w:val="center"/>
              <w:rPr>
                <w:rFonts w:ascii="Times New Roman" w:hAnsi="Times New Roman"/>
                <w:color w:val="auto"/>
                <w:sz w:val="21"/>
                <w:szCs w:val="21"/>
                <w:u w:val="single"/>
                <w:lang w:val="zh-CN"/>
              </w:rPr>
            </w:pPr>
            <w:r>
              <w:rPr>
                <w:rFonts w:hint="eastAsia" w:ascii="Times New Roman" w:hAnsi="Times New Roman"/>
                <w:color w:val="auto"/>
                <w:sz w:val="21"/>
                <w:szCs w:val="21"/>
                <w:u w:val="single"/>
                <w:lang w:val="zh-CN"/>
              </w:rPr>
              <w:t>310</w:t>
            </w:r>
          </w:p>
        </w:tc>
      </w:tr>
    </w:tbl>
    <w:p>
      <w:pPr>
        <w:pStyle w:val="33"/>
        <w:bidi w:val="0"/>
        <w:rPr>
          <w:color w:val="auto"/>
        </w:rPr>
      </w:pPr>
      <w:r>
        <w:rPr>
          <w:rFonts w:hint="eastAsia"/>
          <w:color w:val="auto"/>
        </w:rPr>
        <w:t>最小阈值为</w:t>
      </w:r>
      <w:r>
        <w:rPr>
          <w:color w:val="auto"/>
        </w:rPr>
        <w:t>9.50E+01(mg/m</w:t>
      </w:r>
      <w:r>
        <w:rPr>
          <w:color w:val="auto"/>
          <w:vertAlign w:val="superscript"/>
        </w:rPr>
        <w:t>3</w:t>
      </w:r>
      <w:r>
        <w:rPr>
          <w:color w:val="auto"/>
        </w:rPr>
        <w:t>)</w:t>
      </w:r>
    </w:p>
    <w:p>
      <w:pPr>
        <w:pStyle w:val="33"/>
        <w:bidi w:val="0"/>
        <w:rPr>
          <w:color w:val="auto"/>
        </w:rPr>
      </w:pPr>
      <w:r>
        <w:rPr>
          <w:rFonts w:hint="eastAsia"/>
          <w:color w:val="auto"/>
        </w:rPr>
        <w:t>最小阈值产生的最远距离</w:t>
      </w:r>
      <w:r>
        <w:rPr>
          <w:color w:val="auto"/>
        </w:rPr>
        <w:t>1550</w:t>
      </w:r>
      <w:r>
        <w:rPr>
          <w:rFonts w:hint="eastAsia"/>
          <w:color w:val="auto"/>
        </w:rPr>
        <w:t>（</w:t>
      </w:r>
      <w:r>
        <w:rPr>
          <w:color w:val="auto"/>
        </w:rPr>
        <w:t>m)</w:t>
      </w:r>
      <w:r>
        <w:rPr>
          <w:rFonts w:hint="eastAsia"/>
          <w:color w:val="auto"/>
        </w:rPr>
        <w:t>，发生时间为第</w:t>
      </w:r>
      <w:r>
        <w:rPr>
          <w:color w:val="auto"/>
        </w:rPr>
        <w:t>16.78(min)</w:t>
      </w:r>
      <w:r>
        <w:rPr>
          <w:rFonts w:hint="eastAsia"/>
          <w:color w:val="auto"/>
        </w:rPr>
        <w:t>，火灾爆炸伴生产生的CO</w:t>
      </w:r>
      <w:r>
        <w:rPr>
          <w:color w:val="auto"/>
        </w:rPr>
        <w:t>在最不利气象条件下毒性终点浓度的最大影响范围详见下图。</w:t>
      </w:r>
    </w:p>
    <w:p>
      <w:pPr>
        <w:widowControl w:val="0"/>
        <w:autoSpaceDE w:val="0"/>
        <w:autoSpaceDN w:val="0"/>
        <w:adjustRightInd w:val="0"/>
        <w:jc w:val="center"/>
        <w:rPr>
          <w:rFonts w:hint="eastAsia" w:ascii="宋体" w:cs="宋体"/>
          <w:color w:val="auto"/>
          <w:kern w:val="0"/>
          <w:sz w:val="18"/>
          <w:szCs w:val="18"/>
          <w:u w:val="single"/>
          <w:lang w:val="zh-CN"/>
        </w:rPr>
      </w:pPr>
      <w:r>
        <w:rPr>
          <w:rFonts w:ascii="宋体" w:cs="宋体"/>
          <w:color w:val="auto"/>
          <w:kern w:val="0"/>
          <w:sz w:val="18"/>
          <w:szCs w:val="18"/>
          <w:u w:val="single"/>
          <w:lang w:val="zh-CN"/>
        </w:rPr>
        <w:drawing>
          <wp:inline distT="0" distB="0" distL="114300" distR="114300">
            <wp:extent cx="5265420" cy="3216275"/>
            <wp:effectExtent l="0" t="0" r="11430" b="3175"/>
            <wp:docPr id="3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4"/>
                    <pic:cNvPicPr>
                      <a:picLocks noChangeAspect="1"/>
                    </pic:cNvPicPr>
                  </pic:nvPicPr>
                  <pic:blipFill>
                    <a:blip r:embed="rId82"/>
                    <a:stretch>
                      <a:fillRect/>
                    </a:stretch>
                  </pic:blipFill>
                  <pic:spPr>
                    <a:xfrm>
                      <a:off x="0" y="0"/>
                      <a:ext cx="5265420" cy="3216275"/>
                    </a:xfrm>
                    <a:prstGeom prst="rect">
                      <a:avLst/>
                    </a:prstGeom>
                    <a:noFill/>
                    <a:ln>
                      <a:noFill/>
                    </a:ln>
                  </pic:spPr>
                </pic:pic>
              </a:graphicData>
            </a:graphic>
          </wp:inline>
        </w:drawing>
      </w:r>
    </w:p>
    <w:p>
      <w:pPr>
        <w:pStyle w:val="36"/>
        <w:bidi w:val="0"/>
        <w:rPr>
          <w:color w:val="auto"/>
        </w:rPr>
      </w:pPr>
      <w:r>
        <w:rPr>
          <w:color w:val="auto"/>
        </w:rPr>
        <w:t>图</w:t>
      </w:r>
      <w:r>
        <w:rPr>
          <w:rFonts w:hint="eastAsia"/>
          <w:color w:val="auto"/>
          <w:lang w:val="en-US" w:eastAsia="zh-CN"/>
        </w:rPr>
        <w:t>9</w:t>
      </w:r>
      <w:r>
        <w:rPr>
          <w:color w:val="auto"/>
        </w:rPr>
        <w:t>.6</w:t>
      </w:r>
      <w:r>
        <w:rPr>
          <w:rFonts w:hint="eastAsia"/>
          <w:color w:val="auto"/>
        </w:rPr>
        <w:t>-</w:t>
      </w:r>
      <w:r>
        <w:rPr>
          <w:rFonts w:hint="eastAsia"/>
          <w:color w:val="auto"/>
          <w:lang w:val="en-US" w:eastAsia="zh-CN"/>
        </w:rPr>
        <w:t>1</w:t>
      </w:r>
      <w:r>
        <w:rPr>
          <w:color w:val="auto"/>
        </w:rPr>
        <w:t xml:space="preserve">  </w:t>
      </w:r>
      <w:r>
        <w:rPr>
          <w:rFonts w:hint="eastAsia"/>
          <w:color w:val="auto"/>
        </w:rPr>
        <w:t>火灾/爆炸伴生CO</w:t>
      </w:r>
      <w:r>
        <w:rPr>
          <w:color w:val="auto"/>
        </w:rPr>
        <w:t>毒性终点浓度的最大影响范围图（最</w:t>
      </w:r>
      <w:r>
        <w:rPr>
          <w:rFonts w:hint="eastAsia"/>
          <w:color w:val="auto"/>
        </w:rPr>
        <w:t>不利</w:t>
      </w:r>
      <w:r>
        <w:rPr>
          <w:color w:val="auto"/>
        </w:rPr>
        <w:t>气象条件）</w:t>
      </w:r>
    </w:p>
    <w:p>
      <w:pPr>
        <w:pStyle w:val="33"/>
        <w:bidi w:val="0"/>
        <w:rPr>
          <w:color w:val="auto"/>
        </w:rPr>
      </w:pPr>
      <w:r>
        <w:rPr>
          <w:color w:val="auto"/>
        </w:rPr>
        <w:t>（2）下风向关心点影响程度表</w:t>
      </w:r>
    </w:p>
    <w:p>
      <w:pPr>
        <w:pStyle w:val="36"/>
        <w:bidi w:val="0"/>
        <w:rPr>
          <w:color w:val="auto"/>
        </w:rPr>
      </w:pPr>
      <w:r>
        <w:rPr>
          <w:color w:val="auto"/>
        </w:rPr>
        <w:t>表</w:t>
      </w:r>
      <w:r>
        <w:rPr>
          <w:rFonts w:hint="eastAsia"/>
          <w:color w:val="auto"/>
          <w:lang w:val="en-US" w:eastAsia="zh-CN"/>
        </w:rPr>
        <w:t>9</w:t>
      </w:r>
      <w:r>
        <w:rPr>
          <w:color w:val="auto"/>
        </w:rPr>
        <w:t>.6-</w:t>
      </w:r>
      <w:r>
        <w:rPr>
          <w:rFonts w:hint="eastAsia"/>
          <w:color w:val="auto"/>
          <w:lang w:val="en-US" w:eastAsia="zh-CN"/>
        </w:rPr>
        <w:t>7</w:t>
      </w:r>
      <w:r>
        <w:rPr>
          <w:color w:val="auto"/>
        </w:rPr>
        <w:t xml:space="preserve">   下风向相对关心点影响程度预测一览表（最不利气象条件）</w:t>
      </w:r>
    </w:p>
    <w:tbl>
      <w:tblPr>
        <w:tblStyle w:val="27"/>
        <w:tblW w:w="900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1427"/>
        <w:gridCol w:w="1701"/>
        <w:gridCol w:w="2275"/>
        <w:gridCol w:w="1801"/>
      </w:tblGrid>
      <w:tr>
        <w:trPr>
          <w:trHeight w:val="340" w:hRule="atLeast"/>
        </w:trPr>
        <w:tc>
          <w:tcPr>
            <w:tcW w:w="1800" w:type="dxa"/>
            <w:noWrap w:val="0"/>
            <w:vAlign w:val="center"/>
          </w:tcPr>
          <w:p>
            <w:pPr>
              <w:pStyle w:val="35"/>
              <w:bidi w:val="0"/>
              <w:rPr>
                <w:color w:val="auto"/>
              </w:rPr>
            </w:pPr>
            <w:r>
              <w:rPr>
                <w:color w:val="auto"/>
              </w:rPr>
              <w:t>名称</w:t>
            </w:r>
          </w:p>
        </w:tc>
        <w:tc>
          <w:tcPr>
            <w:tcW w:w="1427" w:type="dxa"/>
            <w:noWrap w:val="0"/>
            <w:vAlign w:val="center"/>
          </w:tcPr>
          <w:p>
            <w:pPr>
              <w:pStyle w:val="35"/>
              <w:bidi w:val="0"/>
              <w:rPr>
                <w:color w:val="auto"/>
              </w:rPr>
            </w:pPr>
            <w:r>
              <w:rPr>
                <w:color w:val="auto"/>
              </w:rPr>
              <w:t>X</w:t>
            </w:r>
          </w:p>
        </w:tc>
        <w:tc>
          <w:tcPr>
            <w:tcW w:w="1701" w:type="dxa"/>
            <w:noWrap w:val="0"/>
            <w:vAlign w:val="center"/>
          </w:tcPr>
          <w:p>
            <w:pPr>
              <w:pStyle w:val="35"/>
              <w:bidi w:val="0"/>
              <w:rPr>
                <w:color w:val="auto"/>
              </w:rPr>
            </w:pPr>
            <w:r>
              <w:rPr>
                <w:color w:val="auto"/>
              </w:rPr>
              <w:t>Y</w:t>
            </w:r>
          </w:p>
        </w:tc>
        <w:tc>
          <w:tcPr>
            <w:tcW w:w="2275" w:type="dxa"/>
            <w:noWrap w:val="0"/>
            <w:vAlign w:val="center"/>
          </w:tcPr>
          <w:p>
            <w:pPr>
              <w:pStyle w:val="35"/>
              <w:bidi w:val="0"/>
              <w:rPr>
                <w:color w:val="auto"/>
              </w:rPr>
            </w:pPr>
            <w:r>
              <w:rPr>
                <w:color w:val="auto"/>
              </w:rPr>
              <w:t>最大浓度mg/m</w:t>
            </w:r>
            <w:r>
              <w:rPr>
                <w:color w:val="auto"/>
                <w:vertAlign w:val="superscript"/>
              </w:rPr>
              <w:t>3</w:t>
            </w:r>
          </w:p>
        </w:tc>
        <w:tc>
          <w:tcPr>
            <w:tcW w:w="1801" w:type="dxa"/>
            <w:noWrap w:val="0"/>
            <w:vAlign w:val="center"/>
          </w:tcPr>
          <w:p>
            <w:pPr>
              <w:pStyle w:val="35"/>
              <w:bidi w:val="0"/>
              <w:rPr>
                <w:color w:val="auto"/>
              </w:rPr>
            </w:pPr>
            <w:r>
              <w:rPr>
                <w:color w:val="auto"/>
              </w:rPr>
              <w:t>时间min</w:t>
            </w:r>
          </w:p>
        </w:tc>
      </w:tr>
      <w:tr>
        <w:trPr>
          <w:trHeight w:val="340" w:hRule="atLeast"/>
        </w:trPr>
        <w:tc>
          <w:tcPr>
            <w:tcW w:w="1800" w:type="dxa"/>
            <w:noWrap w:val="0"/>
            <w:vAlign w:val="center"/>
          </w:tcPr>
          <w:p>
            <w:pPr>
              <w:pStyle w:val="35"/>
              <w:bidi w:val="0"/>
              <w:rPr>
                <w:color w:val="auto"/>
              </w:rPr>
            </w:pPr>
            <w:r>
              <w:rPr>
                <w:color w:val="auto"/>
              </w:rPr>
              <w:t>大田村</w:t>
            </w:r>
          </w:p>
        </w:tc>
        <w:tc>
          <w:tcPr>
            <w:tcW w:w="1427" w:type="dxa"/>
            <w:noWrap w:val="0"/>
            <w:vAlign w:val="center"/>
          </w:tcPr>
          <w:p>
            <w:pPr>
              <w:pStyle w:val="35"/>
              <w:bidi w:val="0"/>
              <w:rPr>
                <w:color w:val="auto"/>
              </w:rPr>
            </w:pPr>
            <w:r>
              <w:rPr>
                <w:color w:val="auto"/>
              </w:rPr>
              <w:t>1983</w:t>
            </w:r>
          </w:p>
        </w:tc>
        <w:tc>
          <w:tcPr>
            <w:tcW w:w="1701" w:type="dxa"/>
            <w:noWrap w:val="0"/>
            <w:vAlign w:val="center"/>
          </w:tcPr>
          <w:p>
            <w:pPr>
              <w:pStyle w:val="35"/>
              <w:bidi w:val="0"/>
              <w:rPr>
                <w:color w:val="auto"/>
              </w:rPr>
            </w:pPr>
            <w:r>
              <w:rPr>
                <w:color w:val="auto"/>
              </w:rPr>
              <w:t>1508</w:t>
            </w:r>
          </w:p>
        </w:tc>
        <w:tc>
          <w:tcPr>
            <w:tcW w:w="2275" w:type="dxa"/>
            <w:noWrap w:val="0"/>
            <w:vAlign w:val="center"/>
          </w:tcPr>
          <w:p>
            <w:pPr>
              <w:pStyle w:val="35"/>
              <w:bidi w:val="0"/>
              <w:rPr>
                <w:color w:val="auto"/>
              </w:rPr>
            </w:pPr>
            <w:r>
              <w:rPr>
                <w:color w:val="auto"/>
              </w:rPr>
              <w:t>0</w:t>
            </w:r>
          </w:p>
        </w:tc>
        <w:tc>
          <w:tcPr>
            <w:tcW w:w="1801" w:type="dxa"/>
            <w:noWrap w:val="0"/>
            <w:vAlign w:val="center"/>
          </w:tcPr>
          <w:p>
            <w:pPr>
              <w:pStyle w:val="35"/>
              <w:bidi w:val="0"/>
              <w:rPr>
                <w:color w:val="auto"/>
              </w:rPr>
            </w:pPr>
            <w:r>
              <w:rPr>
                <w:color w:val="auto"/>
              </w:rPr>
              <w:t>0</w:t>
            </w:r>
          </w:p>
        </w:tc>
      </w:tr>
      <w:tr>
        <w:trPr>
          <w:trHeight w:val="340" w:hRule="atLeast"/>
        </w:trPr>
        <w:tc>
          <w:tcPr>
            <w:tcW w:w="1800" w:type="dxa"/>
            <w:noWrap w:val="0"/>
            <w:vAlign w:val="center"/>
          </w:tcPr>
          <w:p>
            <w:pPr>
              <w:pStyle w:val="35"/>
              <w:bidi w:val="0"/>
              <w:rPr>
                <w:color w:val="auto"/>
              </w:rPr>
            </w:pPr>
            <w:r>
              <w:rPr>
                <w:color w:val="auto"/>
              </w:rPr>
              <w:t>方家咀</w:t>
            </w:r>
          </w:p>
        </w:tc>
        <w:tc>
          <w:tcPr>
            <w:tcW w:w="1427" w:type="dxa"/>
            <w:noWrap w:val="0"/>
            <w:vAlign w:val="center"/>
          </w:tcPr>
          <w:p>
            <w:pPr>
              <w:pStyle w:val="35"/>
              <w:bidi w:val="0"/>
              <w:rPr>
                <w:color w:val="auto"/>
              </w:rPr>
            </w:pPr>
            <w:r>
              <w:rPr>
                <w:color w:val="auto"/>
              </w:rPr>
              <w:t>-681</w:t>
            </w:r>
          </w:p>
        </w:tc>
        <w:tc>
          <w:tcPr>
            <w:tcW w:w="1701" w:type="dxa"/>
            <w:noWrap w:val="0"/>
            <w:vAlign w:val="center"/>
          </w:tcPr>
          <w:p>
            <w:pPr>
              <w:pStyle w:val="35"/>
              <w:bidi w:val="0"/>
              <w:rPr>
                <w:color w:val="auto"/>
              </w:rPr>
            </w:pPr>
            <w:r>
              <w:rPr>
                <w:color w:val="auto"/>
              </w:rPr>
              <w:t>684</w:t>
            </w:r>
          </w:p>
        </w:tc>
        <w:tc>
          <w:tcPr>
            <w:tcW w:w="2275" w:type="dxa"/>
            <w:noWrap w:val="0"/>
            <w:vAlign w:val="center"/>
          </w:tcPr>
          <w:p>
            <w:pPr>
              <w:pStyle w:val="35"/>
              <w:bidi w:val="0"/>
              <w:rPr>
                <w:color w:val="auto"/>
              </w:rPr>
            </w:pPr>
            <w:r>
              <w:rPr>
                <w:color w:val="auto"/>
              </w:rPr>
              <w:t>0</w:t>
            </w:r>
          </w:p>
        </w:tc>
        <w:tc>
          <w:tcPr>
            <w:tcW w:w="1801" w:type="dxa"/>
            <w:noWrap w:val="0"/>
            <w:vAlign w:val="center"/>
          </w:tcPr>
          <w:p>
            <w:pPr>
              <w:pStyle w:val="35"/>
              <w:bidi w:val="0"/>
              <w:rPr>
                <w:color w:val="auto"/>
              </w:rPr>
            </w:pPr>
            <w:r>
              <w:rPr>
                <w:color w:val="auto"/>
              </w:rPr>
              <w:t>0</w:t>
            </w:r>
          </w:p>
        </w:tc>
      </w:tr>
      <w:tr>
        <w:trPr>
          <w:trHeight w:val="340" w:hRule="atLeast"/>
        </w:trPr>
        <w:tc>
          <w:tcPr>
            <w:tcW w:w="1800" w:type="dxa"/>
            <w:noWrap w:val="0"/>
            <w:vAlign w:val="center"/>
          </w:tcPr>
          <w:p>
            <w:pPr>
              <w:pStyle w:val="35"/>
              <w:bidi w:val="0"/>
              <w:rPr>
                <w:color w:val="auto"/>
              </w:rPr>
            </w:pPr>
            <w:r>
              <w:rPr>
                <w:color w:val="auto"/>
              </w:rPr>
              <w:t>东风村</w:t>
            </w:r>
          </w:p>
        </w:tc>
        <w:tc>
          <w:tcPr>
            <w:tcW w:w="1427" w:type="dxa"/>
            <w:noWrap w:val="0"/>
            <w:vAlign w:val="center"/>
          </w:tcPr>
          <w:p>
            <w:pPr>
              <w:pStyle w:val="35"/>
              <w:bidi w:val="0"/>
              <w:rPr>
                <w:color w:val="auto"/>
              </w:rPr>
            </w:pPr>
            <w:r>
              <w:rPr>
                <w:color w:val="auto"/>
              </w:rPr>
              <w:t>-1938</w:t>
            </w:r>
          </w:p>
        </w:tc>
        <w:tc>
          <w:tcPr>
            <w:tcW w:w="1701" w:type="dxa"/>
            <w:noWrap w:val="0"/>
            <w:vAlign w:val="center"/>
          </w:tcPr>
          <w:p>
            <w:pPr>
              <w:pStyle w:val="35"/>
              <w:bidi w:val="0"/>
              <w:rPr>
                <w:color w:val="auto"/>
              </w:rPr>
            </w:pPr>
            <w:r>
              <w:rPr>
                <w:color w:val="auto"/>
              </w:rPr>
              <w:t>-430</w:t>
            </w:r>
          </w:p>
        </w:tc>
        <w:tc>
          <w:tcPr>
            <w:tcW w:w="2275" w:type="dxa"/>
            <w:noWrap w:val="0"/>
            <w:vAlign w:val="center"/>
          </w:tcPr>
          <w:p>
            <w:pPr>
              <w:pStyle w:val="35"/>
              <w:bidi w:val="0"/>
              <w:rPr>
                <w:color w:val="auto"/>
              </w:rPr>
            </w:pPr>
            <w:r>
              <w:rPr>
                <w:color w:val="auto"/>
              </w:rPr>
              <w:t>6.8130E+01</w:t>
            </w:r>
          </w:p>
        </w:tc>
        <w:tc>
          <w:tcPr>
            <w:tcW w:w="1801" w:type="dxa"/>
            <w:noWrap w:val="0"/>
            <w:vAlign w:val="center"/>
          </w:tcPr>
          <w:p>
            <w:pPr>
              <w:pStyle w:val="35"/>
              <w:bidi w:val="0"/>
              <w:rPr>
                <w:color w:val="auto"/>
              </w:rPr>
            </w:pPr>
            <w:r>
              <w:rPr>
                <w:rFonts w:hint="eastAsia"/>
                <w:color w:val="auto"/>
              </w:rPr>
              <w:t>22.33</w:t>
            </w:r>
          </w:p>
        </w:tc>
      </w:tr>
      <w:tr>
        <w:trPr>
          <w:trHeight w:val="340" w:hRule="atLeast"/>
        </w:trPr>
        <w:tc>
          <w:tcPr>
            <w:tcW w:w="1800" w:type="dxa"/>
            <w:noWrap w:val="0"/>
            <w:vAlign w:val="center"/>
          </w:tcPr>
          <w:p>
            <w:pPr>
              <w:pStyle w:val="35"/>
              <w:bidi w:val="0"/>
              <w:rPr>
                <w:color w:val="auto"/>
              </w:rPr>
            </w:pPr>
            <w:r>
              <w:rPr>
                <w:color w:val="auto"/>
              </w:rPr>
              <w:t>胜利村</w:t>
            </w:r>
          </w:p>
        </w:tc>
        <w:tc>
          <w:tcPr>
            <w:tcW w:w="1427" w:type="dxa"/>
            <w:noWrap w:val="0"/>
            <w:vAlign w:val="center"/>
          </w:tcPr>
          <w:p>
            <w:pPr>
              <w:pStyle w:val="35"/>
              <w:bidi w:val="0"/>
              <w:rPr>
                <w:color w:val="auto"/>
              </w:rPr>
            </w:pPr>
            <w:r>
              <w:rPr>
                <w:color w:val="auto"/>
              </w:rPr>
              <w:t>907</w:t>
            </w:r>
          </w:p>
        </w:tc>
        <w:tc>
          <w:tcPr>
            <w:tcW w:w="1701" w:type="dxa"/>
            <w:noWrap w:val="0"/>
            <w:vAlign w:val="center"/>
          </w:tcPr>
          <w:p>
            <w:pPr>
              <w:pStyle w:val="35"/>
              <w:bidi w:val="0"/>
              <w:rPr>
                <w:color w:val="auto"/>
              </w:rPr>
            </w:pPr>
            <w:r>
              <w:rPr>
                <w:color w:val="auto"/>
              </w:rPr>
              <w:t>-311</w:t>
            </w:r>
          </w:p>
        </w:tc>
        <w:tc>
          <w:tcPr>
            <w:tcW w:w="2275" w:type="dxa"/>
            <w:noWrap w:val="0"/>
            <w:vAlign w:val="center"/>
          </w:tcPr>
          <w:p>
            <w:pPr>
              <w:pStyle w:val="35"/>
              <w:bidi w:val="0"/>
              <w:rPr>
                <w:color w:val="auto"/>
              </w:rPr>
            </w:pPr>
            <w:r>
              <w:rPr>
                <w:color w:val="auto"/>
              </w:rPr>
              <w:t>0</w:t>
            </w:r>
          </w:p>
        </w:tc>
        <w:tc>
          <w:tcPr>
            <w:tcW w:w="1801" w:type="dxa"/>
            <w:noWrap w:val="0"/>
            <w:vAlign w:val="center"/>
          </w:tcPr>
          <w:p>
            <w:pPr>
              <w:pStyle w:val="35"/>
              <w:bidi w:val="0"/>
              <w:rPr>
                <w:color w:val="auto"/>
              </w:rPr>
            </w:pPr>
            <w:r>
              <w:rPr>
                <w:color w:val="auto"/>
              </w:rPr>
              <w:t>0</w:t>
            </w:r>
          </w:p>
        </w:tc>
      </w:tr>
      <w:tr>
        <w:trPr>
          <w:trHeight w:val="340" w:hRule="atLeast"/>
        </w:trPr>
        <w:tc>
          <w:tcPr>
            <w:tcW w:w="1800" w:type="dxa"/>
            <w:noWrap w:val="0"/>
            <w:vAlign w:val="center"/>
          </w:tcPr>
          <w:p>
            <w:pPr>
              <w:pStyle w:val="35"/>
              <w:bidi w:val="0"/>
              <w:rPr>
                <w:color w:val="auto"/>
              </w:rPr>
            </w:pPr>
            <w:r>
              <w:rPr>
                <w:color w:val="auto"/>
              </w:rPr>
              <w:t>胜利小区</w:t>
            </w:r>
          </w:p>
        </w:tc>
        <w:tc>
          <w:tcPr>
            <w:tcW w:w="1427" w:type="dxa"/>
            <w:noWrap w:val="0"/>
            <w:vAlign w:val="center"/>
          </w:tcPr>
          <w:p>
            <w:pPr>
              <w:pStyle w:val="35"/>
              <w:bidi w:val="0"/>
              <w:rPr>
                <w:color w:val="auto"/>
              </w:rPr>
            </w:pPr>
            <w:r>
              <w:rPr>
                <w:color w:val="auto"/>
              </w:rPr>
              <w:t>907</w:t>
            </w:r>
          </w:p>
        </w:tc>
        <w:tc>
          <w:tcPr>
            <w:tcW w:w="1701" w:type="dxa"/>
            <w:noWrap w:val="0"/>
            <w:vAlign w:val="center"/>
          </w:tcPr>
          <w:p>
            <w:pPr>
              <w:pStyle w:val="35"/>
              <w:bidi w:val="0"/>
              <w:rPr>
                <w:color w:val="auto"/>
              </w:rPr>
            </w:pPr>
            <w:r>
              <w:rPr>
                <w:color w:val="auto"/>
              </w:rPr>
              <w:t>-1119</w:t>
            </w:r>
          </w:p>
        </w:tc>
        <w:tc>
          <w:tcPr>
            <w:tcW w:w="2275" w:type="dxa"/>
            <w:noWrap w:val="0"/>
            <w:vAlign w:val="center"/>
          </w:tcPr>
          <w:p>
            <w:pPr>
              <w:pStyle w:val="35"/>
              <w:bidi w:val="0"/>
              <w:rPr>
                <w:color w:val="auto"/>
              </w:rPr>
            </w:pPr>
            <w:r>
              <w:rPr>
                <w:color w:val="auto"/>
              </w:rPr>
              <w:t>0</w:t>
            </w:r>
          </w:p>
        </w:tc>
        <w:tc>
          <w:tcPr>
            <w:tcW w:w="1801" w:type="dxa"/>
            <w:noWrap w:val="0"/>
            <w:vAlign w:val="center"/>
          </w:tcPr>
          <w:p>
            <w:pPr>
              <w:pStyle w:val="35"/>
              <w:bidi w:val="0"/>
              <w:rPr>
                <w:color w:val="auto"/>
              </w:rPr>
            </w:pPr>
            <w:r>
              <w:rPr>
                <w:color w:val="auto"/>
              </w:rPr>
              <w:t>0</w:t>
            </w:r>
          </w:p>
        </w:tc>
      </w:tr>
      <w:tr>
        <w:trPr>
          <w:trHeight w:val="340" w:hRule="atLeast"/>
        </w:trPr>
        <w:tc>
          <w:tcPr>
            <w:tcW w:w="1800" w:type="dxa"/>
            <w:noWrap w:val="0"/>
            <w:vAlign w:val="center"/>
          </w:tcPr>
          <w:p>
            <w:pPr>
              <w:pStyle w:val="35"/>
              <w:bidi w:val="0"/>
              <w:rPr>
                <w:color w:val="auto"/>
              </w:rPr>
            </w:pPr>
            <w:r>
              <w:rPr>
                <w:color w:val="auto"/>
              </w:rPr>
              <w:t>云溪区一中</w:t>
            </w:r>
          </w:p>
        </w:tc>
        <w:tc>
          <w:tcPr>
            <w:tcW w:w="1427" w:type="dxa"/>
            <w:noWrap w:val="0"/>
            <w:vAlign w:val="center"/>
          </w:tcPr>
          <w:p>
            <w:pPr>
              <w:pStyle w:val="35"/>
              <w:bidi w:val="0"/>
              <w:rPr>
                <w:color w:val="auto"/>
              </w:rPr>
            </w:pPr>
            <w:r>
              <w:rPr>
                <w:color w:val="auto"/>
              </w:rPr>
              <w:t>1492</w:t>
            </w:r>
          </w:p>
        </w:tc>
        <w:tc>
          <w:tcPr>
            <w:tcW w:w="1701" w:type="dxa"/>
            <w:noWrap w:val="0"/>
            <w:vAlign w:val="center"/>
          </w:tcPr>
          <w:p>
            <w:pPr>
              <w:pStyle w:val="35"/>
              <w:bidi w:val="0"/>
              <w:rPr>
                <w:color w:val="auto"/>
              </w:rPr>
            </w:pPr>
            <w:r>
              <w:rPr>
                <w:color w:val="auto"/>
              </w:rPr>
              <w:t>-1009</w:t>
            </w:r>
          </w:p>
        </w:tc>
        <w:tc>
          <w:tcPr>
            <w:tcW w:w="2275" w:type="dxa"/>
            <w:noWrap w:val="0"/>
            <w:vAlign w:val="center"/>
          </w:tcPr>
          <w:p>
            <w:pPr>
              <w:pStyle w:val="35"/>
              <w:bidi w:val="0"/>
              <w:rPr>
                <w:color w:val="auto"/>
              </w:rPr>
            </w:pPr>
            <w:r>
              <w:rPr>
                <w:color w:val="auto"/>
              </w:rPr>
              <w:t>0</w:t>
            </w:r>
          </w:p>
        </w:tc>
        <w:tc>
          <w:tcPr>
            <w:tcW w:w="1801" w:type="dxa"/>
            <w:noWrap w:val="0"/>
            <w:vAlign w:val="center"/>
          </w:tcPr>
          <w:p>
            <w:pPr>
              <w:pStyle w:val="35"/>
              <w:bidi w:val="0"/>
              <w:rPr>
                <w:color w:val="auto"/>
              </w:rPr>
            </w:pPr>
            <w:r>
              <w:rPr>
                <w:color w:val="auto"/>
              </w:rPr>
              <w:t>0</w:t>
            </w:r>
          </w:p>
        </w:tc>
      </w:tr>
      <w:tr>
        <w:trPr>
          <w:trHeight w:val="340" w:hRule="atLeast"/>
        </w:trPr>
        <w:tc>
          <w:tcPr>
            <w:tcW w:w="1800" w:type="dxa"/>
            <w:noWrap w:val="0"/>
            <w:vAlign w:val="center"/>
          </w:tcPr>
          <w:p>
            <w:pPr>
              <w:pStyle w:val="35"/>
              <w:bidi w:val="0"/>
              <w:rPr>
                <w:color w:val="auto"/>
              </w:rPr>
            </w:pPr>
            <w:r>
              <w:rPr>
                <w:color w:val="auto"/>
              </w:rPr>
              <w:t>云溪城区</w:t>
            </w:r>
          </w:p>
        </w:tc>
        <w:tc>
          <w:tcPr>
            <w:tcW w:w="1427" w:type="dxa"/>
            <w:noWrap w:val="0"/>
            <w:vAlign w:val="center"/>
          </w:tcPr>
          <w:p>
            <w:pPr>
              <w:pStyle w:val="35"/>
              <w:bidi w:val="0"/>
              <w:rPr>
                <w:color w:val="auto"/>
              </w:rPr>
            </w:pPr>
            <w:r>
              <w:rPr>
                <w:color w:val="auto"/>
              </w:rPr>
              <w:t>1170</w:t>
            </w:r>
          </w:p>
        </w:tc>
        <w:tc>
          <w:tcPr>
            <w:tcW w:w="1701" w:type="dxa"/>
            <w:noWrap w:val="0"/>
            <w:vAlign w:val="center"/>
          </w:tcPr>
          <w:p>
            <w:pPr>
              <w:pStyle w:val="35"/>
              <w:bidi w:val="0"/>
              <w:rPr>
                <w:color w:val="auto"/>
              </w:rPr>
            </w:pPr>
            <w:r>
              <w:rPr>
                <w:color w:val="auto"/>
              </w:rPr>
              <w:t>-1332</w:t>
            </w:r>
          </w:p>
        </w:tc>
        <w:tc>
          <w:tcPr>
            <w:tcW w:w="2275" w:type="dxa"/>
            <w:noWrap w:val="0"/>
            <w:vAlign w:val="center"/>
          </w:tcPr>
          <w:p>
            <w:pPr>
              <w:pStyle w:val="35"/>
              <w:bidi w:val="0"/>
              <w:rPr>
                <w:color w:val="auto"/>
              </w:rPr>
            </w:pPr>
            <w:r>
              <w:rPr>
                <w:color w:val="auto"/>
              </w:rPr>
              <w:t>0</w:t>
            </w:r>
          </w:p>
        </w:tc>
        <w:tc>
          <w:tcPr>
            <w:tcW w:w="1801" w:type="dxa"/>
            <w:noWrap w:val="0"/>
            <w:vAlign w:val="center"/>
          </w:tcPr>
          <w:p>
            <w:pPr>
              <w:pStyle w:val="35"/>
              <w:bidi w:val="0"/>
              <w:rPr>
                <w:color w:val="auto"/>
              </w:rPr>
            </w:pPr>
            <w:r>
              <w:rPr>
                <w:color w:val="auto"/>
              </w:rPr>
              <w:t>0</w:t>
            </w:r>
          </w:p>
        </w:tc>
      </w:tr>
      <w:tr>
        <w:trPr>
          <w:trHeight w:val="340" w:hRule="atLeast"/>
        </w:trPr>
        <w:tc>
          <w:tcPr>
            <w:tcW w:w="1800" w:type="dxa"/>
            <w:noWrap w:val="0"/>
            <w:vAlign w:val="center"/>
          </w:tcPr>
          <w:p>
            <w:pPr>
              <w:pStyle w:val="35"/>
              <w:bidi w:val="0"/>
              <w:rPr>
                <w:color w:val="auto"/>
              </w:rPr>
            </w:pPr>
            <w:r>
              <w:rPr>
                <w:color w:val="auto"/>
              </w:rPr>
              <w:t>云溪区中心小学</w:t>
            </w:r>
          </w:p>
        </w:tc>
        <w:tc>
          <w:tcPr>
            <w:tcW w:w="1427" w:type="dxa"/>
            <w:noWrap w:val="0"/>
            <w:vAlign w:val="center"/>
          </w:tcPr>
          <w:p>
            <w:pPr>
              <w:pStyle w:val="35"/>
              <w:bidi w:val="0"/>
              <w:rPr>
                <w:color w:val="auto"/>
              </w:rPr>
            </w:pPr>
            <w:r>
              <w:rPr>
                <w:color w:val="auto"/>
              </w:rPr>
              <w:t>1976</w:t>
            </w:r>
          </w:p>
        </w:tc>
        <w:tc>
          <w:tcPr>
            <w:tcW w:w="1701" w:type="dxa"/>
            <w:noWrap w:val="0"/>
            <w:vAlign w:val="center"/>
          </w:tcPr>
          <w:p>
            <w:pPr>
              <w:pStyle w:val="35"/>
              <w:bidi w:val="0"/>
              <w:rPr>
                <w:color w:val="auto"/>
              </w:rPr>
            </w:pPr>
            <w:r>
              <w:rPr>
                <w:color w:val="auto"/>
              </w:rPr>
              <w:t>-1298</w:t>
            </w:r>
          </w:p>
        </w:tc>
        <w:tc>
          <w:tcPr>
            <w:tcW w:w="2275" w:type="dxa"/>
            <w:noWrap w:val="0"/>
            <w:vAlign w:val="center"/>
          </w:tcPr>
          <w:p>
            <w:pPr>
              <w:pStyle w:val="35"/>
              <w:bidi w:val="0"/>
              <w:rPr>
                <w:color w:val="auto"/>
              </w:rPr>
            </w:pPr>
            <w:r>
              <w:rPr>
                <w:color w:val="auto"/>
              </w:rPr>
              <w:t>0</w:t>
            </w:r>
          </w:p>
        </w:tc>
        <w:tc>
          <w:tcPr>
            <w:tcW w:w="1801" w:type="dxa"/>
            <w:noWrap w:val="0"/>
            <w:vAlign w:val="center"/>
          </w:tcPr>
          <w:p>
            <w:pPr>
              <w:pStyle w:val="35"/>
              <w:bidi w:val="0"/>
              <w:rPr>
                <w:color w:val="auto"/>
              </w:rPr>
            </w:pPr>
            <w:r>
              <w:rPr>
                <w:color w:val="auto"/>
              </w:rPr>
              <w:t>0</w:t>
            </w:r>
          </w:p>
        </w:tc>
      </w:tr>
      <w:tr>
        <w:trPr>
          <w:trHeight w:val="340" w:hRule="atLeast"/>
        </w:trPr>
        <w:tc>
          <w:tcPr>
            <w:tcW w:w="1800" w:type="dxa"/>
            <w:noWrap w:val="0"/>
            <w:vAlign w:val="center"/>
          </w:tcPr>
          <w:p>
            <w:pPr>
              <w:pStyle w:val="35"/>
              <w:bidi w:val="0"/>
              <w:rPr>
                <w:color w:val="auto"/>
              </w:rPr>
            </w:pPr>
            <w:r>
              <w:rPr>
                <w:color w:val="auto"/>
              </w:rPr>
              <w:t>云溪区人民医院</w:t>
            </w:r>
          </w:p>
        </w:tc>
        <w:tc>
          <w:tcPr>
            <w:tcW w:w="1427" w:type="dxa"/>
            <w:noWrap w:val="0"/>
            <w:vAlign w:val="center"/>
          </w:tcPr>
          <w:p>
            <w:pPr>
              <w:pStyle w:val="35"/>
              <w:bidi w:val="0"/>
              <w:rPr>
                <w:color w:val="auto"/>
              </w:rPr>
            </w:pPr>
            <w:r>
              <w:rPr>
                <w:color w:val="auto"/>
              </w:rPr>
              <w:t>1679</w:t>
            </w:r>
          </w:p>
        </w:tc>
        <w:tc>
          <w:tcPr>
            <w:tcW w:w="1701" w:type="dxa"/>
            <w:noWrap w:val="0"/>
            <w:vAlign w:val="center"/>
          </w:tcPr>
          <w:p>
            <w:pPr>
              <w:pStyle w:val="35"/>
              <w:bidi w:val="0"/>
              <w:rPr>
                <w:color w:val="auto"/>
              </w:rPr>
            </w:pPr>
            <w:r>
              <w:rPr>
                <w:color w:val="auto"/>
              </w:rPr>
              <w:t>-1612</w:t>
            </w:r>
          </w:p>
        </w:tc>
        <w:tc>
          <w:tcPr>
            <w:tcW w:w="2275" w:type="dxa"/>
            <w:noWrap w:val="0"/>
            <w:vAlign w:val="center"/>
          </w:tcPr>
          <w:p>
            <w:pPr>
              <w:pStyle w:val="35"/>
              <w:bidi w:val="0"/>
              <w:rPr>
                <w:color w:val="auto"/>
              </w:rPr>
            </w:pPr>
            <w:r>
              <w:rPr>
                <w:color w:val="auto"/>
              </w:rPr>
              <w:t>0</w:t>
            </w:r>
          </w:p>
        </w:tc>
        <w:tc>
          <w:tcPr>
            <w:tcW w:w="1801" w:type="dxa"/>
            <w:noWrap w:val="0"/>
            <w:vAlign w:val="center"/>
          </w:tcPr>
          <w:p>
            <w:pPr>
              <w:pStyle w:val="35"/>
              <w:bidi w:val="0"/>
              <w:rPr>
                <w:color w:val="auto"/>
              </w:rPr>
            </w:pPr>
            <w:r>
              <w:rPr>
                <w:color w:val="auto"/>
              </w:rPr>
              <w:t>0</w:t>
            </w:r>
          </w:p>
        </w:tc>
      </w:tr>
      <w:tr>
        <w:trPr>
          <w:trHeight w:val="340" w:hRule="atLeast"/>
        </w:trPr>
        <w:tc>
          <w:tcPr>
            <w:tcW w:w="1800" w:type="dxa"/>
            <w:noWrap w:val="0"/>
            <w:vAlign w:val="center"/>
          </w:tcPr>
          <w:p>
            <w:pPr>
              <w:pStyle w:val="35"/>
              <w:bidi w:val="0"/>
              <w:rPr>
                <w:color w:val="auto"/>
              </w:rPr>
            </w:pPr>
            <w:r>
              <w:rPr>
                <w:color w:val="auto"/>
              </w:rPr>
              <w:t>云溪区中医院</w:t>
            </w:r>
          </w:p>
        </w:tc>
        <w:tc>
          <w:tcPr>
            <w:tcW w:w="1427" w:type="dxa"/>
            <w:noWrap w:val="0"/>
            <w:vAlign w:val="center"/>
          </w:tcPr>
          <w:p>
            <w:pPr>
              <w:pStyle w:val="35"/>
              <w:bidi w:val="0"/>
              <w:rPr>
                <w:color w:val="auto"/>
              </w:rPr>
            </w:pPr>
            <w:r>
              <w:rPr>
                <w:color w:val="auto"/>
              </w:rPr>
              <w:t>1637</w:t>
            </w:r>
          </w:p>
        </w:tc>
        <w:tc>
          <w:tcPr>
            <w:tcW w:w="1701" w:type="dxa"/>
            <w:noWrap w:val="0"/>
            <w:vAlign w:val="center"/>
          </w:tcPr>
          <w:p>
            <w:pPr>
              <w:pStyle w:val="35"/>
              <w:bidi w:val="0"/>
              <w:rPr>
                <w:color w:val="auto"/>
              </w:rPr>
            </w:pPr>
            <w:r>
              <w:rPr>
                <w:color w:val="auto"/>
              </w:rPr>
              <w:t>-2395</w:t>
            </w:r>
          </w:p>
        </w:tc>
        <w:tc>
          <w:tcPr>
            <w:tcW w:w="2275" w:type="dxa"/>
            <w:noWrap w:val="0"/>
            <w:vAlign w:val="center"/>
          </w:tcPr>
          <w:p>
            <w:pPr>
              <w:pStyle w:val="35"/>
              <w:bidi w:val="0"/>
              <w:rPr>
                <w:color w:val="auto"/>
              </w:rPr>
            </w:pPr>
            <w:r>
              <w:rPr>
                <w:color w:val="auto"/>
              </w:rPr>
              <w:t>0</w:t>
            </w:r>
          </w:p>
        </w:tc>
        <w:tc>
          <w:tcPr>
            <w:tcW w:w="1801" w:type="dxa"/>
            <w:noWrap w:val="0"/>
            <w:vAlign w:val="center"/>
          </w:tcPr>
          <w:p>
            <w:pPr>
              <w:pStyle w:val="35"/>
              <w:bidi w:val="0"/>
              <w:rPr>
                <w:color w:val="auto"/>
              </w:rPr>
            </w:pPr>
            <w:r>
              <w:rPr>
                <w:color w:val="auto"/>
              </w:rPr>
              <w:t>0</w:t>
            </w:r>
          </w:p>
        </w:tc>
      </w:tr>
      <w:tr>
        <w:trPr>
          <w:trHeight w:val="340" w:hRule="atLeast"/>
        </w:trPr>
        <w:tc>
          <w:tcPr>
            <w:tcW w:w="1800" w:type="dxa"/>
            <w:noWrap w:val="0"/>
            <w:vAlign w:val="center"/>
          </w:tcPr>
          <w:p>
            <w:pPr>
              <w:pStyle w:val="35"/>
              <w:bidi w:val="0"/>
              <w:rPr>
                <w:color w:val="auto"/>
              </w:rPr>
            </w:pPr>
            <w:r>
              <w:rPr>
                <w:color w:val="auto"/>
              </w:rPr>
              <w:t>基隆村</w:t>
            </w:r>
          </w:p>
        </w:tc>
        <w:tc>
          <w:tcPr>
            <w:tcW w:w="1427" w:type="dxa"/>
            <w:noWrap w:val="0"/>
            <w:vAlign w:val="center"/>
          </w:tcPr>
          <w:p>
            <w:pPr>
              <w:pStyle w:val="35"/>
              <w:bidi w:val="0"/>
              <w:rPr>
                <w:color w:val="auto"/>
              </w:rPr>
            </w:pPr>
            <w:r>
              <w:rPr>
                <w:color w:val="auto"/>
              </w:rPr>
              <w:t>915</w:t>
            </w:r>
          </w:p>
        </w:tc>
        <w:tc>
          <w:tcPr>
            <w:tcW w:w="1701" w:type="dxa"/>
            <w:noWrap w:val="0"/>
            <w:vAlign w:val="center"/>
          </w:tcPr>
          <w:p>
            <w:pPr>
              <w:pStyle w:val="35"/>
              <w:bidi w:val="0"/>
              <w:rPr>
                <w:color w:val="auto"/>
              </w:rPr>
            </w:pPr>
            <w:r>
              <w:rPr>
                <w:color w:val="auto"/>
              </w:rPr>
              <w:t>2890</w:t>
            </w:r>
          </w:p>
        </w:tc>
        <w:tc>
          <w:tcPr>
            <w:tcW w:w="2275" w:type="dxa"/>
            <w:noWrap w:val="0"/>
            <w:vAlign w:val="center"/>
          </w:tcPr>
          <w:p>
            <w:pPr>
              <w:pStyle w:val="35"/>
              <w:bidi w:val="0"/>
              <w:rPr>
                <w:color w:val="auto"/>
              </w:rPr>
            </w:pPr>
            <w:r>
              <w:rPr>
                <w:color w:val="auto"/>
              </w:rPr>
              <w:t>0</w:t>
            </w:r>
          </w:p>
        </w:tc>
        <w:tc>
          <w:tcPr>
            <w:tcW w:w="1801" w:type="dxa"/>
            <w:noWrap w:val="0"/>
            <w:vAlign w:val="center"/>
          </w:tcPr>
          <w:p>
            <w:pPr>
              <w:pStyle w:val="35"/>
              <w:bidi w:val="0"/>
              <w:rPr>
                <w:color w:val="auto"/>
              </w:rPr>
            </w:pPr>
            <w:r>
              <w:rPr>
                <w:color w:val="auto"/>
              </w:rPr>
              <w:t>0</w:t>
            </w:r>
          </w:p>
        </w:tc>
      </w:tr>
      <w:tr>
        <w:trPr>
          <w:trHeight w:val="340" w:hRule="atLeast"/>
        </w:trPr>
        <w:tc>
          <w:tcPr>
            <w:tcW w:w="1800" w:type="dxa"/>
            <w:noWrap w:val="0"/>
            <w:vAlign w:val="center"/>
          </w:tcPr>
          <w:p>
            <w:pPr>
              <w:pStyle w:val="35"/>
              <w:bidi w:val="0"/>
              <w:rPr>
                <w:color w:val="auto"/>
              </w:rPr>
            </w:pPr>
            <w:r>
              <w:rPr>
                <w:color w:val="auto"/>
              </w:rPr>
              <w:t>滨湖村</w:t>
            </w:r>
          </w:p>
        </w:tc>
        <w:tc>
          <w:tcPr>
            <w:tcW w:w="1427" w:type="dxa"/>
            <w:noWrap w:val="0"/>
            <w:vAlign w:val="center"/>
          </w:tcPr>
          <w:p>
            <w:pPr>
              <w:pStyle w:val="35"/>
              <w:bidi w:val="0"/>
              <w:rPr>
                <w:color w:val="auto"/>
              </w:rPr>
            </w:pPr>
            <w:r>
              <w:rPr>
                <w:color w:val="auto"/>
              </w:rPr>
              <w:t>-2960</w:t>
            </w:r>
          </w:p>
        </w:tc>
        <w:tc>
          <w:tcPr>
            <w:tcW w:w="1701" w:type="dxa"/>
            <w:noWrap w:val="0"/>
            <w:vAlign w:val="center"/>
          </w:tcPr>
          <w:p>
            <w:pPr>
              <w:pStyle w:val="35"/>
              <w:bidi w:val="0"/>
              <w:rPr>
                <w:color w:val="auto"/>
              </w:rPr>
            </w:pPr>
            <w:r>
              <w:rPr>
                <w:color w:val="auto"/>
              </w:rPr>
              <w:t>-3817</w:t>
            </w:r>
          </w:p>
        </w:tc>
        <w:tc>
          <w:tcPr>
            <w:tcW w:w="2275" w:type="dxa"/>
            <w:noWrap w:val="0"/>
            <w:vAlign w:val="center"/>
          </w:tcPr>
          <w:p>
            <w:pPr>
              <w:pStyle w:val="35"/>
              <w:bidi w:val="0"/>
              <w:rPr>
                <w:color w:val="auto"/>
              </w:rPr>
            </w:pPr>
            <w:r>
              <w:rPr>
                <w:color w:val="auto"/>
              </w:rPr>
              <w:t>0</w:t>
            </w:r>
          </w:p>
        </w:tc>
        <w:tc>
          <w:tcPr>
            <w:tcW w:w="1801" w:type="dxa"/>
            <w:noWrap w:val="0"/>
            <w:vAlign w:val="center"/>
          </w:tcPr>
          <w:p>
            <w:pPr>
              <w:pStyle w:val="35"/>
              <w:bidi w:val="0"/>
              <w:rPr>
                <w:color w:val="auto"/>
              </w:rPr>
            </w:pPr>
            <w:r>
              <w:rPr>
                <w:color w:val="auto"/>
              </w:rPr>
              <w:t>0</w:t>
            </w:r>
          </w:p>
        </w:tc>
      </w:tr>
      <w:tr>
        <w:trPr>
          <w:trHeight w:val="340" w:hRule="atLeast"/>
        </w:trPr>
        <w:tc>
          <w:tcPr>
            <w:tcW w:w="1800" w:type="dxa"/>
            <w:noWrap w:val="0"/>
            <w:vAlign w:val="center"/>
          </w:tcPr>
          <w:p>
            <w:pPr>
              <w:pStyle w:val="35"/>
              <w:bidi w:val="0"/>
              <w:rPr>
                <w:color w:val="auto"/>
              </w:rPr>
            </w:pPr>
            <w:r>
              <w:rPr>
                <w:color w:val="auto"/>
              </w:rPr>
              <w:t>凌泊湖小区</w:t>
            </w:r>
          </w:p>
        </w:tc>
        <w:tc>
          <w:tcPr>
            <w:tcW w:w="1427" w:type="dxa"/>
            <w:noWrap w:val="0"/>
            <w:vAlign w:val="center"/>
          </w:tcPr>
          <w:p>
            <w:pPr>
              <w:pStyle w:val="35"/>
              <w:bidi w:val="0"/>
              <w:rPr>
                <w:color w:val="auto"/>
              </w:rPr>
            </w:pPr>
            <w:r>
              <w:rPr>
                <w:color w:val="auto"/>
              </w:rPr>
              <w:t>-4370</w:t>
            </w:r>
          </w:p>
        </w:tc>
        <w:tc>
          <w:tcPr>
            <w:tcW w:w="1701" w:type="dxa"/>
            <w:noWrap w:val="0"/>
            <w:vAlign w:val="center"/>
          </w:tcPr>
          <w:p>
            <w:pPr>
              <w:pStyle w:val="35"/>
              <w:bidi w:val="0"/>
              <w:rPr>
                <w:color w:val="auto"/>
              </w:rPr>
            </w:pPr>
            <w:r>
              <w:rPr>
                <w:color w:val="auto"/>
              </w:rPr>
              <w:t>-2882</w:t>
            </w:r>
          </w:p>
        </w:tc>
        <w:tc>
          <w:tcPr>
            <w:tcW w:w="2275" w:type="dxa"/>
            <w:noWrap w:val="0"/>
            <w:vAlign w:val="center"/>
          </w:tcPr>
          <w:p>
            <w:pPr>
              <w:pStyle w:val="35"/>
              <w:bidi w:val="0"/>
              <w:rPr>
                <w:color w:val="auto"/>
              </w:rPr>
            </w:pPr>
            <w:r>
              <w:rPr>
                <w:color w:val="auto"/>
              </w:rPr>
              <w:t>2.1364E+01</w:t>
            </w:r>
          </w:p>
        </w:tc>
        <w:tc>
          <w:tcPr>
            <w:tcW w:w="1801" w:type="dxa"/>
            <w:noWrap w:val="0"/>
            <w:vAlign w:val="center"/>
          </w:tcPr>
          <w:p>
            <w:pPr>
              <w:pStyle w:val="35"/>
              <w:bidi w:val="0"/>
              <w:rPr>
                <w:color w:val="auto"/>
              </w:rPr>
            </w:pPr>
            <w:r>
              <w:rPr>
                <w:rFonts w:hint="eastAsia"/>
                <w:color w:val="auto"/>
              </w:rPr>
              <w:t>54</w:t>
            </w:r>
          </w:p>
        </w:tc>
      </w:tr>
      <w:tr>
        <w:trPr>
          <w:trHeight w:val="340" w:hRule="atLeast"/>
        </w:trPr>
        <w:tc>
          <w:tcPr>
            <w:tcW w:w="1800" w:type="dxa"/>
            <w:noWrap w:val="0"/>
            <w:vAlign w:val="center"/>
          </w:tcPr>
          <w:p>
            <w:pPr>
              <w:pStyle w:val="35"/>
              <w:bidi w:val="0"/>
              <w:rPr>
                <w:color w:val="auto"/>
              </w:rPr>
            </w:pPr>
            <w:r>
              <w:rPr>
                <w:color w:val="auto"/>
              </w:rPr>
              <w:t>滨湖村</w:t>
            </w:r>
          </w:p>
        </w:tc>
        <w:tc>
          <w:tcPr>
            <w:tcW w:w="1427" w:type="dxa"/>
            <w:noWrap w:val="0"/>
            <w:vAlign w:val="center"/>
          </w:tcPr>
          <w:p>
            <w:pPr>
              <w:pStyle w:val="35"/>
              <w:bidi w:val="0"/>
              <w:rPr>
                <w:color w:val="auto"/>
              </w:rPr>
            </w:pPr>
            <w:r>
              <w:rPr>
                <w:color w:val="auto"/>
              </w:rPr>
              <w:t>-3003</w:t>
            </w:r>
          </w:p>
        </w:tc>
        <w:tc>
          <w:tcPr>
            <w:tcW w:w="1701" w:type="dxa"/>
            <w:noWrap w:val="0"/>
            <w:vAlign w:val="center"/>
          </w:tcPr>
          <w:p>
            <w:pPr>
              <w:pStyle w:val="35"/>
              <w:bidi w:val="0"/>
              <w:rPr>
                <w:color w:val="auto"/>
              </w:rPr>
            </w:pPr>
            <w:r>
              <w:rPr>
                <w:color w:val="auto"/>
              </w:rPr>
              <w:t>-4046</w:t>
            </w:r>
          </w:p>
        </w:tc>
        <w:tc>
          <w:tcPr>
            <w:tcW w:w="2275" w:type="dxa"/>
            <w:noWrap w:val="0"/>
            <w:vAlign w:val="center"/>
          </w:tcPr>
          <w:p>
            <w:pPr>
              <w:pStyle w:val="35"/>
              <w:bidi w:val="0"/>
              <w:rPr>
                <w:color w:val="auto"/>
              </w:rPr>
            </w:pPr>
            <w:r>
              <w:rPr>
                <w:color w:val="auto"/>
              </w:rPr>
              <w:t>2.5825E+01</w:t>
            </w:r>
          </w:p>
        </w:tc>
        <w:tc>
          <w:tcPr>
            <w:tcW w:w="1801" w:type="dxa"/>
            <w:noWrap w:val="0"/>
            <w:vAlign w:val="center"/>
          </w:tcPr>
          <w:p>
            <w:pPr>
              <w:pStyle w:val="35"/>
              <w:bidi w:val="0"/>
              <w:rPr>
                <w:color w:val="auto"/>
              </w:rPr>
            </w:pPr>
            <w:r>
              <w:rPr>
                <w:color w:val="auto"/>
              </w:rPr>
              <w:t>46.</w:t>
            </w:r>
            <w:r>
              <w:rPr>
                <w:rFonts w:hint="eastAsia"/>
                <w:color w:val="auto"/>
              </w:rPr>
              <w:t>7</w:t>
            </w:r>
          </w:p>
        </w:tc>
      </w:tr>
      <w:tr>
        <w:trPr>
          <w:trHeight w:val="340" w:hRule="atLeast"/>
        </w:trPr>
        <w:tc>
          <w:tcPr>
            <w:tcW w:w="1800" w:type="dxa"/>
            <w:noWrap w:val="0"/>
            <w:vAlign w:val="center"/>
          </w:tcPr>
          <w:p>
            <w:pPr>
              <w:pStyle w:val="35"/>
              <w:bidi w:val="0"/>
              <w:rPr>
                <w:color w:val="auto"/>
              </w:rPr>
            </w:pPr>
            <w:r>
              <w:rPr>
                <w:color w:val="auto"/>
              </w:rPr>
              <w:t>滨湖小学</w:t>
            </w:r>
          </w:p>
        </w:tc>
        <w:tc>
          <w:tcPr>
            <w:tcW w:w="1427" w:type="dxa"/>
            <w:noWrap w:val="0"/>
            <w:vAlign w:val="center"/>
          </w:tcPr>
          <w:p>
            <w:pPr>
              <w:pStyle w:val="35"/>
              <w:bidi w:val="0"/>
              <w:rPr>
                <w:color w:val="auto"/>
              </w:rPr>
            </w:pPr>
            <w:r>
              <w:rPr>
                <w:color w:val="auto"/>
              </w:rPr>
              <w:t>4229</w:t>
            </w:r>
          </w:p>
        </w:tc>
        <w:tc>
          <w:tcPr>
            <w:tcW w:w="1701" w:type="dxa"/>
            <w:noWrap w:val="0"/>
            <w:vAlign w:val="center"/>
          </w:tcPr>
          <w:p>
            <w:pPr>
              <w:pStyle w:val="35"/>
              <w:bidi w:val="0"/>
              <w:rPr>
                <w:color w:val="auto"/>
              </w:rPr>
            </w:pPr>
            <w:r>
              <w:rPr>
                <w:color w:val="auto"/>
              </w:rPr>
              <w:t>-873</w:t>
            </w:r>
          </w:p>
        </w:tc>
        <w:tc>
          <w:tcPr>
            <w:tcW w:w="2275" w:type="dxa"/>
            <w:noWrap w:val="0"/>
            <w:vAlign w:val="center"/>
          </w:tcPr>
          <w:p>
            <w:pPr>
              <w:pStyle w:val="35"/>
              <w:bidi w:val="0"/>
              <w:rPr>
                <w:color w:val="auto"/>
              </w:rPr>
            </w:pPr>
            <w:r>
              <w:rPr>
                <w:color w:val="auto"/>
              </w:rPr>
              <w:t>2.5425E+01</w:t>
            </w:r>
          </w:p>
        </w:tc>
        <w:tc>
          <w:tcPr>
            <w:tcW w:w="1801" w:type="dxa"/>
            <w:noWrap w:val="0"/>
            <w:vAlign w:val="center"/>
          </w:tcPr>
          <w:p>
            <w:pPr>
              <w:pStyle w:val="35"/>
              <w:bidi w:val="0"/>
              <w:rPr>
                <w:color w:val="auto"/>
              </w:rPr>
            </w:pPr>
            <w:r>
              <w:rPr>
                <w:color w:val="auto"/>
              </w:rPr>
              <w:t>47.</w:t>
            </w:r>
            <w:r>
              <w:rPr>
                <w:rFonts w:hint="eastAsia"/>
                <w:color w:val="auto"/>
              </w:rPr>
              <w:t>3</w:t>
            </w:r>
          </w:p>
        </w:tc>
      </w:tr>
      <w:tr>
        <w:trPr>
          <w:trHeight w:val="340" w:hRule="atLeast"/>
        </w:trPr>
        <w:tc>
          <w:tcPr>
            <w:tcW w:w="1800" w:type="dxa"/>
            <w:noWrap w:val="0"/>
            <w:vAlign w:val="center"/>
          </w:tcPr>
          <w:p>
            <w:pPr>
              <w:pStyle w:val="35"/>
              <w:bidi w:val="0"/>
              <w:rPr>
                <w:color w:val="auto"/>
              </w:rPr>
            </w:pPr>
            <w:r>
              <w:rPr>
                <w:color w:val="auto"/>
              </w:rPr>
              <w:t>青坡社区</w:t>
            </w:r>
          </w:p>
        </w:tc>
        <w:tc>
          <w:tcPr>
            <w:tcW w:w="1427" w:type="dxa"/>
            <w:noWrap w:val="0"/>
            <w:vAlign w:val="center"/>
          </w:tcPr>
          <w:p>
            <w:pPr>
              <w:pStyle w:val="35"/>
              <w:bidi w:val="0"/>
              <w:rPr>
                <w:color w:val="auto"/>
              </w:rPr>
            </w:pPr>
            <w:r>
              <w:rPr>
                <w:color w:val="auto"/>
              </w:rPr>
              <w:t>1983</w:t>
            </w:r>
          </w:p>
        </w:tc>
        <w:tc>
          <w:tcPr>
            <w:tcW w:w="1701" w:type="dxa"/>
            <w:noWrap w:val="0"/>
            <w:vAlign w:val="center"/>
          </w:tcPr>
          <w:p>
            <w:pPr>
              <w:pStyle w:val="35"/>
              <w:bidi w:val="0"/>
              <w:rPr>
                <w:color w:val="auto"/>
              </w:rPr>
            </w:pPr>
            <w:r>
              <w:rPr>
                <w:color w:val="auto"/>
              </w:rPr>
              <w:t>1508</w:t>
            </w:r>
          </w:p>
        </w:tc>
        <w:tc>
          <w:tcPr>
            <w:tcW w:w="2275" w:type="dxa"/>
            <w:noWrap w:val="0"/>
            <w:vAlign w:val="center"/>
          </w:tcPr>
          <w:p>
            <w:pPr>
              <w:pStyle w:val="35"/>
              <w:bidi w:val="0"/>
              <w:rPr>
                <w:color w:val="auto"/>
              </w:rPr>
            </w:pPr>
            <w:r>
              <w:rPr>
                <w:color w:val="auto"/>
              </w:rPr>
              <w:t>0</w:t>
            </w:r>
          </w:p>
        </w:tc>
        <w:tc>
          <w:tcPr>
            <w:tcW w:w="1801" w:type="dxa"/>
            <w:noWrap w:val="0"/>
            <w:vAlign w:val="center"/>
          </w:tcPr>
          <w:p>
            <w:pPr>
              <w:pStyle w:val="35"/>
              <w:bidi w:val="0"/>
              <w:rPr>
                <w:color w:val="auto"/>
              </w:rPr>
            </w:pPr>
            <w:r>
              <w:rPr>
                <w:color w:val="auto"/>
              </w:rPr>
              <w:t>0</w:t>
            </w:r>
          </w:p>
        </w:tc>
      </w:tr>
    </w:tbl>
    <w:p>
      <w:pPr>
        <w:pStyle w:val="33"/>
        <w:bidi w:val="0"/>
        <w:rPr>
          <w:color w:val="auto"/>
        </w:rPr>
      </w:pPr>
      <w:r>
        <w:rPr>
          <w:rFonts w:hint="eastAsia"/>
          <w:color w:val="auto"/>
        </w:rPr>
        <w:t>（</w:t>
      </w:r>
      <w:r>
        <w:rPr>
          <w:color w:val="auto"/>
        </w:rPr>
        <w:t>3）事故源项及事故后果基本信息</w:t>
      </w:r>
    </w:p>
    <w:p>
      <w:pPr>
        <w:pStyle w:val="36"/>
        <w:bidi w:val="0"/>
        <w:rPr>
          <w:color w:val="auto"/>
        </w:rPr>
      </w:pPr>
      <w:r>
        <w:rPr>
          <w:color w:val="auto"/>
        </w:rPr>
        <w:t>表</w:t>
      </w:r>
      <w:r>
        <w:rPr>
          <w:rFonts w:hint="eastAsia"/>
          <w:color w:val="auto"/>
          <w:lang w:val="en-US" w:eastAsia="zh-CN"/>
        </w:rPr>
        <w:t>9</w:t>
      </w:r>
      <w:r>
        <w:rPr>
          <w:color w:val="auto"/>
        </w:rPr>
        <w:t>.6-</w:t>
      </w:r>
      <w:r>
        <w:rPr>
          <w:rFonts w:hint="eastAsia"/>
          <w:color w:val="auto"/>
        </w:rPr>
        <w:t>17</w:t>
      </w:r>
      <w:r>
        <w:rPr>
          <w:color w:val="auto"/>
        </w:rPr>
        <w:t xml:space="preserve">   事故源项及事故后果基本信息表（最不利气象条件）</w:t>
      </w:r>
    </w:p>
    <w:tbl>
      <w:tblPr>
        <w:tblStyle w:val="27"/>
        <w:tblW w:w="9080" w:type="dxa"/>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613"/>
        <w:gridCol w:w="1023"/>
        <w:gridCol w:w="427"/>
        <w:gridCol w:w="1418"/>
        <w:gridCol w:w="402"/>
        <w:gridCol w:w="993"/>
        <w:gridCol w:w="201"/>
        <w:gridCol w:w="1359"/>
        <w:gridCol w:w="312"/>
        <w:gridCol w:w="1332"/>
      </w:tblGrid>
      <w:tr>
        <w:trPr>
          <w:trHeight w:val="340" w:hRule="atLeast"/>
        </w:trPr>
        <w:tc>
          <w:tcPr>
            <w:tcW w:w="9080" w:type="dxa"/>
            <w:gridSpan w:val="10"/>
            <w:noWrap w:val="0"/>
            <w:vAlign w:val="center"/>
          </w:tcPr>
          <w:p>
            <w:pPr>
              <w:pStyle w:val="35"/>
              <w:bidi w:val="0"/>
              <w:rPr>
                <w:color w:val="auto"/>
                <w:lang w:eastAsia="zh-CN"/>
              </w:rPr>
            </w:pPr>
            <w:r>
              <w:rPr>
                <w:color w:val="auto"/>
              </w:rPr>
              <w:t>风险事故情形</w:t>
            </w:r>
            <w:r>
              <w:rPr>
                <w:color w:val="auto"/>
                <w:lang w:eastAsia="zh-CN"/>
              </w:rPr>
              <w:t>分析</w:t>
            </w:r>
          </w:p>
        </w:tc>
      </w:tr>
      <w:tr>
        <w:trPr>
          <w:trHeight w:val="340" w:hRule="atLeast"/>
        </w:trPr>
        <w:tc>
          <w:tcPr>
            <w:tcW w:w="1613" w:type="dxa"/>
            <w:noWrap w:val="0"/>
            <w:vAlign w:val="center"/>
          </w:tcPr>
          <w:p>
            <w:pPr>
              <w:pStyle w:val="35"/>
              <w:bidi w:val="0"/>
              <w:rPr>
                <w:color w:val="auto"/>
                <w:lang w:eastAsia="zh-CN"/>
              </w:rPr>
            </w:pPr>
            <w:r>
              <w:rPr>
                <w:color w:val="auto"/>
                <w:lang w:eastAsia="zh-CN"/>
              </w:rPr>
              <w:t>代表性风险事故情形描述</w:t>
            </w:r>
          </w:p>
        </w:tc>
        <w:tc>
          <w:tcPr>
            <w:tcW w:w="7467" w:type="dxa"/>
            <w:gridSpan w:val="9"/>
            <w:noWrap w:val="0"/>
            <w:vAlign w:val="center"/>
          </w:tcPr>
          <w:p>
            <w:pPr>
              <w:pStyle w:val="35"/>
              <w:bidi w:val="0"/>
              <w:rPr>
                <w:color w:val="auto"/>
                <w:lang w:eastAsia="zh-CN"/>
              </w:rPr>
            </w:pPr>
            <w:r>
              <w:rPr>
                <w:rFonts w:hint="eastAsia"/>
                <w:color w:val="auto"/>
                <w:lang w:val="en-US" w:eastAsia="zh-CN"/>
              </w:rPr>
              <w:t>醋酸甲酯</w:t>
            </w:r>
            <w:r>
              <w:rPr>
                <w:color w:val="auto"/>
                <w:lang w:eastAsia="zh-CN"/>
              </w:rPr>
              <w:t>储罐发生火灾爆炸伴生CO</w:t>
            </w:r>
          </w:p>
        </w:tc>
      </w:tr>
      <w:tr>
        <w:trPr>
          <w:trHeight w:val="340" w:hRule="atLeast"/>
        </w:trPr>
        <w:tc>
          <w:tcPr>
            <w:tcW w:w="1613" w:type="dxa"/>
            <w:noWrap w:val="0"/>
            <w:vAlign w:val="center"/>
          </w:tcPr>
          <w:p>
            <w:pPr>
              <w:pStyle w:val="35"/>
              <w:bidi w:val="0"/>
              <w:rPr>
                <w:color w:val="auto"/>
              </w:rPr>
            </w:pPr>
            <w:r>
              <w:rPr>
                <w:color w:val="auto"/>
              </w:rPr>
              <w:t>环境风险类型</w:t>
            </w:r>
          </w:p>
        </w:tc>
        <w:tc>
          <w:tcPr>
            <w:tcW w:w="7467" w:type="dxa"/>
            <w:gridSpan w:val="9"/>
            <w:noWrap w:val="0"/>
            <w:vAlign w:val="center"/>
          </w:tcPr>
          <w:p>
            <w:pPr>
              <w:pStyle w:val="35"/>
              <w:bidi w:val="0"/>
              <w:rPr>
                <w:color w:val="auto"/>
                <w:lang w:eastAsia="zh-CN"/>
              </w:rPr>
            </w:pPr>
            <w:r>
              <w:rPr>
                <w:color w:val="auto"/>
                <w:lang w:eastAsia="zh-CN"/>
              </w:rPr>
              <w:t>大气</w:t>
            </w:r>
          </w:p>
        </w:tc>
      </w:tr>
      <w:tr>
        <w:trPr>
          <w:trHeight w:val="340" w:hRule="atLeast"/>
        </w:trPr>
        <w:tc>
          <w:tcPr>
            <w:tcW w:w="1613" w:type="dxa"/>
            <w:noWrap w:val="0"/>
            <w:vAlign w:val="center"/>
          </w:tcPr>
          <w:p>
            <w:pPr>
              <w:pStyle w:val="35"/>
              <w:bidi w:val="0"/>
              <w:rPr>
                <w:color w:val="auto"/>
              </w:rPr>
            </w:pPr>
            <w:r>
              <w:rPr>
                <w:color w:val="auto"/>
              </w:rPr>
              <w:t>泄漏设备类型</w:t>
            </w:r>
          </w:p>
        </w:tc>
        <w:tc>
          <w:tcPr>
            <w:tcW w:w="1450" w:type="dxa"/>
            <w:gridSpan w:val="2"/>
            <w:noWrap w:val="0"/>
            <w:vAlign w:val="center"/>
          </w:tcPr>
          <w:p>
            <w:pPr>
              <w:pStyle w:val="35"/>
              <w:bidi w:val="0"/>
              <w:rPr>
                <w:color w:val="auto"/>
                <w:lang w:eastAsia="zh-CN"/>
              </w:rPr>
            </w:pPr>
            <w:r>
              <w:rPr>
                <w:rFonts w:hint="eastAsia"/>
                <w:color w:val="auto"/>
                <w:lang w:eastAsia="zh-CN"/>
              </w:rPr>
              <w:t>/</w:t>
            </w:r>
          </w:p>
        </w:tc>
        <w:tc>
          <w:tcPr>
            <w:tcW w:w="1820" w:type="dxa"/>
            <w:gridSpan w:val="2"/>
            <w:noWrap w:val="0"/>
            <w:vAlign w:val="center"/>
          </w:tcPr>
          <w:p>
            <w:pPr>
              <w:pStyle w:val="35"/>
              <w:bidi w:val="0"/>
              <w:rPr>
                <w:color w:val="auto"/>
              </w:rPr>
            </w:pPr>
            <w:r>
              <w:rPr>
                <w:color w:val="auto"/>
              </w:rPr>
              <w:t>操作温度/</w:t>
            </w:r>
            <w:r>
              <w:rPr>
                <w:rFonts w:hint="eastAsia"/>
                <w:color w:val="auto"/>
              </w:rPr>
              <w:t>℃</w:t>
            </w:r>
          </w:p>
        </w:tc>
        <w:tc>
          <w:tcPr>
            <w:tcW w:w="1194" w:type="dxa"/>
            <w:gridSpan w:val="2"/>
            <w:noWrap w:val="0"/>
            <w:vAlign w:val="center"/>
          </w:tcPr>
          <w:p>
            <w:pPr>
              <w:pStyle w:val="35"/>
              <w:bidi w:val="0"/>
              <w:rPr>
                <w:color w:val="auto"/>
                <w:lang w:eastAsia="zh-CN"/>
              </w:rPr>
            </w:pPr>
            <w:r>
              <w:rPr>
                <w:rFonts w:hint="eastAsia"/>
                <w:color w:val="auto"/>
                <w:lang w:eastAsia="zh-CN"/>
              </w:rPr>
              <w:t>/</w:t>
            </w:r>
          </w:p>
        </w:tc>
        <w:tc>
          <w:tcPr>
            <w:tcW w:w="1671" w:type="dxa"/>
            <w:gridSpan w:val="2"/>
            <w:noWrap w:val="0"/>
            <w:vAlign w:val="center"/>
          </w:tcPr>
          <w:p>
            <w:pPr>
              <w:pStyle w:val="35"/>
              <w:bidi w:val="0"/>
              <w:rPr>
                <w:color w:val="auto"/>
              </w:rPr>
            </w:pPr>
            <w:r>
              <w:rPr>
                <w:color w:val="auto"/>
              </w:rPr>
              <w:t>操作压力/MPa</w:t>
            </w:r>
          </w:p>
        </w:tc>
        <w:tc>
          <w:tcPr>
            <w:tcW w:w="1332" w:type="dxa"/>
            <w:noWrap w:val="0"/>
            <w:vAlign w:val="center"/>
          </w:tcPr>
          <w:p>
            <w:pPr>
              <w:pStyle w:val="35"/>
              <w:bidi w:val="0"/>
              <w:rPr>
                <w:color w:val="auto"/>
                <w:lang w:eastAsia="zh-CN"/>
              </w:rPr>
            </w:pPr>
            <w:r>
              <w:rPr>
                <w:rFonts w:hint="eastAsia"/>
                <w:color w:val="auto"/>
                <w:lang w:eastAsia="zh-CN"/>
              </w:rPr>
              <w:t>/</w:t>
            </w:r>
          </w:p>
        </w:tc>
      </w:tr>
      <w:tr>
        <w:trPr>
          <w:trHeight w:val="340" w:hRule="atLeast"/>
        </w:trPr>
        <w:tc>
          <w:tcPr>
            <w:tcW w:w="1613" w:type="dxa"/>
            <w:noWrap w:val="0"/>
            <w:vAlign w:val="center"/>
          </w:tcPr>
          <w:p>
            <w:pPr>
              <w:pStyle w:val="35"/>
              <w:bidi w:val="0"/>
              <w:rPr>
                <w:color w:val="auto"/>
              </w:rPr>
            </w:pPr>
            <w:r>
              <w:rPr>
                <w:color w:val="auto"/>
              </w:rPr>
              <w:t>泄漏危险物质</w:t>
            </w:r>
          </w:p>
        </w:tc>
        <w:tc>
          <w:tcPr>
            <w:tcW w:w="1450" w:type="dxa"/>
            <w:gridSpan w:val="2"/>
            <w:noWrap w:val="0"/>
            <w:vAlign w:val="top"/>
          </w:tcPr>
          <w:p>
            <w:pPr>
              <w:pStyle w:val="35"/>
              <w:bidi w:val="0"/>
              <w:rPr>
                <w:color w:val="auto"/>
              </w:rPr>
            </w:pPr>
            <w:r>
              <w:rPr>
                <w:rFonts w:hint="eastAsia"/>
                <w:color w:val="auto"/>
              </w:rPr>
              <w:t>/</w:t>
            </w:r>
          </w:p>
        </w:tc>
        <w:tc>
          <w:tcPr>
            <w:tcW w:w="1820" w:type="dxa"/>
            <w:gridSpan w:val="2"/>
            <w:noWrap w:val="0"/>
            <w:vAlign w:val="center"/>
          </w:tcPr>
          <w:p>
            <w:pPr>
              <w:pStyle w:val="35"/>
              <w:bidi w:val="0"/>
              <w:rPr>
                <w:color w:val="auto"/>
              </w:rPr>
            </w:pPr>
            <w:r>
              <w:rPr>
                <w:color w:val="auto"/>
              </w:rPr>
              <w:t>最大存在量/kg</w:t>
            </w:r>
          </w:p>
        </w:tc>
        <w:tc>
          <w:tcPr>
            <w:tcW w:w="1194" w:type="dxa"/>
            <w:gridSpan w:val="2"/>
            <w:noWrap w:val="0"/>
            <w:vAlign w:val="top"/>
          </w:tcPr>
          <w:p>
            <w:pPr>
              <w:pStyle w:val="35"/>
              <w:bidi w:val="0"/>
              <w:rPr>
                <w:color w:val="auto"/>
              </w:rPr>
            </w:pPr>
            <w:r>
              <w:rPr>
                <w:rFonts w:hint="eastAsia"/>
                <w:color w:val="auto"/>
              </w:rPr>
              <w:t>/</w:t>
            </w:r>
          </w:p>
        </w:tc>
        <w:tc>
          <w:tcPr>
            <w:tcW w:w="1671" w:type="dxa"/>
            <w:gridSpan w:val="2"/>
            <w:noWrap w:val="0"/>
            <w:vAlign w:val="center"/>
          </w:tcPr>
          <w:p>
            <w:pPr>
              <w:pStyle w:val="35"/>
              <w:bidi w:val="0"/>
              <w:rPr>
                <w:color w:val="auto"/>
              </w:rPr>
            </w:pPr>
            <w:r>
              <w:rPr>
                <w:color w:val="auto"/>
              </w:rPr>
              <w:t>泄漏孔径/mm</w:t>
            </w:r>
          </w:p>
        </w:tc>
        <w:tc>
          <w:tcPr>
            <w:tcW w:w="1332" w:type="dxa"/>
            <w:noWrap w:val="0"/>
            <w:vAlign w:val="top"/>
          </w:tcPr>
          <w:p>
            <w:pPr>
              <w:pStyle w:val="35"/>
              <w:bidi w:val="0"/>
              <w:rPr>
                <w:color w:val="auto"/>
              </w:rPr>
            </w:pPr>
            <w:r>
              <w:rPr>
                <w:rFonts w:hint="eastAsia"/>
                <w:color w:val="auto"/>
              </w:rPr>
              <w:t>/</w:t>
            </w:r>
          </w:p>
        </w:tc>
      </w:tr>
      <w:tr>
        <w:trPr>
          <w:trHeight w:val="340" w:hRule="atLeast"/>
        </w:trPr>
        <w:tc>
          <w:tcPr>
            <w:tcW w:w="1613" w:type="dxa"/>
            <w:noWrap w:val="0"/>
            <w:vAlign w:val="center"/>
          </w:tcPr>
          <w:p>
            <w:pPr>
              <w:pStyle w:val="35"/>
              <w:bidi w:val="0"/>
              <w:rPr>
                <w:color w:val="auto"/>
              </w:rPr>
            </w:pPr>
            <w:r>
              <w:rPr>
                <w:color w:val="auto"/>
              </w:rPr>
              <w:t>泄漏速率/(kg/s)</w:t>
            </w:r>
          </w:p>
        </w:tc>
        <w:tc>
          <w:tcPr>
            <w:tcW w:w="1450" w:type="dxa"/>
            <w:gridSpan w:val="2"/>
            <w:noWrap w:val="0"/>
            <w:vAlign w:val="top"/>
          </w:tcPr>
          <w:p>
            <w:pPr>
              <w:pStyle w:val="35"/>
              <w:bidi w:val="0"/>
              <w:rPr>
                <w:color w:val="auto"/>
              </w:rPr>
            </w:pPr>
            <w:r>
              <w:rPr>
                <w:rFonts w:hint="eastAsia"/>
                <w:color w:val="auto"/>
              </w:rPr>
              <w:t>/</w:t>
            </w:r>
          </w:p>
        </w:tc>
        <w:tc>
          <w:tcPr>
            <w:tcW w:w="1820" w:type="dxa"/>
            <w:gridSpan w:val="2"/>
            <w:noWrap w:val="0"/>
            <w:vAlign w:val="center"/>
          </w:tcPr>
          <w:p>
            <w:pPr>
              <w:pStyle w:val="35"/>
              <w:bidi w:val="0"/>
              <w:rPr>
                <w:color w:val="auto"/>
              </w:rPr>
            </w:pPr>
            <w:r>
              <w:rPr>
                <w:color w:val="auto"/>
              </w:rPr>
              <w:t>泄漏时间/min</w:t>
            </w:r>
          </w:p>
        </w:tc>
        <w:tc>
          <w:tcPr>
            <w:tcW w:w="1194" w:type="dxa"/>
            <w:gridSpan w:val="2"/>
            <w:noWrap w:val="0"/>
            <w:vAlign w:val="top"/>
          </w:tcPr>
          <w:p>
            <w:pPr>
              <w:pStyle w:val="35"/>
              <w:bidi w:val="0"/>
              <w:rPr>
                <w:color w:val="auto"/>
              </w:rPr>
            </w:pPr>
            <w:r>
              <w:rPr>
                <w:rFonts w:hint="eastAsia"/>
                <w:color w:val="auto"/>
              </w:rPr>
              <w:t>/</w:t>
            </w:r>
          </w:p>
        </w:tc>
        <w:tc>
          <w:tcPr>
            <w:tcW w:w="1671" w:type="dxa"/>
            <w:gridSpan w:val="2"/>
            <w:noWrap w:val="0"/>
            <w:vAlign w:val="center"/>
          </w:tcPr>
          <w:p>
            <w:pPr>
              <w:pStyle w:val="35"/>
              <w:bidi w:val="0"/>
              <w:rPr>
                <w:color w:val="auto"/>
              </w:rPr>
            </w:pPr>
            <w:r>
              <w:rPr>
                <w:color w:val="auto"/>
              </w:rPr>
              <w:t>泄漏量/kg</w:t>
            </w:r>
          </w:p>
        </w:tc>
        <w:tc>
          <w:tcPr>
            <w:tcW w:w="1332" w:type="dxa"/>
            <w:noWrap w:val="0"/>
            <w:vAlign w:val="top"/>
          </w:tcPr>
          <w:p>
            <w:pPr>
              <w:pStyle w:val="35"/>
              <w:bidi w:val="0"/>
              <w:rPr>
                <w:color w:val="auto"/>
              </w:rPr>
            </w:pPr>
            <w:r>
              <w:rPr>
                <w:rFonts w:hint="eastAsia"/>
                <w:color w:val="auto"/>
              </w:rPr>
              <w:t>/</w:t>
            </w:r>
          </w:p>
        </w:tc>
      </w:tr>
      <w:tr>
        <w:trPr>
          <w:trHeight w:val="340" w:hRule="atLeast"/>
        </w:trPr>
        <w:tc>
          <w:tcPr>
            <w:tcW w:w="1613" w:type="dxa"/>
            <w:noWrap w:val="0"/>
            <w:vAlign w:val="center"/>
          </w:tcPr>
          <w:p>
            <w:pPr>
              <w:pStyle w:val="35"/>
              <w:bidi w:val="0"/>
              <w:rPr>
                <w:color w:val="auto"/>
              </w:rPr>
            </w:pPr>
            <w:r>
              <w:rPr>
                <w:color w:val="auto"/>
              </w:rPr>
              <w:t>泄漏高度/m</w:t>
            </w:r>
          </w:p>
        </w:tc>
        <w:tc>
          <w:tcPr>
            <w:tcW w:w="1450" w:type="dxa"/>
            <w:gridSpan w:val="2"/>
            <w:noWrap w:val="0"/>
            <w:vAlign w:val="top"/>
          </w:tcPr>
          <w:p>
            <w:pPr>
              <w:pStyle w:val="35"/>
              <w:bidi w:val="0"/>
              <w:rPr>
                <w:color w:val="auto"/>
              </w:rPr>
            </w:pPr>
            <w:r>
              <w:rPr>
                <w:rFonts w:hint="eastAsia"/>
                <w:color w:val="auto"/>
              </w:rPr>
              <w:t>/</w:t>
            </w:r>
          </w:p>
        </w:tc>
        <w:tc>
          <w:tcPr>
            <w:tcW w:w="1820" w:type="dxa"/>
            <w:gridSpan w:val="2"/>
            <w:noWrap w:val="0"/>
            <w:vAlign w:val="center"/>
          </w:tcPr>
          <w:p>
            <w:pPr>
              <w:pStyle w:val="35"/>
              <w:bidi w:val="0"/>
              <w:rPr>
                <w:color w:val="auto"/>
              </w:rPr>
            </w:pPr>
            <w:r>
              <w:rPr>
                <w:color w:val="auto"/>
              </w:rPr>
              <w:t>泄漏液体蒸发量/kg</w:t>
            </w:r>
          </w:p>
        </w:tc>
        <w:tc>
          <w:tcPr>
            <w:tcW w:w="1194" w:type="dxa"/>
            <w:gridSpan w:val="2"/>
            <w:noWrap w:val="0"/>
            <w:vAlign w:val="top"/>
          </w:tcPr>
          <w:p>
            <w:pPr>
              <w:pStyle w:val="35"/>
              <w:bidi w:val="0"/>
              <w:rPr>
                <w:color w:val="auto"/>
              </w:rPr>
            </w:pPr>
            <w:r>
              <w:rPr>
                <w:rFonts w:hint="eastAsia"/>
                <w:color w:val="auto"/>
              </w:rPr>
              <w:t>/</w:t>
            </w:r>
          </w:p>
        </w:tc>
        <w:tc>
          <w:tcPr>
            <w:tcW w:w="1671" w:type="dxa"/>
            <w:gridSpan w:val="2"/>
            <w:noWrap w:val="0"/>
            <w:vAlign w:val="center"/>
          </w:tcPr>
          <w:p>
            <w:pPr>
              <w:pStyle w:val="35"/>
              <w:bidi w:val="0"/>
              <w:rPr>
                <w:color w:val="auto"/>
              </w:rPr>
            </w:pPr>
            <w:r>
              <w:rPr>
                <w:color w:val="auto"/>
              </w:rPr>
              <w:t>泄漏频率</w:t>
            </w:r>
          </w:p>
        </w:tc>
        <w:tc>
          <w:tcPr>
            <w:tcW w:w="1332" w:type="dxa"/>
            <w:noWrap w:val="0"/>
            <w:vAlign w:val="top"/>
          </w:tcPr>
          <w:p>
            <w:pPr>
              <w:pStyle w:val="35"/>
              <w:bidi w:val="0"/>
              <w:rPr>
                <w:color w:val="auto"/>
              </w:rPr>
            </w:pPr>
            <w:r>
              <w:rPr>
                <w:rFonts w:hint="eastAsia"/>
                <w:color w:val="auto"/>
              </w:rPr>
              <w:t>/</w:t>
            </w:r>
          </w:p>
        </w:tc>
      </w:tr>
      <w:tr>
        <w:trPr>
          <w:trHeight w:val="340" w:hRule="atLeast"/>
        </w:trPr>
        <w:tc>
          <w:tcPr>
            <w:tcW w:w="9080" w:type="dxa"/>
            <w:gridSpan w:val="10"/>
            <w:noWrap w:val="0"/>
            <w:vAlign w:val="center"/>
          </w:tcPr>
          <w:p>
            <w:pPr>
              <w:pStyle w:val="35"/>
              <w:bidi w:val="0"/>
              <w:rPr>
                <w:color w:val="auto"/>
              </w:rPr>
            </w:pPr>
            <w:r>
              <w:rPr>
                <w:color w:val="auto"/>
              </w:rPr>
              <w:t>事故后果预测</w:t>
            </w:r>
          </w:p>
        </w:tc>
      </w:tr>
      <w:tr>
        <w:trPr>
          <w:trHeight w:val="340" w:hRule="atLeast"/>
        </w:trPr>
        <w:tc>
          <w:tcPr>
            <w:tcW w:w="1613" w:type="dxa"/>
            <w:vMerge w:val="restart"/>
            <w:noWrap w:val="0"/>
            <w:vAlign w:val="center"/>
          </w:tcPr>
          <w:p>
            <w:pPr>
              <w:pStyle w:val="35"/>
              <w:bidi w:val="0"/>
              <w:rPr>
                <w:color w:val="auto"/>
              </w:rPr>
            </w:pPr>
            <w:r>
              <w:rPr>
                <w:color w:val="auto"/>
              </w:rPr>
              <w:t>大气</w:t>
            </w:r>
          </w:p>
        </w:tc>
        <w:tc>
          <w:tcPr>
            <w:tcW w:w="1023" w:type="dxa"/>
            <w:noWrap w:val="0"/>
            <w:vAlign w:val="center"/>
          </w:tcPr>
          <w:p>
            <w:pPr>
              <w:pStyle w:val="35"/>
              <w:bidi w:val="0"/>
              <w:rPr>
                <w:color w:val="auto"/>
              </w:rPr>
            </w:pPr>
            <w:r>
              <w:rPr>
                <w:color w:val="auto"/>
              </w:rPr>
              <w:t>危险物质</w:t>
            </w:r>
          </w:p>
        </w:tc>
        <w:tc>
          <w:tcPr>
            <w:tcW w:w="6444" w:type="dxa"/>
            <w:gridSpan w:val="8"/>
            <w:noWrap w:val="0"/>
            <w:vAlign w:val="center"/>
          </w:tcPr>
          <w:p>
            <w:pPr>
              <w:pStyle w:val="35"/>
              <w:bidi w:val="0"/>
              <w:rPr>
                <w:color w:val="auto"/>
              </w:rPr>
            </w:pPr>
            <w:r>
              <w:rPr>
                <w:color w:val="auto"/>
              </w:rPr>
              <w:t>大气环境影响</w:t>
            </w:r>
          </w:p>
        </w:tc>
      </w:tr>
      <w:tr>
        <w:trPr>
          <w:trHeight w:val="340" w:hRule="atLeast"/>
        </w:trPr>
        <w:tc>
          <w:tcPr>
            <w:tcW w:w="1613" w:type="dxa"/>
            <w:vMerge w:val="continue"/>
            <w:noWrap w:val="0"/>
            <w:vAlign w:val="center"/>
          </w:tcPr>
          <w:p>
            <w:pPr>
              <w:pStyle w:val="35"/>
              <w:bidi w:val="0"/>
              <w:rPr>
                <w:color w:val="auto"/>
              </w:rPr>
            </w:pPr>
          </w:p>
        </w:tc>
        <w:tc>
          <w:tcPr>
            <w:tcW w:w="1023" w:type="dxa"/>
            <w:vMerge w:val="restart"/>
            <w:noWrap w:val="0"/>
            <w:vAlign w:val="center"/>
          </w:tcPr>
          <w:p>
            <w:pPr>
              <w:pStyle w:val="35"/>
              <w:bidi w:val="0"/>
              <w:rPr>
                <w:color w:val="auto"/>
                <w:lang w:eastAsia="zh-CN"/>
              </w:rPr>
            </w:pPr>
            <w:r>
              <w:rPr>
                <w:rFonts w:hint="eastAsia"/>
                <w:color w:val="auto"/>
                <w:lang w:eastAsia="zh-CN"/>
              </w:rPr>
              <w:t>CO</w:t>
            </w:r>
          </w:p>
        </w:tc>
        <w:tc>
          <w:tcPr>
            <w:tcW w:w="1845" w:type="dxa"/>
            <w:gridSpan w:val="2"/>
            <w:noWrap w:val="0"/>
            <w:vAlign w:val="center"/>
          </w:tcPr>
          <w:p>
            <w:pPr>
              <w:pStyle w:val="35"/>
              <w:bidi w:val="0"/>
              <w:rPr>
                <w:color w:val="auto"/>
              </w:rPr>
            </w:pPr>
            <w:r>
              <w:rPr>
                <w:color w:val="auto"/>
              </w:rPr>
              <w:t>指标</w:t>
            </w:r>
          </w:p>
        </w:tc>
        <w:tc>
          <w:tcPr>
            <w:tcW w:w="1395" w:type="dxa"/>
            <w:gridSpan w:val="2"/>
            <w:noWrap w:val="0"/>
            <w:vAlign w:val="center"/>
          </w:tcPr>
          <w:p>
            <w:pPr>
              <w:pStyle w:val="35"/>
              <w:bidi w:val="0"/>
              <w:rPr>
                <w:color w:val="auto"/>
              </w:rPr>
            </w:pPr>
            <w:r>
              <w:rPr>
                <w:color w:val="auto"/>
              </w:rPr>
              <w:t>浓度值/(mg/m</w:t>
            </w:r>
            <w:r>
              <w:rPr>
                <w:color w:val="auto"/>
                <w:vertAlign w:val="superscript"/>
              </w:rPr>
              <w:t>3</w:t>
            </w:r>
            <w:r>
              <w:rPr>
                <w:color w:val="auto"/>
              </w:rPr>
              <w:t>)</w:t>
            </w:r>
          </w:p>
        </w:tc>
        <w:tc>
          <w:tcPr>
            <w:tcW w:w="1560" w:type="dxa"/>
            <w:gridSpan w:val="2"/>
            <w:noWrap w:val="0"/>
            <w:vAlign w:val="center"/>
          </w:tcPr>
          <w:p>
            <w:pPr>
              <w:pStyle w:val="35"/>
              <w:bidi w:val="0"/>
              <w:rPr>
                <w:color w:val="auto"/>
              </w:rPr>
            </w:pPr>
            <w:r>
              <w:rPr>
                <w:color w:val="auto"/>
              </w:rPr>
              <w:t>最远影响距离/m</w:t>
            </w:r>
          </w:p>
        </w:tc>
        <w:tc>
          <w:tcPr>
            <w:tcW w:w="1644" w:type="dxa"/>
            <w:gridSpan w:val="2"/>
            <w:noWrap w:val="0"/>
            <w:vAlign w:val="center"/>
          </w:tcPr>
          <w:p>
            <w:pPr>
              <w:pStyle w:val="35"/>
              <w:bidi w:val="0"/>
              <w:rPr>
                <w:color w:val="auto"/>
              </w:rPr>
            </w:pPr>
            <w:r>
              <w:rPr>
                <w:color w:val="auto"/>
              </w:rPr>
              <w:t>到达时间/min</w:t>
            </w:r>
          </w:p>
        </w:tc>
      </w:tr>
      <w:tr>
        <w:trPr>
          <w:trHeight w:val="340" w:hRule="atLeast"/>
        </w:trPr>
        <w:tc>
          <w:tcPr>
            <w:tcW w:w="1613" w:type="dxa"/>
            <w:vMerge w:val="continue"/>
            <w:noWrap w:val="0"/>
            <w:vAlign w:val="center"/>
          </w:tcPr>
          <w:p>
            <w:pPr>
              <w:pStyle w:val="35"/>
              <w:bidi w:val="0"/>
              <w:rPr>
                <w:color w:val="auto"/>
              </w:rPr>
            </w:pPr>
          </w:p>
        </w:tc>
        <w:tc>
          <w:tcPr>
            <w:tcW w:w="1023" w:type="dxa"/>
            <w:vMerge w:val="continue"/>
            <w:noWrap w:val="0"/>
            <w:vAlign w:val="center"/>
          </w:tcPr>
          <w:p>
            <w:pPr>
              <w:pStyle w:val="35"/>
              <w:bidi w:val="0"/>
              <w:rPr>
                <w:color w:val="auto"/>
              </w:rPr>
            </w:pPr>
          </w:p>
        </w:tc>
        <w:tc>
          <w:tcPr>
            <w:tcW w:w="1845" w:type="dxa"/>
            <w:gridSpan w:val="2"/>
            <w:noWrap w:val="0"/>
            <w:vAlign w:val="center"/>
          </w:tcPr>
          <w:p>
            <w:pPr>
              <w:pStyle w:val="35"/>
              <w:bidi w:val="0"/>
              <w:rPr>
                <w:color w:val="auto"/>
              </w:rPr>
            </w:pPr>
            <w:r>
              <w:rPr>
                <w:color w:val="auto"/>
              </w:rPr>
              <w:t>大气毒性终点浓度-1</w:t>
            </w:r>
          </w:p>
        </w:tc>
        <w:tc>
          <w:tcPr>
            <w:tcW w:w="1395" w:type="dxa"/>
            <w:gridSpan w:val="2"/>
            <w:noWrap w:val="0"/>
            <w:vAlign w:val="center"/>
          </w:tcPr>
          <w:p>
            <w:pPr>
              <w:pStyle w:val="35"/>
              <w:bidi w:val="0"/>
              <w:rPr>
                <w:color w:val="auto"/>
                <w:lang w:eastAsia="zh-CN"/>
              </w:rPr>
            </w:pPr>
            <w:r>
              <w:rPr>
                <w:rFonts w:hint="eastAsia"/>
                <w:color w:val="auto"/>
                <w:lang w:eastAsia="zh-CN"/>
              </w:rPr>
              <w:t>380</w:t>
            </w:r>
          </w:p>
        </w:tc>
        <w:tc>
          <w:tcPr>
            <w:tcW w:w="1560" w:type="dxa"/>
            <w:gridSpan w:val="2"/>
            <w:noWrap w:val="0"/>
            <w:vAlign w:val="center"/>
          </w:tcPr>
          <w:p>
            <w:pPr>
              <w:pStyle w:val="35"/>
              <w:bidi w:val="0"/>
              <w:rPr>
                <w:color w:val="auto"/>
                <w:lang w:val="zh-CN"/>
              </w:rPr>
            </w:pPr>
            <w:r>
              <w:rPr>
                <w:rFonts w:hint="eastAsia"/>
                <w:color w:val="auto"/>
                <w:lang w:val="zh-CN"/>
              </w:rPr>
              <w:t>610</w:t>
            </w:r>
          </w:p>
        </w:tc>
        <w:tc>
          <w:tcPr>
            <w:tcW w:w="1644" w:type="dxa"/>
            <w:gridSpan w:val="2"/>
            <w:noWrap w:val="0"/>
            <w:vAlign w:val="center"/>
          </w:tcPr>
          <w:p>
            <w:pPr>
              <w:pStyle w:val="35"/>
              <w:bidi w:val="0"/>
              <w:rPr>
                <w:rFonts w:hint="eastAsia"/>
                <w:color w:val="auto"/>
                <w:lang w:eastAsia="zh-CN"/>
              </w:rPr>
            </w:pPr>
            <w:r>
              <w:rPr>
                <w:rFonts w:hint="eastAsia"/>
                <w:color w:val="auto"/>
                <w:lang w:eastAsia="zh-CN"/>
              </w:rPr>
              <w:t>6.77</w:t>
            </w:r>
          </w:p>
        </w:tc>
      </w:tr>
      <w:tr>
        <w:trPr>
          <w:trHeight w:val="340" w:hRule="atLeast"/>
        </w:trPr>
        <w:tc>
          <w:tcPr>
            <w:tcW w:w="1613" w:type="dxa"/>
            <w:vMerge w:val="continue"/>
            <w:noWrap w:val="0"/>
            <w:vAlign w:val="center"/>
          </w:tcPr>
          <w:p>
            <w:pPr>
              <w:pStyle w:val="35"/>
              <w:bidi w:val="0"/>
              <w:rPr>
                <w:color w:val="auto"/>
              </w:rPr>
            </w:pPr>
          </w:p>
        </w:tc>
        <w:tc>
          <w:tcPr>
            <w:tcW w:w="1023" w:type="dxa"/>
            <w:vMerge w:val="continue"/>
            <w:noWrap w:val="0"/>
            <w:vAlign w:val="center"/>
          </w:tcPr>
          <w:p>
            <w:pPr>
              <w:pStyle w:val="35"/>
              <w:bidi w:val="0"/>
              <w:rPr>
                <w:color w:val="auto"/>
              </w:rPr>
            </w:pPr>
          </w:p>
        </w:tc>
        <w:tc>
          <w:tcPr>
            <w:tcW w:w="1845" w:type="dxa"/>
            <w:gridSpan w:val="2"/>
            <w:noWrap w:val="0"/>
            <w:vAlign w:val="center"/>
          </w:tcPr>
          <w:p>
            <w:pPr>
              <w:pStyle w:val="35"/>
              <w:bidi w:val="0"/>
              <w:rPr>
                <w:color w:val="auto"/>
              </w:rPr>
            </w:pPr>
            <w:r>
              <w:rPr>
                <w:color w:val="auto"/>
              </w:rPr>
              <w:t>大气毒性终点浓度-2</w:t>
            </w:r>
          </w:p>
        </w:tc>
        <w:tc>
          <w:tcPr>
            <w:tcW w:w="1395" w:type="dxa"/>
            <w:gridSpan w:val="2"/>
            <w:noWrap w:val="0"/>
            <w:vAlign w:val="center"/>
          </w:tcPr>
          <w:p>
            <w:pPr>
              <w:pStyle w:val="35"/>
              <w:bidi w:val="0"/>
              <w:rPr>
                <w:color w:val="auto"/>
                <w:lang w:eastAsia="zh-CN"/>
              </w:rPr>
            </w:pPr>
            <w:r>
              <w:rPr>
                <w:rFonts w:hint="eastAsia"/>
                <w:color w:val="auto"/>
                <w:lang w:eastAsia="zh-CN"/>
              </w:rPr>
              <w:t>95</w:t>
            </w:r>
          </w:p>
        </w:tc>
        <w:tc>
          <w:tcPr>
            <w:tcW w:w="1560" w:type="dxa"/>
            <w:gridSpan w:val="2"/>
            <w:noWrap w:val="0"/>
            <w:vAlign w:val="center"/>
          </w:tcPr>
          <w:p>
            <w:pPr>
              <w:pStyle w:val="35"/>
              <w:bidi w:val="0"/>
              <w:rPr>
                <w:color w:val="auto"/>
                <w:lang w:val="zh-CN"/>
              </w:rPr>
            </w:pPr>
            <w:r>
              <w:rPr>
                <w:rFonts w:hint="eastAsia"/>
                <w:color w:val="auto"/>
                <w:lang w:val="zh-CN"/>
              </w:rPr>
              <w:t>1550</w:t>
            </w:r>
          </w:p>
        </w:tc>
        <w:tc>
          <w:tcPr>
            <w:tcW w:w="1644" w:type="dxa"/>
            <w:gridSpan w:val="2"/>
            <w:noWrap w:val="0"/>
            <w:vAlign w:val="center"/>
          </w:tcPr>
          <w:p>
            <w:pPr>
              <w:pStyle w:val="35"/>
              <w:bidi w:val="0"/>
              <w:rPr>
                <w:color w:val="auto"/>
                <w:lang w:eastAsia="zh-CN"/>
              </w:rPr>
            </w:pPr>
            <w:r>
              <w:rPr>
                <w:color w:val="auto"/>
              </w:rPr>
              <w:t>16.78</w:t>
            </w:r>
          </w:p>
        </w:tc>
      </w:tr>
      <w:tr>
        <w:trPr>
          <w:trHeight w:val="340" w:hRule="atLeast"/>
        </w:trPr>
        <w:tc>
          <w:tcPr>
            <w:tcW w:w="1613" w:type="dxa"/>
            <w:vMerge w:val="continue"/>
            <w:noWrap w:val="0"/>
            <w:vAlign w:val="center"/>
          </w:tcPr>
          <w:p>
            <w:pPr>
              <w:pStyle w:val="35"/>
              <w:bidi w:val="0"/>
              <w:rPr>
                <w:color w:val="auto"/>
              </w:rPr>
            </w:pPr>
          </w:p>
        </w:tc>
        <w:tc>
          <w:tcPr>
            <w:tcW w:w="1023" w:type="dxa"/>
            <w:vMerge w:val="continue"/>
            <w:noWrap w:val="0"/>
            <w:vAlign w:val="center"/>
          </w:tcPr>
          <w:p>
            <w:pPr>
              <w:pStyle w:val="35"/>
              <w:bidi w:val="0"/>
              <w:rPr>
                <w:color w:val="auto"/>
              </w:rPr>
            </w:pPr>
          </w:p>
        </w:tc>
        <w:tc>
          <w:tcPr>
            <w:tcW w:w="1845" w:type="dxa"/>
            <w:gridSpan w:val="2"/>
            <w:noWrap w:val="0"/>
            <w:vAlign w:val="center"/>
          </w:tcPr>
          <w:p>
            <w:pPr>
              <w:pStyle w:val="35"/>
              <w:bidi w:val="0"/>
              <w:rPr>
                <w:color w:val="auto"/>
              </w:rPr>
            </w:pPr>
            <w:r>
              <w:rPr>
                <w:color w:val="auto"/>
              </w:rPr>
              <w:t>敏感目标名称</w:t>
            </w:r>
          </w:p>
        </w:tc>
        <w:tc>
          <w:tcPr>
            <w:tcW w:w="1395" w:type="dxa"/>
            <w:gridSpan w:val="2"/>
            <w:noWrap w:val="0"/>
            <w:vAlign w:val="center"/>
          </w:tcPr>
          <w:p>
            <w:pPr>
              <w:pStyle w:val="35"/>
              <w:bidi w:val="0"/>
              <w:rPr>
                <w:color w:val="auto"/>
                <w:lang w:eastAsia="zh-CN"/>
              </w:rPr>
            </w:pPr>
            <w:r>
              <w:rPr>
                <w:color w:val="auto"/>
                <w:lang w:eastAsia="zh-CN"/>
              </w:rPr>
              <w:t>超大气毒性终点浓度1时间/min</w:t>
            </w:r>
          </w:p>
        </w:tc>
        <w:tc>
          <w:tcPr>
            <w:tcW w:w="1560" w:type="dxa"/>
            <w:gridSpan w:val="2"/>
            <w:noWrap w:val="0"/>
            <w:vAlign w:val="center"/>
          </w:tcPr>
          <w:p>
            <w:pPr>
              <w:pStyle w:val="35"/>
              <w:bidi w:val="0"/>
              <w:rPr>
                <w:color w:val="auto"/>
                <w:lang w:eastAsia="zh-CN"/>
              </w:rPr>
            </w:pPr>
            <w:r>
              <w:rPr>
                <w:color w:val="auto"/>
                <w:lang w:eastAsia="zh-CN"/>
              </w:rPr>
              <w:t>超大气毒性终点浓度1持续时间/min</w:t>
            </w:r>
          </w:p>
        </w:tc>
        <w:tc>
          <w:tcPr>
            <w:tcW w:w="1644" w:type="dxa"/>
            <w:gridSpan w:val="2"/>
            <w:noWrap w:val="0"/>
            <w:vAlign w:val="center"/>
          </w:tcPr>
          <w:p>
            <w:pPr>
              <w:pStyle w:val="35"/>
              <w:bidi w:val="0"/>
              <w:rPr>
                <w:color w:val="auto"/>
              </w:rPr>
            </w:pPr>
            <w:r>
              <w:rPr>
                <w:color w:val="auto"/>
              </w:rPr>
              <w:t>最大浓度/(mg/m</w:t>
            </w:r>
            <w:r>
              <w:rPr>
                <w:color w:val="auto"/>
                <w:vertAlign w:val="superscript"/>
              </w:rPr>
              <w:t>3</w:t>
            </w:r>
            <w:r>
              <w:rPr>
                <w:color w:val="auto"/>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1613" w:type="dxa"/>
            <w:vMerge w:val="continue"/>
            <w:noWrap w:val="0"/>
            <w:vAlign w:val="center"/>
          </w:tcPr>
          <w:p>
            <w:pPr>
              <w:pStyle w:val="35"/>
              <w:bidi w:val="0"/>
              <w:rPr>
                <w:color w:val="auto"/>
              </w:rPr>
            </w:pPr>
          </w:p>
        </w:tc>
        <w:tc>
          <w:tcPr>
            <w:tcW w:w="1023" w:type="dxa"/>
            <w:vMerge w:val="continue"/>
            <w:noWrap w:val="0"/>
            <w:vAlign w:val="center"/>
          </w:tcPr>
          <w:p>
            <w:pPr>
              <w:pStyle w:val="35"/>
              <w:bidi w:val="0"/>
              <w:rPr>
                <w:color w:val="auto"/>
              </w:rPr>
            </w:pPr>
          </w:p>
        </w:tc>
        <w:tc>
          <w:tcPr>
            <w:tcW w:w="6444" w:type="dxa"/>
            <w:gridSpan w:val="8"/>
            <w:noWrap w:val="0"/>
            <w:vAlign w:val="center"/>
          </w:tcPr>
          <w:p>
            <w:pPr>
              <w:pStyle w:val="35"/>
              <w:bidi w:val="0"/>
              <w:rPr>
                <w:color w:val="auto"/>
                <w:lang w:eastAsia="zh-CN"/>
              </w:rPr>
            </w:pPr>
            <w:r>
              <w:rPr>
                <w:color w:val="auto"/>
                <w:lang w:eastAsia="zh-CN"/>
              </w:rPr>
              <w:t>各敏感点最大浓度均不超过大气毒性终点浓度-1和大气毒性终点浓度-2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1613" w:type="dxa"/>
            <w:vMerge w:val="continue"/>
            <w:noWrap w:val="0"/>
            <w:vAlign w:val="center"/>
          </w:tcPr>
          <w:p>
            <w:pPr>
              <w:pStyle w:val="35"/>
              <w:bidi w:val="0"/>
              <w:rPr>
                <w:color w:val="auto"/>
              </w:rPr>
            </w:pPr>
          </w:p>
        </w:tc>
        <w:tc>
          <w:tcPr>
            <w:tcW w:w="1023" w:type="dxa"/>
            <w:vMerge w:val="continue"/>
            <w:noWrap w:val="0"/>
            <w:vAlign w:val="center"/>
          </w:tcPr>
          <w:p>
            <w:pPr>
              <w:pStyle w:val="35"/>
              <w:bidi w:val="0"/>
              <w:rPr>
                <w:color w:val="auto"/>
              </w:rPr>
            </w:pPr>
          </w:p>
        </w:tc>
        <w:tc>
          <w:tcPr>
            <w:tcW w:w="1845" w:type="dxa"/>
            <w:gridSpan w:val="2"/>
            <w:noWrap w:val="0"/>
            <w:vAlign w:val="center"/>
          </w:tcPr>
          <w:p>
            <w:pPr>
              <w:pStyle w:val="35"/>
              <w:bidi w:val="0"/>
              <w:rPr>
                <w:color w:val="auto"/>
              </w:rPr>
            </w:pPr>
            <w:r>
              <w:rPr>
                <w:color w:val="auto"/>
              </w:rPr>
              <w:t>敏感目标名称</w:t>
            </w:r>
          </w:p>
        </w:tc>
        <w:tc>
          <w:tcPr>
            <w:tcW w:w="1395" w:type="dxa"/>
            <w:gridSpan w:val="2"/>
            <w:noWrap w:val="0"/>
            <w:vAlign w:val="center"/>
          </w:tcPr>
          <w:p>
            <w:pPr>
              <w:pStyle w:val="35"/>
              <w:bidi w:val="0"/>
              <w:rPr>
                <w:color w:val="auto"/>
                <w:lang w:eastAsia="zh-CN"/>
              </w:rPr>
            </w:pPr>
            <w:r>
              <w:rPr>
                <w:color w:val="auto"/>
                <w:lang w:eastAsia="zh-CN"/>
              </w:rPr>
              <w:t>超大气毒性终点浓度2时间/min</w:t>
            </w:r>
          </w:p>
        </w:tc>
        <w:tc>
          <w:tcPr>
            <w:tcW w:w="1560" w:type="dxa"/>
            <w:gridSpan w:val="2"/>
            <w:noWrap w:val="0"/>
            <w:vAlign w:val="center"/>
          </w:tcPr>
          <w:p>
            <w:pPr>
              <w:pStyle w:val="35"/>
              <w:bidi w:val="0"/>
              <w:rPr>
                <w:color w:val="auto"/>
                <w:lang w:eastAsia="zh-CN"/>
              </w:rPr>
            </w:pPr>
            <w:r>
              <w:rPr>
                <w:color w:val="auto"/>
                <w:lang w:eastAsia="zh-CN"/>
              </w:rPr>
              <w:t>超大气毒性终点浓度2持续时间/min</w:t>
            </w:r>
          </w:p>
        </w:tc>
        <w:tc>
          <w:tcPr>
            <w:tcW w:w="1644" w:type="dxa"/>
            <w:gridSpan w:val="2"/>
            <w:noWrap w:val="0"/>
            <w:vAlign w:val="center"/>
          </w:tcPr>
          <w:p>
            <w:pPr>
              <w:pStyle w:val="35"/>
              <w:bidi w:val="0"/>
              <w:rPr>
                <w:color w:val="auto"/>
              </w:rPr>
            </w:pPr>
            <w:r>
              <w:rPr>
                <w:color w:val="auto"/>
              </w:rPr>
              <w:t>最大浓度/(mg/m</w:t>
            </w:r>
            <w:r>
              <w:rPr>
                <w:color w:val="auto"/>
                <w:vertAlign w:val="superscript"/>
              </w:rPr>
              <w:t>3</w:t>
            </w:r>
            <w:r>
              <w:rPr>
                <w:color w:val="auto"/>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1613" w:type="dxa"/>
            <w:vMerge w:val="continue"/>
            <w:noWrap w:val="0"/>
            <w:vAlign w:val="center"/>
          </w:tcPr>
          <w:p>
            <w:pPr>
              <w:pStyle w:val="35"/>
              <w:bidi w:val="0"/>
              <w:rPr>
                <w:color w:val="auto"/>
              </w:rPr>
            </w:pPr>
          </w:p>
        </w:tc>
        <w:tc>
          <w:tcPr>
            <w:tcW w:w="1023" w:type="dxa"/>
            <w:vMerge w:val="continue"/>
            <w:noWrap w:val="0"/>
            <w:vAlign w:val="center"/>
          </w:tcPr>
          <w:p>
            <w:pPr>
              <w:pStyle w:val="35"/>
              <w:bidi w:val="0"/>
              <w:rPr>
                <w:color w:val="auto"/>
              </w:rPr>
            </w:pPr>
          </w:p>
        </w:tc>
        <w:tc>
          <w:tcPr>
            <w:tcW w:w="1845" w:type="dxa"/>
            <w:gridSpan w:val="2"/>
            <w:noWrap w:val="0"/>
            <w:vAlign w:val="center"/>
          </w:tcPr>
          <w:p>
            <w:pPr>
              <w:pStyle w:val="35"/>
              <w:bidi w:val="0"/>
              <w:rPr>
                <w:color w:val="auto"/>
                <w:lang w:eastAsia="zh-CN"/>
              </w:rPr>
            </w:pPr>
            <w:r>
              <w:rPr>
                <w:color w:val="auto"/>
                <w:lang w:eastAsia="zh-CN"/>
              </w:rPr>
              <w:t>东风村</w:t>
            </w:r>
          </w:p>
        </w:tc>
        <w:tc>
          <w:tcPr>
            <w:tcW w:w="1395" w:type="dxa"/>
            <w:gridSpan w:val="2"/>
            <w:noWrap w:val="0"/>
            <w:vAlign w:val="center"/>
          </w:tcPr>
          <w:p>
            <w:pPr>
              <w:pStyle w:val="35"/>
              <w:bidi w:val="0"/>
              <w:rPr>
                <w:color w:val="auto"/>
                <w:lang w:eastAsia="zh-CN"/>
              </w:rPr>
            </w:pPr>
            <w:r>
              <w:rPr>
                <w:color w:val="auto"/>
                <w:lang w:eastAsia="zh-CN"/>
              </w:rPr>
              <w:t>/</w:t>
            </w:r>
          </w:p>
        </w:tc>
        <w:tc>
          <w:tcPr>
            <w:tcW w:w="1560" w:type="dxa"/>
            <w:gridSpan w:val="2"/>
            <w:noWrap w:val="0"/>
            <w:vAlign w:val="center"/>
          </w:tcPr>
          <w:p>
            <w:pPr>
              <w:pStyle w:val="35"/>
              <w:bidi w:val="0"/>
              <w:rPr>
                <w:color w:val="auto"/>
                <w:lang w:eastAsia="zh-CN"/>
              </w:rPr>
            </w:pPr>
            <w:r>
              <w:rPr>
                <w:color w:val="auto"/>
                <w:lang w:eastAsia="zh-CN"/>
              </w:rPr>
              <w:t>/</w:t>
            </w:r>
          </w:p>
        </w:tc>
        <w:tc>
          <w:tcPr>
            <w:tcW w:w="1644" w:type="dxa"/>
            <w:gridSpan w:val="2"/>
            <w:noWrap w:val="0"/>
            <w:vAlign w:val="center"/>
          </w:tcPr>
          <w:p>
            <w:pPr>
              <w:pStyle w:val="35"/>
              <w:bidi w:val="0"/>
              <w:rPr>
                <w:color w:val="auto"/>
                <w:lang w:eastAsia="zh-CN"/>
              </w:rPr>
            </w:pPr>
            <w:r>
              <w:rPr>
                <w:color w:val="auto"/>
              </w:rPr>
              <w:t>6.8130E+01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1613" w:type="dxa"/>
            <w:vMerge w:val="continue"/>
            <w:noWrap w:val="0"/>
            <w:vAlign w:val="center"/>
          </w:tcPr>
          <w:p>
            <w:pPr>
              <w:pStyle w:val="35"/>
              <w:bidi w:val="0"/>
              <w:rPr>
                <w:color w:val="auto"/>
              </w:rPr>
            </w:pPr>
          </w:p>
        </w:tc>
        <w:tc>
          <w:tcPr>
            <w:tcW w:w="1023" w:type="dxa"/>
            <w:vMerge w:val="continue"/>
            <w:noWrap w:val="0"/>
            <w:vAlign w:val="center"/>
          </w:tcPr>
          <w:p>
            <w:pPr>
              <w:pStyle w:val="35"/>
              <w:bidi w:val="0"/>
              <w:rPr>
                <w:color w:val="auto"/>
              </w:rPr>
            </w:pPr>
          </w:p>
        </w:tc>
        <w:tc>
          <w:tcPr>
            <w:tcW w:w="1845" w:type="dxa"/>
            <w:gridSpan w:val="2"/>
            <w:noWrap w:val="0"/>
            <w:vAlign w:val="center"/>
          </w:tcPr>
          <w:p>
            <w:pPr>
              <w:pStyle w:val="35"/>
              <w:bidi w:val="0"/>
              <w:rPr>
                <w:color w:val="auto"/>
              </w:rPr>
            </w:pPr>
            <w:r>
              <w:rPr>
                <w:color w:val="auto"/>
              </w:rPr>
              <w:t>凌泊湖小区</w:t>
            </w:r>
          </w:p>
        </w:tc>
        <w:tc>
          <w:tcPr>
            <w:tcW w:w="1395" w:type="dxa"/>
            <w:gridSpan w:val="2"/>
            <w:noWrap w:val="0"/>
            <w:vAlign w:val="center"/>
          </w:tcPr>
          <w:p>
            <w:pPr>
              <w:pStyle w:val="35"/>
              <w:bidi w:val="0"/>
              <w:rPr>
                <w:color w:val="auto"/>
                <w:lang w:eastAsia="zh-CN"/>
              </w:rPr>
            </w:pPr>
            <w:r>
              <w:rPr>
                <w:color w:val="auto"/>
                <w:lang w:eastAsia="zh-CN"/>
              </w:rPr>
              <w:t>/</w:t>
            </w:r>
          </w:p>
        </w:tc>
        <w:tc>
          <w:tcPr>
            <w:tcW w:w="1560" w:type="dxa"/>
            <w:gridSpan w:val="2"/>
            <w:noWrap w:val="0"/>
            <w:vAlign w:val="center"/>
          </w:tcPr>
          <w:p>
            <w:pPr>
              <w:pStyle w:val="35"/>
              <w:bidi w:val="0"/>
              <w:rPr>
                <w:color w:val="auto"/>
                <w:lang w:eastAsia="zh-CN"/>
              </w:rPr>
            </w:pPr>
            <w:r>
              <w:rPr>
                <w:color w:val="auto"/>
                <w:lang w:eastAsia="zh-CN"/>
              </w:rPr>
              <w:t>/</w:t>
            </w:r>
          </w:p>
        </w:tc>
        <w:tc>
          <w:tcPr>
            <w:tcW w:w="1644" w:type="dxa"/>
            <w:gridSpan w:val="2"/>
            <w:noWrap w:val="0"/>
            <w:vAlign w:val="center"/>
          </w:tcPr>
          <w:p>
            <w:pPr>
              <w:pStyle w:val="35"/>
              <w:bidi w:val="0"/>
              <w:rPr>
                <w:color w:val="auto"/>
              </w:rPr>
            </w:pPr>
            <w:r>
              <w:rPr>
                <w:color w:val="auto"/>
              </w:rPr>
              <w:t>2.1364E+01</w:t>
            </w:r>
          </w:p>
        </w:tc>
      </w:tr>
      <w:tr>
        <w:trPr>
          <w:trHeight w:val="340" w:hRule="atLeast"/>
        </w:trPr>
        <w:tc>
          <w:tcPr>
            <w:tcW w:w="1613" w:type="dxa"/>
            <w:vMerge w:val="continue"/>
            <w:noWrap w:val="0"/>
            <w:vAlign w:val="center"/>
          </w:tcPr>
          <w:p>
            <w:pPr>
              <w:pStyle w:val="35"/>
              <w:bidi w:val="0"/>
              <w:rPr>
                <w:color w:val="auto"/>
              </w:rPr>
            </w:pPr>
          </w:p>
        </w:tc>
        <w:tc>
          <w:tcPr>
            <w:tcW w:w="1023" w:type="dxa"/>
            <w:vMerge w:val="continue"/>
            <w:noWrap w:val="0"/>
            <w:vAlign w:val="center"/>
          </w:tcPr>
          <w:p>
            <w:pPr>
              <w:pStyle w:val="35"/>
              <w:bidi w:val="0"/>
              <w:rPr>
                <w:color w:val="auto"/>
              </w:rPr>
            </w:pPr>
          </w:p>
        </w:tc>
        <w:tc>
          <w:tcPr>
            <w:tcW w:w="1845" w:type="dxa"/>
            <w:gridSpan w:val="2"/>
            <w:noWrap w:val="0"/>
            <w:vAlign w:val="center"/>
          </w:tcPr>
          <w:p>
            <w:pPr>
              <w:pStyle w:val="35"/>
              <w:bidi w:val="0"/>
              <w:rPr>
                <w:color w:val="auto"/>
              </w:rPr>
            </w:pPr>
            <w:r>
              <w:rPr>
                <w:color w:val="auto"/>
              </w:rPr>
              <w:t>滨湖村</w:t>
            </w:r>
          </w:p>
        </w:tc>
        <w:tc>
          <w:tcPr>
            <w:tcW w:w="1395" w:type="dxa"/>
            <w:gridSpan w:val="2"/>
            <w:noWrap w:val="0"/>
            <w:vAlign w:val="center"/>
          </w:tcPr>
          <w:p>
            <w:pPr>
              <w:pStyle w:val="35"/>
              <w:bidi w:val="0"/>
              <w:rPr>
                <w:color w:val="auto"/>
                <w:lang w:eastAsia="zh-CN"/>
              </w:rPr>
            </w:pPr>
            <w:r>
              <w:rPr>
                <w:color w:val="auto"/>
                <w:lang w:eastAsia="zh-CN"/>
              </w:rPr>
              <w:t>/</w:t>
            </w:r>
          </w:p>
        </w:tc>
        <w:tc>
          <w:tcPr>
            <w:tcW w:w="1560" w:type="dxa"/>
            <w:gridSpan w:val="2"/>
            <w:noWrap w:val="0"/>
            <w:vAlign w:val="center"/>
          </w:tcPr>
          <w:p>
            <w:pPr>
              <w:pStyle w:val="35"/>
              <w:bidi w:val="0"/>
              <w:rPr>
                <w:color w:val="auto"/>
                <w:lang w:eastAsia="zh-CN"/>
              </w:rPr>
            </w:pPr>
            <w:r>
              <w:rPr>
                <w:color w:val="auto"/>
                <w:lang w:eastAsia="zh-CN"/>
              </w:rPr>
              <w:t>/</w:t>
            </w:r>
          </w:p>
        </w:tc>
        <w:tc>
          <w:tcPr>
            <w:tcW w:w="1644" w:type="dxa"/>
            <w:gridSpan w:val="2"/>
            <w:noWrap w:val="0"/>
            <w:vAlign w:val="center"/>
          </w:tcPr>
          <w:p>
            <w:pPr>
              <w:pStyle w:val="35"/>
              <w:bidi w:val="0"/>
              <w:rPr>
                <w:color w:val="auto"/>
              </w:rPr>
            </w:pPr>
            <w:r>
              <w:rPr>
                <w:color w:val="auto"/>
              </w:rPr>
              <w:t>2.5825E+01</w:t>
            </w:r>
          </w:p>
        </w:tc>
      </w:tr>
      <w:tr>
        <w:trPr>
          <w:trHeight w:val="340" w:hRule="atLeast"/>
        </w:trPr>
        <w:tc>
          <w:tcPr>
            <w:tcW w:w="1613" w:type="dxa"/>
            <w:vMerge w:val="continue"/>
            <w:noWrap w:val="0"/>
            <w:vAlign w:val="center"/>
          </w:tcPr>
          <w:p>
            <w:pPr>
              <w:pStyle w:val="35"/>
              <w:bidi w:val="0"/>
              <w:rPr>
                <w:color w:val="auto"/>
              </w:rPr>
            </w:pPr>
          </w:p>
        </w:tc>
        <w:tc>
          <w:tcPr>
            <w:tcW w:w="1023" w:type="dxa"/>
            <w:vMerge w:val="continue"/>
            <w:noWrap w:val="0"/>
            <w:vAlign w:val="center"/>
          </w:tcPr>
          <w:p>
            <w:pPr>
              <w:pStyle w:val="35"/>
              <w:bidi w:val="0"/>
              <w:rPr>
                <w:color w:val="auto"/>
              </w:rPr>
            </w:pPr>
          </w:p>
        </w:tc>
        <w:tc>
          <w:tcPr>
            <w:tcW w:w="1845" w:type="dxa"/>
            <w:gridSpan w:val="2"/>
            <w:noWrap w:val="0"/>
            <w:vAlign w:val="center"/>
          </w:tcPr>
          <w:p>
            <w:pPr>
              <w:pStyle w:val="35"/>
              <w:bidi w:val="0"/>
              <w:rPr>
                <w:color w:val="auto"/>
              </w:rPr>
            </w:pPr>
            <w:r>
              <w:rPr>
                <w:color w:val="auto"/>
              </w:rPr>
              <w:t>滨湖小学</w:t>
            </w:r>
          </w:p>
        </w:tc>
        <w:tc>
          <w:tcPr>
            <w:tcW w:w="1395" w:type="dxa"/>
            <w:gridSpan w:val="2"/>
            <w:noWrap w:val="0"/>
            <w:vAlign w:val="center"/>
          </w:tcPr>
          <w:p>
            <w:pPr>
              <w:pStyle w:val="35"/>
              <w:bidi w:val="0"/>
              <w:rPr>
                <w:color w:val="auto"/>
                <w:lang w:eastAsia="zh-CN"/>
              </w:rPr>
            </w:pPr>
            <w:r>
              <w:rPr>
                <w:color w:val="auto"/>
                <w:lang w:eastAsia="zh-CN"/>
              </w:rPr>
              <w:t>/</w:t>
            </w:r>
          </w:p>
        </w:tc>
        <w:tc>
          <w:tcPr>
            <w:tcW w:w="1560" w:type="dxa"/>
            <w:gridSpan w:val="2"/>
            <w:noWrap w:val="0"/>
            <w:vAlign w:val="center"/>
          </w:tcPr>
          <w:p>
            <w:pPr>
              <w:pStyle w:val="35"/>
              <w:bidi w:val="0"/>
              <w:rPr>
                <w:color w:val="auto"/>
                <w:lang w:eastAsia="zh-CN"/>
              </w:rPr>
            </w:pPr>
            <w:r>
              <w:rPr>
                <w:color w:val="auto"/>
                <w:lang w:eastAsia="zh-CN"/>
              </w:rPr>
              <w:t>/</w:t>
            </w:r>
          </w:p>
        </w:tc>
        <w:tc>
          <w:tcPr>
            <w:tcW w:w="1644" w:type="dxa"/>
            <w:gridSpan w:val="2"/>
            <w:noWrap w:val="0"/>
            <w:vAlign w:val="center"/>
          </w:tcPr>
          <w:p>
            <w:pPr>
              <w:pStyle w:val="35"/>
              <w:bidi w:val="0"/>
              <w:rPr>
                <w:color w:val="auto"/>
              </w:rPr>
            </w:pPr>
            <w:r>
              <w:rPr>
                <w:color w:val="auto"/>
              </w:rPr>
              <w:t>2.5425E+01</w:t>
            </w:r>
          </w:p>
        </w:tc>
      </w:tr>
    </w:tbl>
    <w:p>
      <w:pPr>
        <w:pStyle w:val="33"/>
        <w:bidi w:val="0"/>
        <w:rPr>
          <w:color w:val="auto"/>
        </w:rPr>
      </w:pPr>
      <w:r>
        <w:rPr>
          <w:color w:val="auto"/>
        </w:rPr>
        <w:t>根据本项目预测结果，当</w:t>
      </w:r>
      <w:r>
        <w:rPr>
          <w:rFonts w:hint="eastAsia"/>
          <w:color w:val="auto"/>
          <w:lang w:val="en-US" w:eastAsia="zh-CN"/>
        </w:rPr>
        <w:t>醋酸甲酯</w:t>
      </w:r>
      <w:r>
        <w:rPr>
          <w:color w:val="auto"/>
        </w:rPr>
        <w:t>储罐储罐发生火灾爆炸伴生CO时，</w:t>
      </w:r>
      <w:r>
        <w:rPr>
          <w:rFonts w:hint="eastAsia"/>
          <w:color w:val="auto"/>
        </w:rPr>
        <w:t>在不利气象条件</w:t>
      </w:r>
      <w:r>
        <w:rPr>
          <w:color w:val="auto"/>
        </w:rPr>
        <w:t>对下风向下方向关心点东风村、凌泊湖小区、滨湖村、滨湖小学会产生一定影响，但均不超过大气毒性终点浓度-1（</w:t>
      </w:r>
      <w:r>
        <w:rPr>
          <w:rFonts w:hint="eastAsia"/>
          <w:color w:val="auto"/>
        </w:rPr>
        <w:t>380</w:t>
      </w:r>
      <w:r>
        <w:rPr>
          <w:color w:val="auto"/>
        </w:rPr>
        <w:t>mg/m</w:t>
      </w:r>
      <w:r>
        <w:rPr>
          <w:color w:val="auto"/>
          <w:vertAlign w:val="superscript"/>
        </w:rPr>
        <w:t>3</w:t>
      </w:r>
      <w:r>
        <w:rPr>
          <w:color w:val="auto"/>
        </w:rPr>
        <w:t>）和大气毒性终点浓度-2（</w:t>
      </w:r>
      <w:r>
        <w:rPr>
          <w:rFonts w:hint="eastAsia"/>
          <w:color w:val="auto"/>
        </w:rPr>
        <w:t>95</w:t>
      </w:r>
      <w:r>
        <w:rPr>
          <w:color w:val="auto"/>
        </w:rPr>
        <w:t>mg/m</w:t>
      </w:r>
      <w:r>
        <w:rPr>
          <w:color w:val="auto"/>
          <w:vertAlign w:val="superscript"/>
        </w:rPr>
        <w:t>3</w:t>
      </w:r>
      <w:r>
        <w:rPr>
          <w:color w:val="auto"/>
        </w:rPr>
        <w:t>）。企业应在日常加强风险防范措施及应急预案。</w:t>
      </w:r>
    </w:p>
    <w:p>
      <w:pPr>
        <w:pStyle w:val="32"/>
        <w:bidi w:val="0"/>
        <w:rPr>
          <w:color w:val="auto"/>
        </w:rPr>
      </w:pPr>
      <w:r>
        <w:rPr>
          <w:rFonts w:hint="eastAsia"/>
          <w:color w:val="auto"/>
          <w:lang w:val="en-US" w:eastAsia="zh-CN"/>
        </w:rPr>
        <w:t>9</w:t>
      </w:r>
      <w:r>
        <w:rPr>
          <w:color w:val="auto"/>
        </w:rPr>
        <w:t>.6.2地表水环境风险影响分析</w:t>
      </w:r>
    </w:p>
    <w:p>
      <w:pPr>
        <w:pStyle w:val="33"/>
        <w:bidi w:val="0"/>
        <w:rPr>
          <w:color w:val="auto"/>
        </w:rPr>
      </w:pPr>
      <w:r>
        <w:rPr>
          <w:color w:val="auto"/>
        </w:rPr>
        <w:t>根据项目性质，项目运营期间可能发生火灾事故，事故处理过程的涉及消防废水的收集、回收处理处置。为保证本项目废水不会发生外泄流入附近地表水体而造成污染，不会因不稳定达标排放或未经处理排放对附近水体造成冲击。建设单位应设有事故水池，一方面可以接收消防废水与泄露物料的收集要求；一方面在污水处理系统发生故障时，保证其有充分的容量接纳生产线排放的废水，直至生产线停机，确保没有废水出现直排现象。</w:t>
      </w:r>
    </w:p>
    <w:p>
      <w:pPr>
        <w:pStyle w:val="33"/>
        <w:bidi w:val="0"/>
        <w:rPr>
          <w:color w:val="auto"/>
        </w:rPr>
      </w:pPr>
      <w:r>
        <w:rPr>
          <w:color w:val="auto"/>
        </w:rPr>
        <w:t>根据《水体污染防控紧急措施设计导则》中对事故应急池大小的规定：</w:t>
      </w:r>
    </w:p>
    <w:p>
      <w:pPr>
        <w:pStyle w:val="33"/>
        <w:bidi w:val="0"/>
        <w:rPr>
          <w:color w:val="auto"/>
        </w:rPr>
      </w:pPr>
      <w:r>
        <w:rPr>
          <w:rFonts w:ascii="Times New Roman" w:hAnsi="Times New Roman"/>
          <w:color w:val="auto"/>
          <w:u w:val="single"/>
        </w:rPr>
        <w:object>
          <v:shape id="_x0000_i1044" o:spt="75" type="#_x0000_t75" style="height:18.25pt;width:153.65pt;" o:ole="t" filled="f" o:preferrelative="t" stroked="f" coordsize="21600,21600">
            <v:path/>
            <v:fill on="f" focussize="0,0"/>
            <v:stroke on="f"/>
            <v:imagedata r:id="rId84" o:title=""/>
            <o:lock v:ext="edit" aspectratio="t"/>
            <w10:wrap type="none"/>
            <w10:anchorlock/>
          </v:shape>
          <o:OLEObject Type="Embed" ProgID="Equation.3" ShapeID="_x0000_i1044" DrawAspect="Content" ObjectID="_1468075744" r:id="rId83">
            <o:LockedField>false</o:LockedField>
          </o:OLEObject>
        </w:object>
      </w:r>
    </w:p>
    <w:p>
      <w:pPr>
        <w:pStyle w:val="33"/>
        <w:bidi w:val="0"/>
        <w:rPr>
          <w:color w:val="auto"/>
        </w:rPr>
      </w:pPr>
      <w:r>
        <w:rPr>
          <w:color w:val="auto"/>
        </w:rPr>
        <w:t>式中：</w:t>
      </w:r>
    </w:p>
    <w:p>
      <w:pPr>
        <w:pStyle w:val="33"/>
        <w:bidi w:val="0"/>
        <w:rPr>
          <w:color w:val="auto"/>
        </w:rPr>
      </w:pPr>
      <w:r>
        <w:rPr>
          <w:rFonts w:ascii="Times New Roman" w:hAnsi="Times New Roman"/>
          <w:color w:val="auto"/>
          <w:u w:val="single"/>
        </w:rPr>
        <w:object>
          <v:shape id="_x0000_i1045" o:spt="75" type="#_x0000_t75" style="height:16.1pt;width:12.9pt;" o:ole="t" filled="f" o:preferrelative="t" stroked="f" coordsize="21600,21600">
            <v:path/>
            <v:fill on="f" focussize="0,0"/>
            <v:stroke on="f"/>
            <v:imagedata r:id="rId86" o:title=""/>
            <o:lock v:ext="edit" aspectratio="t"/>
            <w10:wrap type="none"/>
            <w10:anchorlock/>
          </v:shape>
          <o:OLEObject Type="Embed" ProgID="Equation.3" ShapeID="_x0000_i1045" DrawAspect="Content" ObjectID="_1468075745" r:id="rId85">
            <o:LockedField>false</o:LockedField>
          </o:OLEObject>
        </w:object>
      </w:r>
      <w:r>
        <w:rPr>
          <w:color w:val="auto"/>
        </w:rPr>
        <w:t>——收集系统范围内发生事故的一个罐组或一套装置的物料量，（储存相同物料的罐组按一个最大储罐计，装置物料量按存留最大物料量的一台反应器或中间储罐计），m3；</w:t>
      </w:r>
    </w:p>
    <w:p>
      <w:pPr>
        <w:pStyle w:val="33"/>
        <w:bidi w:val="0"/>
        <w:rPr>
          <w:color w:val="auto"/>
        </w:rPr>
      </w:pPr>
      <w:r>
        <w:rPr>
          <w:rFonts w:ascii="Times New Roman" w:hAnsi="Times New Roman"/>
          <w:color w:val="auto"/>
          <w:u w:val="single"/>
        </w:rPr>
        <w:object>
          <v:shape id="_x0000_i1046" o:spt="75" type="#_x0000_t75" style="height:16.1pt;width:12.9pt;" o:ole="t" filled="f" o:preferrelative="t" stroked="f" coordsize="21600,21600">
            <v:path/>
            <v:fill on="f" focussize="0,0"/>
            <v:stroke on="f"/>
            <v:imagedata r:id="rId88" o:title=""/>
            <o:lock v:ext="edit" aspectratio="t"/>
            <w10:wrap type="none"/>
            <w10:anchorlock/>
          </v:shape>
          <o:OLEObject Type="Embed" ProgID="Equation.3" ShapeID="_x0000_i1046" DrawAspect="Content" ObjectID="_1468075746" r:id="rId87">
            <o:LockedField>false</o:LockedField>
          </o:OLEObject>
        </w:object>
      </w:r>
      <w:r>
        <w:rPr>
          <w:color w:val="auto"/>
        </w:rPr>
        <w:t>——发生事故的建筑物的消防水量，m</w:t>
      </w:r>
      <w:r>
        <w:rPr>
          <w:color w:val="auto"/>
          <w:vertAlign w:val="superscript"/>
        </w:rPr>
        <w:t>3</w:t>
      </w:r>
      <w:r>
        <w:rPr>
          <w:color w:val="auto"/>
        </w:rPr>
        <w:t>；</w:t>
      </w:r>
    </w:p>
    <w:p>
      <w:pPr>
        <w:pStyle w:val="33"/>
        <w:bidi w:val="0"/>
        <w:rPr>
          <w:color w:val="auto"/>
        </w:rPr>
      </w:pPr>
      <w:r>
        <w:rPr>
          <w:rFonts w:ascii="Times New Roman" w:hAnsi="Times New Roman"/>
          <w:color w:val="auto"/>
          <w:u w:val="single"/>
        </w:rPr>
        <w:object>
          <v:shape id="_x0000_i1047" o:spt="75" type="#_x0000_t75" style="height:18.25pt;width:12.9pt;" o:ole="t" filled="f" o:preferrelative="t" stroked="f" coordsize="21600,21600">
            <v:path/>
            <v:fill on="f" focussize="0,0"/>
            <v:stroke on="f"/>
            <v:imagedata r:id="rId90" o:title=""/>
            <o:lock v:ext="edit" aspectratio="t"/>
            <w10:wrap type="none"/>
            <w10:anchorlock/>
          </v:shape>
          <o:OLEObject Type="Embed" ProgID="Equation.3" ShapeID="_x0000_i1047" DrawAspect="Content" ObjectID="_1468075747" r:id="rId89">
            <o:LockedField>false</o:LockedField>
          </o:OLEObject>
        </w:object>
      </w:r>
      <w:r>
        <w:rPr>
          <w:color w:val="auto"/>
        </w:rPr>
        <w:t>——发生事故时可以转输到其他储存或处理设施的物料量，m</w:t>
      </w:r>
      <w:r>
        <w:rPr>
          <w:color w:val="auto"/>
          <w:vertAlign w:val="superscript"/>
        </w:rPr>
        <w:t>3</w:t>
      </w:r>
      <w:r>
        <w:rPr>
          <w:color w:val="auto"/>
        </w:rPr>
        <w:t>；</w:t>
      </w:r>
    </w:p>
    <w:p>
      <w:pPr>
        <w:pStyle w:val="33"/>
        <w:bidi w:val="0"/>
        <w:rPr>
          <w:color w:val="auto"/>
        </w:rPr>
      </w:pPr>
      <w:r>
        <w:rPr>
          <w:rFonts w:ascii="Times New Roman" w:hAnsi="Times New Roman"/>
          <w:color w:val="auto"/>
          <w:u w:val="single"/>
        </w:rPr>
        <w:object>
          <v:shape id="_x0000_i1048" o:spt="75" type="#_x0000_t75" style="height:16.1pt;width:12.9pt;" o:ole="t" filled="f" o:preferrelative="t" stroked="f" coordsize="21600,21600">
            <v:path/>
            <v:fill on="f" focussize="0,0"/>
            <v:stroke on="f"/>
            <v:imagedata r:id="rId92" o:title=""/>
            <o:lock v:ext="edit" aspectratio="t"/>
            <w10:wrap type="none"/>
            <w10:anchorlock/>
          </v:shape>
          <o:OLEObject Type="Embed" ProgID="Equation.3" ShapeID="_x0000_i1048" DrawAspect="Content" ObjectID="_1468075748" r:id="rId91">
            <o:LockedField>false</o:LockedField>
          </o:OLEObject>
        </w:object>
      </w:r>
      <w:r>
        <w:rPr>
          <w:color w:val="auto"/>
        </w:rPr>
        <w:t>——发生事故时仍必须进入该收集系统的生产废水量，m</w:t>
      </w:r>
      <w:r>
        <w:rPr>
          <w:color w:val="auto"/>
          <w:vertAlign w:val="superscript"/>
        </w:rPr>
        <w:t>3</w:t>
      </w:r>
      <w:r>
        <w:rPr>
          <w:color w:val="auto"/>
        </w:rPr>
        <w:t>；</w:t>
      </w:r>
    </w:p>
    <w:p>
      <w:pPr>
        <w:pStyle w:val="33"/>
        <w:bidi w:val="0"/>
        <w:rPr>
          <w:color w:val="auto"/>
        </w:rPr>
      </w:pPr>
      <w:r>
        <w:rPr>
          <w:rFonts w:ascii="Times New Roman" w:hAnsi="Times New Roman"/>
          <w:color w:val="auto"/>
          <w:u w:val="single"/>
        </w:rPr>
        <w:object>
          <v:shape id="_x0000_i1049" o:spt="75" type="#_x0000_t75" style="height:18.25pt;width:12.9pt;" o:ole="t" filled="f" o:preferrelative="t" stroked="f" coordsize="21600,21600">
            <v:path/>
            <v:fill on="f" focussize="0,0"/>
            <v:stroke on="f"/>
            <v:imagedata r:id="rId94" o:title=""/>
            <o:lock v:ext="edit" aspectratio="t"/>
            <w10:wrap type="none"/>
            <w10:anchorlock/>
          </v:shape>
          <o:OLEObject Type="Embed" ProgID="Equation.3" ShapeID="_x0000_i1049" DrawAspect="Content" ObjectID="_1468075749" r:id="rId93">
            <o:LockedField>false</o:LockedField>
          </o:OLEObject>
        </w:object>
      </w:r>
      <w:r>
        <w:rPr>
          <w:color w:val="auto"/>
        </w:rPr>
        <w:t>——发生事故时可能进入该收集系统的降雨量，m</w:t>
      </w:r>
      <w:r>
        <w:rPr>
          <w:color w:val="auto"/>
          <w:vertAlign w:val="superscript"/>
        </w:rPr>
        <w:t>3</w:t>
      </w:r>
      <w:r>
        <w:rPr>
          <w:color w:val="auto"/>
        </w:rPr>
        <w:t>。</w:t>
      </w:r>
    </w:p>
    <w:p>
      <w:pPr>
        <w:pStyle w:val="33"/>
        <w:bidi w:val="0"/>
        <w:rPr>
          <w:color w:val="auto"/>
        </w:rPr>
      </w:pPr>
      <w:r>
        <w:rPr>
          <w:color w:val="auto"/>
        </w:rPr>
        <w:t>鉴于项目储罐区设置围堰，泄漏时物料可在围堰内收集。因此项目事故池的建设不考虑物料泄漏量V</w:t>
      </w:r>
      <w:r>
        <w:rPr>
          <w:color w:val="auto"/>
          <w:vertAlign w:val="subscript"/>
        </w:rPr>
        <w:t>1</w:t>
      </w:r>
      <w:r>
        <w:rPr>
          <w:color w:val="auto"/>
        </w:rPr>
        <w:t>、V</w:t>
      </w:r>
      <w:r>
        <w:rPr>
          <w:color w:val="auto"/>
          <w:vertAlign w:val="subscript"/>
        </w:rPr>
        <w:t>3</w:t>
      </w:r>
      <w:r>
        <w:rPr>
          <w:color w:val="auto"/>
        </w:rPr>
        <w:t>。本项目建筑物室内、外消火栓设计流量取30L/s，火灾延续时间按1h计，则消防水量V</w:t>
      </w:r>
      <w:r>
        <w:rPr>
          <w:color w:val="auto"/>
          <w:vertAlign w:val="subscript"/>
        </w:rPr>
        <w:t>2</w:t>
      </w:r>
      <w:r>
        <w:rPr>
          <w:color w:val="auto"/>
        </w:rPr>
        <w:t>=60L/s×3600×1h÷1000=216m</w:t>
      </w:r>
      <w:r>
        <w:rPr>
          <w:color w:val="auto"/>
          <w:vertAlign w:val="superscript"/>
        </w:rPr>
        <w:t>3</w:t>
      </w:r>
      <w:r>
        <w:rPr>
          <w:color w:val="auto"/>
        </w:rPr>
        <w:t>；项目进入污水处理站的废水产生量为</w:t>
      </w:r>
      <w:r>
        <w:rPr>
          <w:rFonts w:hint="eastAsia"/>
          <w:color w:val="auto"/>
          <w:lang w:val="en-US" w:eastAsia="zh-CN"/>
        </w:rPr>
        <w:t>34.71</w:t>
      </w:r>
      <w:r>
        <w:rPr>
          <w:color w:val="auto"/>
        </w:rPr>
        <w:t>m</w:t>
      </w:r>
      <w:r>
        <w:rPr>
          <w:color w:val="auto"/>
          <w:vertAlign w:val="superscript"/>
        </w:rPr>
        <w:t>3</w:t>
      </w:r>
      <w:r>
        <w:rPr>
          <w:color w:val="auto"/>
        </w:rPr>
        <w:t>/a，故V</w:t>
      </w:r>
      <w:r>
        <w:rPr>
          <w:color w:val="auto"/>
          <w:vertAlign w:val="subscript"/>
        </w:rPr>
        <w:t>4</w:t>
      </w:r>
      <w:r>
        <w:rPr>
          <w:color w:val="auto"/>
        </w:rPr>
        <w:t>=</w:t>
      </w:r>
      <w:r>
        <w:rPr>
          <w:rFonts w:hint="eastAsia"/>
          <w:color w:val="auto"/>
          <w:lang w:val="en-US" w:eastAsia="zh-CN"/>
        </w:rPr>
        <w:t>34.71</w:t>
      </w:r>
      <w:r>
        <w:rPr>
          <w:color w:val="auto"/>
        </w:rPr>
        <w:t>m³/d；发生事故时可能进入该收集系统的降雨量=事故时间×降雨强度，根据岳阳市云溪地区的年平均降水量1380.6mm，年平均降水天数140天，本项目厂内总用地面积总面积约</w:t>
      </w:r>
      <w:r>
        <w:rPr>
          <w:rFonts w:hint="eastAsia"/>
          <w:color w:val="auto"/>
        </w:rPr>
        <w:t>17048.38</w:t>
      </w:r>
      <w:r>
        <w:rPr>
          <w:color w:val="auto"/>
        </w:rPr>
        <w:t>m</w:t>
      </w:r>
      <w:r>
        <w:rPr>
          <w:color w:val="auto"/>
          <w:vertAlign w:val="superscript"/>
        </w:rPr>
        <w:t>2</w:t>
      </w:r>
      <w:r>
        <w:rPr>
          <w:color w:val="auto"/>
        </w:rPr>
        <w:t>，事故时间按2小时计算，则</w:t>
      </w:r>
      <w:r>
        <w:rPr>
          <w:rFonts w:ascii="Times New Roman" w:hAnsi="Times New Roman"/>
          <w:color w:val="auto"/>
          <w:u w:val="single"/>
        </w:rPr>
        <w:object>
          <v:shape id="_x0000_i1050" o:spt="75" type="#_x0000_t75" style="height:18.25pt;width:12.9pt;" o:ole="t" filled="f" o:preferrelative="t" stroked="f" coordsize="21600,21600">
            <v:path/>
            <v:fill on="f" focussize="0,0"/>
            <v:stroke on="f"/>
            <v:imagedata r:id="rId94" o:title=""/>
            <o:lock v:ext="edit" aspectratio="t"/>
            <w10:wrap type="none"/>
            <w10:anchorlock/>
          </v:shape>
          <o:OLEObject Type="Embed" ProgID="Visio.Drawing.11" ShapeID="_x0000_i1050" DrawAspect="Content" ObjectID="_1468075750" r:id="rId95">
            <o:LockedField>false</o:LockedField>
          </o:OLEObject>
        </w:object>
      </w:r>
      <w:r>
        <w:rPr>
          <w:color w:val="auto"/>
        </w:rPr>
        <w:t>=1380.6/140/24×2×</w:t>
      </w:r>
      <w:r>
        <w:rPr>
          <w:rFonts w:hint="eastAsia"/>
          <w:color w:val="auto"/>
        </w:rPr>
        <w:t>17048.38</w:t>
      </w:r>
      <w:r>
        <w:rPr>
          <w:color w:val="auto"/>
        </w:rPr>
        <w:t>/1000=</w:t>
      </w:r>
      <w:r>
        <w:rPr>
          <w:rFonts w:hint="eastAsia"/>
          <w:color w:val="auto"/>
          <w:lang w:val="en-US" w:eastAsia="zh-CN"/>
        </w:rPr>
        <w:t>14.01</w:t>
      </w:r>
      <w:r>
        <w:rPr>
          <w:color w:val="auto"/>
        </w:rPr>
        <w:t>m</w:t>
      </w:r>
      <w:r>
        <w:rPr>
          <w:color w:val="auto"/>
          <w:vertAlign w:val="superscript"/>
        </w:rPr>
        <w:t>3</w:t>
      </w:r>
      <w:r>
        <w:rPr>
          <w:color w:val="auto"/>
        </w:rPr>
        <w:t>；</w:t>
      </w:r>
    </w:p>
    <w:p>
      <w:pPr>
        <w:pStyle w:val="33"/>
        <w:bidi w:val="0"/>
        <w:rPr>
          <w:color w:val="auto"/>
          <w:u w:val="none"/>
        </w:rPr>
      </w:pPr>
      <w:r>
        <w:rPr>
          <w:color w:val="auto"/>
          <w:u w:val="none"/>
        </w:rPr>
        <w:t>则可得</w:t>
      </w:r>
      <w:r>
        <w:rPr>
          <w:rFonts w:ascii="Times New Roman" w:hAnsi="Times New Roman"/>
          <w:color w:val="auto"/>
          <w:u w:val="none"/>
        </w:rPr>
        <w:object>
          <v:shape id="_x0000_i1051" o:spt="75" type="#_x0000_t75" style="height:18.25pt;width:153.65pt;" o:ole="t" filled="f" o:preferrelative="t" stroked="f" coordsize="21600,21600">
            <v:path/>
            <v:fill on="f" focussize="0,0"/>
            <v:stroke on="f"/>
            <v:imagedata r:id="rId84" o:title=""/>
            <o:lock v:ext="edit" aspectratio="t"/>
            <w10:wrap type="none"/>
            <w10:anchorlock/>
          </v:shape>
          <o:OLEObject Type="Embed" ProgID="Equation.3" ShapeID="_x0000_i1051" DrawAspect="Content" ObjectID="_1468075751" r:id="rId96">
            <o:LockedField>false</o:LockedField>
          </o:OLEObject>
        </w:object>
      </w:r>
      <w:r>
        <w:rPr>
          <w:color w:val="auto"/>
          <w:u w:val="none"/>
        </w:rPr>
        <w:t>=（0+216-0）+</w:t>
      </w:r>
      <w:r>
        <w:rPr>
          <w:rFonts w:hint="eastAsia"/>
          <w:color w:val="auto"/>
          <w:u w:val="none"/>
          <w:lang w:val="en-US" w:eastAsia="zh-CN"/>
        </w:rPr>
        <w:t>34.71</w:t>
      </w:r>
      <w:r>
        <w:rPr>
          <w:color w:val="auto"/>
          <w:u w:val="none"/>
        </w:rPr>
        <w:t>+</w:t>
      </w:r>
      <w:r>
        <w:rPr>
          <w:rFonts w:hint="eastAsia"/>
          <w:color w:val="auto"/>
          <w:u w:val="none"/>
          <w:lang w:val="en-US" w:eastAsia="zh-CN"/>
        </w:rPr>
        <w:t>14.01</w:t>
      </w:r>
      <w:r>
        <w:rPr>
          <w:color w:val="auto"/>
          <w:u w:val="none"/>
        </w:rPr>
        <w:t>=</w:t>
      </w:r>
      <w:r>
        <w:rPr>
          <w:rFonts w:hint="eastAsia"/>
          <w:color w:val="auto"/>
          <w:u w:val="none"/>
          <w:lang w:val="en-US" w:eastAsia="zh-CN"/>
        </w:rPr>
        <w:t>264.73</w:t>
      </w:r>
      <w:r>
        <w:rPr>
          <w:color w:val="auto"/>
          <w:u w:val="none"/>
        </w:rPr>
        <w:t>m</w:t>
      </w:r>
      <w:r>
        <w:rPr>
          <w:color w:val="auto"/>
          <w:u w:val="none"/>
          <w:vertAlign w:val="superscript"/>
        </w:rPr>
        <w:t>3</w:t>
      </w:r>
      <w:r>
        <w:rPr>
          <w:color w:val="auto"/>
          <w:u w:val="none"/>
        </w:rPr>
        <w:t>。</w:t>
      </w:r>
    </w:p>
    <w:p>
      <w:pPr>
        <w:pStyle w:val="33"/>
        <w:bidi w:val="0"/>
        <w:rPr>
          <w:color w:val="auto"/>
        </w:rPr>
      </w:pPr>
      <w:r>
        <w:rPr>
          <w:color w:val="auto"/>
        </w:rPr>
        <w:t>为此，建设单位拟在厂区内设置一个容积</w:t>
      </w:r>
      <w:r>
        <w:rPr>
          <w:rFonts w:hint="eastAsia"/>
          <w:color w:val="auto"/>
          <w:lang w:val="en-US" w:eastAsia="zh-CN"/>
        </w:rPr>
        <w:t>450</w:t>
      </w:r>
      <w:r>
        <w:rPr>
          <w:color w:val="auto"/>
        </w:rPr>
        <w:t>m</w:t>
      </w:r>
      <w:r>
        <w:rPr>
          <w:color w:val="auto"/>
          <w:vertAlign w:val="superscript"/>
        </w:rPr>
        <w:t>3</w:t>
      </w:r>
      <w:r>
        <w:rPr>
          <w:color w:val="auto"/>
        </w:rPr>
        <w:t>的事故水池，设置的事故水池容积满足要求。发生事故时将厂区雨水管网和市政雨水管网之间的隔断阀门关闭，废水通过收集管网进入事故应急废水池，在发生事故时可以在最短时间内将废液与废水排入事故应急废水池中，将消防废水控制在厂区范围内，使其对周边环境和人群的危害降至最低。</w:t>
      </w:r>
    </w:p>
    <w:p>
      <w:pPr>
        <w:pStyle w:val="32"/>
        <w:bidi w:val="0"/>
        <w:rPr>
          <w:color w:val="auto"/>
        </w:rPr>
      </w:pPr>
      <w:r>
        <w:rPr>
          <w:rFonts w:hint="eastAsia"/>
          <w:color w:val="auto"/>
          <w:lang w:val="en-US" w:eastAsia="zh-CN"/>
        </w:rPr>
        <w:t>9</w:t>
      </w:r>
      <w:r>
        <w:rPr>
          <w:color w:val="auto"/>
        </w:rPr>
        <w:t>.6.3地下水环境风险影响分析</w:t>
      </w:r>
    </w:p>
    <w:p>
      <w:pPr>
        <w:pStyle w:val="33"/>
        <w:bidi w:val="0"/>
        <w:rPr>
          <w:color w:val="auto"/>
        </w:rPr>
      </w:pPr>
      <w:r>
        <w:rPr>
          <w:color w:val="auto"/>
        </w:rPr>
        <w:t>本项目储罐出现泄漏，泄漏物料未超过围堰最大容积，泄漏物料均可由围堰进行围挡；本项目储罐区、危险废物暂存间、污水处理站等其渗透性能应不低于6m厚渗透系数为1.0×10-7cm/s的黏土层防渗性能，采用2mm</w:t>
      </w:r>
      <w:r>
        <w:rPr>
          <w:rFonts w:hint="eastAsia"/>
          <w:color w:val="auto"/>
        </w:rPr>
        <w:t>厚</w:t>
      </w:r>
      <w:r>
        <w:rPr>
          <w:color w:val="auto"/>
        </w:rPr>
        <w:t>的HDPE膜进行防渗，根据预测分析，本项目在非正常情况下也不会对地下水环境造成明显影响。</w:t>
      </w:r>
    </w:p>
    <w:p>
      <w:pPr>
        <w:pStyle w:val="32"/>
        <w:bidi w:val="0"/>
        <w:rPr>
          <w:color w:val="auto"/>
        </w:rPr>
      </w:pPr>
      <w:r>
        <w:rPr>
          <w:rFonts w:hint="eastAsia"/>
          <w:color w:val="auto"/>
          <w:lang w:val="en-US" w:eastAsia="zh-CN"/>
        </w:rPr>
        <w:t>9</w:t>
      </w:r>
      <w:r>
        <w:rPr>
          <w:color w:val="auto"/>
        </w:rPr>
        <w:t>.6.4废气非正常工况排放影响分析</w:t>
      </w:r>
    </w:p>
    <w:p>
      <w:pPr>
        <w:pStyle w:val="33"/>
        <w:bidi w:val="0"/>
        <w:rPr>
          <w:color w:val="auto"/>
        </w:rPr>
      </w:pPr>
      <w:r>
        <w:rPr>
          <w:color w:val="auto"/>
        </w:rPr>
        <w:t>项目非正常排放主要考虑生产废气处理设施部分失效、污水站废气治理设施部分失效的情况（P1非正常排放）。废气处理设施故障，不能正常工作时，将造成本项目各废气不能达标排放，甚至未经处理即直接排入周围大气环境中，会对周围环境空气带来一定程度的污染。</w:t>
      </w:r>
    </w:p>
    <w:p>
      <w:pPr>
        <w:pStyle w:val="33"/>
        <w:bidi w:val="0"/>
        <w:rPr>
          <w:color w:val="auto"/>
        </w:rPr>
      </w:pPr>
      <w:r>
        <w:rPr>
          <w:color w:val="auto"/>
          <w:lang w:val="zh-CN"/>
        </w:rPr>
        <w:t>为防止项目废气非正常排放对周围环境产生的影响，建设单位应加强生产管理、环保设备的维护，定期全面检修一次，每天由专业人员检查生产设备；废气处理设施建议每天上、下午各检查一次。一旦发现处理设施不能正常运行时，须立即组织人员对于废气处理系统发生故障的情况，应立即停止相关生产环节，避免废气不经处理直接排到大气中，并立即请有关技术人员进行维修。</w:t>
      </w:r>
    </w:p>
    <w:p>
      <w:pPr>
        <w:pStyle w:val="32"/>
        <w:bidi w:val="0"/>
        <w:rPr>
          <w:color w:val="auto"/>
        </w:rPr>
      </w:pPr>
      <w:r>
        <w:rPr>
          <w:rFonts w:hint="eastAsia"/>
          <w:color w:val="auto"/>
          <w:lang w:val="en-US" w:eastAsia="zh-CN"/>
        </w:rPr>
        <w:t>9</w:t>
      </w:r>
      <w:r>
        <w:rPr>
          <w:color w:val="auto"/>
        </w:rPr>
        <w:t>.6.5环境风险管理及防范措施</w:t>
      </w:r>
    </w:p>
    <w:p>
      <w:pPr>
        <w:pStyle w:val="33"/>
        <w:bidi w:val="0"/>
        <w:rPr>
          <w:color w:val="auto"/>
        </w:rPr>
      </w:pPr>
      <w:r>
        <w:rPr>
          <w:color w:val="auto"/>
        </w:rPr>
        <w:t>为使本项目环境风险减小到最低限度，必须加强安全环保管理，制定完备、有效的安全环保防范措施，尽可能降低火灾及泄漏事故发生的概率。</w:t>
      </w:r>
    </w:p>
    <w:p>
      <w:pPr>
        <w:pStyle w:val="33"/>
        <w:bidi w:val="0"/>
        <w:rPr>
          <w:color w:val="auto"/>
        </w:rPr>
      </w:pPr>
      <w:r>
        <w:rPr>
          <w:rFonts w:hint="eastAsia"/>
          <w:color w:val="auto"/>
          <w:lang w:val="en-US" w:eastAsia="zh-CN"/>
        </w:rPr>
        <w:t>1、</w:t>
      </w:r>
      <w:r>
        <w:rPr>
          <w:color w:val="auto"/>
        </w:rPr>
        <w:t>总图布置</w:t>
      </w:r>
    </w:p>
    <w:p>
      <w:pPr>
        <w:pStyle w:val="33"/>
        <w:bidi w:val="0"/>
        <w:rPr>
          <w:color w:val="auto"/>
        </w:rPr>
      </w:pPr>
      <w:r>
        <w:rPr>
          <w:color w:val="auto"/>
        </w:rPr>
        <w:t>项目在总平面布置方面，应严格执行相关规范要求，所有区域之间或与其它场所之间留有足够的防火间距，防止在火灾或爆炸时相互影响；严格按工艺处理物料特性，对厂区进行危险区划分。在车间总平面布置中配套建设应急救援设施、救援通道、应急疏散避难所等防护设施。按《安全标志》规定在装置区设置有关的安全标志。</w:t>
      </w:r>
    </w:p>
    <w:p>
      <w:pPr>
        <w:pStyle w:val="33"/>
        <w:bidi w:val="0"/>
        <w:rPr>
          <w:color w:val="auto"/>
        </w:rPr>
      </w:pPr>
      <w:r>
        <w:rPr>
          <w:rFonts w:hint="eastAsia"/>
          <w:color w:val="auto"/>
          <w:lang w:val="en-US" w:eastAsia="zh-CN"/>
        </w:rPr>
        <w:t>2、</w:t>
      </w:r>
      <w:r>
        <w:rPr>
          <w:color w:val="auto"/>
        </w:rPr>
        <w:t>建筑安全防范</w:t>
      </w:r>
    </w:p>
    <w:p>
      <w:pPr>
        <w:pStyle w:val="33"/>
        <w:bidi w:val="0"/>
        <w:rPr>
          <w:color w:val="auto"/>
        </w:rPr>
      </w:pPr>
      <w:r>
        <w:rPr>
          <w:color w:val="auto"/>
        </w:rPr>
        <w:t>根据火灾危险性等级和防火、防爆要求，建筑物的防火等级均采用国家现行规范要求的耐火等级设计，满足建筑防火要求。凡禁火区均设置明显标志牌，不允许任何人员随便入内。安全出口及安全疏散距离应符合《建筑设计防火规范》的要求。根据生产装置的特点，生产装置区等应有备用防护服，面罩，以及手套、应急灯等相关的救生装置若干，以应付突发性环境污染事故的处理需要。工作人员配备必要的个人防护用品。</w:t>
      </w:r>
    </w:p>
    <w:p>
      <w:pPr>
        <w:pStyle w:val="33"/>
        <w:bidi w:val="0"/>
        <w:rPr>
          <w:color w:val="auto"/>
        </w:rPr>
      </w:pPr>
      <w:r>
        <w:rPr>
          <w:color w:val="auto"/>
        </w:rPr>
        <w:t>装置区设备布置严格执行国家有关防火防爆的规范、规定，设备之间保证有足够的安全间距，修筑防火防爆墙，并按要求设置消防通道。</w:t>
      </w:r>
    </w:p>
    <w:p>
      <w:pPr>
        <w:pStyle w:val="33"/>
        <w:bidi w:val="0"/>
        <w:rPr>
          <w:color w:val="auto"/>
        </w:rPr>
      </w:pPr>
      <w:r>
        <w:rPr>
          <w:rFonts w:hint="eastAsia"/>
          <w:color w:val="auto"/>
          <w:lang w:val="en-US" w:eastAsia="zh-CN"/>
        </w:rPr>
        <w:t>3、</w:t>
      </w:r>
      <w:r>
        <w:rPr>
          <w:color w:val="auto"/>
        </w:rPr>
        <w:t>原料运输过程中的事故防范措施</w:t>
      </w:r>
    </w:p>
    <w:p>
      <w:pPr>
        <w:pStyle w:val="33"/>
        <w:bidi w:val="0"/>
        <w:rPr>
          <w:color w:val="auto"/>
        </w:rPr>
      </w:pPr>
      <w:r>
        <w:rPr>
          <w:color w:val="auto"/>
        </w:rPr>
        <w:t>本项目的原辅材料运输应委托专门的运输队伍运输，危险化学品的运输应符合《危险化学品安全管理条例》的相关规定。由于化学品的运输较其它货物的运输有更大的危险性，因此在运输过程中应小心谨慎，确保安全。为此需注意以下几个问题：</w:t>
      </w:r>
    </w:p>
    <w:p>
      <w:pPr>
        <w:pStyle w:val="33"/>
        <w:bidi w:val="0"/>
        <w:rPr>
          <w:color w:val="auto"/>
        </w:rPr>
      </w:pPr>
      <w:r>
        <w:rPr>
          <w:color w:val="auto"/>
        </w:rPr>
        <w:t>（1）合理规划运输路线及运输时间。</w:t>
      </w:r>
    </w:p>
    <w:p>
      <w:pPr>
        <w:pStyle w:val="33"/>
        <w:bidi w:val="0"/>
        <w:rPr>
          <w:color w:val="auto"/>
        </w:rPr>
      </w:pPr>
      <w:r>
        <w:rPr>
          <w:color w:val="auto"/>
        </w:rPr>
        <w:t>（2）危险品的装运应做到定车、定人。</w:t>
      </w:r>
    </w:p>
    <w:p>
      <w:pPr>
        <w:pStyle w:val="33"/>
        <w:bidi w:val="0"/>
        <w:rPr>
          <w:color w:val="auto"/>
        </w:rPr>
      </w:pPr>
      <w:r>
        <w:rPr>
          <w:color w:val="auto"/>
        </w:rPr>
        <w:t>（3）被装运的危险物品必须在其外包装的明显部位按《危险货物包装标志》规定的危险物品标志，包装标志要粘牢固、正确。具有易燃、有毒等多种危险特性的化学品，则应该根据其不同危险特性而同时粘贴相应的几个包装标志，以便一旦发生问题，可以进行多种防护。</w:t>
      </w:r>
    </w:p>
    <w:p>
      <w:pPr>
        <w:pStyle w:val="33"/>
        <w:bidi w:val="0"/>
        <w:rPr>
          <w:color w:val="auto"/>
        </w:rPr>
      </w:pPr>
      <w:r>
        <w:rPr>
          <w:color w:val="auto"/>
        </w:rPr>
        <w:t>（4）在危险品运输过程中，一旦发生意外，在采取应急处理的同时，迅速报告公安机关和环保等有关部门，疏散群众，防止事态进一步扩大，并积极协助前来救助的公安交通和消防人员抢救伤者和物资，使损失降低到最小范围。</w:t>
      </w:r>
    </w:p>
    <w:p>
      <w:pPr>
        <w:pStyle w:val="33"/>
        <w:bidi w:val="0"/>
        <w:rPr>
          <w:color w:val="auto"/>
        </w:rPr>
      </w:pPr>
      <w:r>
        <w:rPr>
          <w:rFonts w:hint="eastAsia"/>
          <w:color w:val="auto"/>
          <w:lang w:val="en-US" w:eastAsia="zh-CN"/>
        </w:rPr>
        <w:t>4、</w:t>
      </w:r>
      <w:r>
        <w:rPr>
          <w:color w:val="auto"/>
        </w:rPr>
        <w:t>化学品接触安全防护措施</w:t>
      </w:r>
    </w:p>
    <w:p>
      <w:pPr>
        <w:pStyle w:val="33"/>
        <w:bidi w:val="0"/>
        <w:rPr>
          <w:color w:val="auto"/>
        </w:rPr>
      </w:pPr>
      <w:r>
        <w:rPr>
          <w:color w:val="auto"/>
        </w:rPr>
        <w:t>（1）生产区</w:t>
      </w:r>
    </w:p>
    <w:p>
      <w:pPr>
        <w:pStyle w:val="33"/>
        <w:bidi w:val="0"/>
        <w:rPr>
          <w:color w:val="auto"/>
        </w:rPr>
      </w:pPr>
      <w:r>
        <w:rPr>
          <w:color w:val="auto"/>
        </w:rPr>
        <w:t>开机前应认真检查电源部位及各处传动部位，检查各进料管道有无滴漏现象，检查机器是否正常。操作人员在操作时必须集中精力，并注意随时观察各部位看有无异常，发现故障应立即停止作业，关闭电源，进行检修及排除异情。凡是操作人员不能排除的异情应立即告知维修部门，异情排除之后方可继续作业。</w:t>
      </w:r>
    </w:p>
    <w:p>
      <w:pPr>
        <w:pStyle w:val="33"/>
        <w:bidi w:val="0"/>
        <w:rPr>
          <w:color w:val="auto"/>
        </w:rPr>
      </w:pPr>
      <w:r>
        <w:rPr>
          <w:color w:val="auto"/>
        </w:rPr>
        <w:t>（2）废气处理操作区</w:t>
      </w:r>
    </w:p>
    <w:p>
      <w:pPr>
        <w:pStyle w:val="33"/>
        <w:bidi w:val="0"/>
        <w:rPr>
          <w:color w:val="auto"/>
        </w:rPr>
      </w:pPr>
      <w:r>
        <w:rPr>
          <w:color w:val="auto"/>
        </w:rPr>
        <w:t>废气处理设施关键部件配备备用件，并应设置应急电系统。并密切注意废气产生状况的波动。保持净化设备的密闭、安全、可靠性能，特别要注意设备的耐磨性和废气系统防火防爆保证。操作人员应培训后上岗，熟练在正常和异常情况中的处理操作技能。</w:t>
      </w:r>
    </w:p>
    <w:p>
      <w:pPr>
        <w:pStyle w:val="33"/>
        <w:bidi w:val="0"/>
        <w:rPr>
          <w:color w:val="auto"/>
        </w:rPr>
      </w:pPr>
      <w:r>
        <w:rPr>
          <w:rFonts w:hint="eastAsia"/>
          <w:color w:val="auto"/>
          <w:lang w:val="en-US" w:eastAsia="zh-CN"/>
        </w:rPr>
        <w:t>5、</w:t>
      </w:r>
      <w:r>
        <w:rPr>
          <w:color w:val="auto"/>
        </w:rPr>
        <w:t>围堰等防泄漏措施</w:t>
      </w:r>
    </w:p>
    <w:p>
      <w:pPr>
        <w:pStyle w:val="33"/>
        <w:bidi w:val="0"/>
        <w:rPr>
          <w:color w:val="auto"/>
        </w:rPr>
      </w:pPr>
      <w:r>
        <w:rPr>
          <w:color w:val="auto"/>
        </w:rPr>
        <w:t>项目储罐区和装置区设置导流沟，导流沟通入废水收集池，本项目储罐出现泄漏，泄漏全部控制在围堰内。</w:t>
      </w:r>
    </w:p>
    <w:p>
      <w:pPr>
        <w:pStyle w:val="33"/>
        <w:bidi w:val="0"/>
        <w:rPr>
          <w:color w:val="auto"/>
        </w:rPr>
      </w:pPr>
      <w:r>
        <w:rPr>
          <w:rFonts w:hint="eastAsia"/>
          <w:color w:val="auto"/>
          <w:lang w:val="en-US" w:eastAsia="zh-CN"/>
        </w:rPr>
        <w:t>6、</w:t>
      </w:r>
      <w:r>
        <w:rPr>
          <w:color w:val="auto"/>
        </w:rPr>
        <w:t>事故废水环境风险防范措施</w:t>
      </w:r>
    </w:p>
    <w:p>
      <w:pPr>
        <w:pStyle w:val="33"/>
        <w:bidi w:val="0"/>
        <w:rPr>
          <w:color w:val="auto"/>
        </w:rPr>
      </w:pPr>
      <w:r>
        <w:rPr>
          <w:color w:val="auto"/>
        </w:rPr>
        <w:t>厂区事故废水主要来源：企业超标废水排放对园区污水处理厂造成处理负荷；受到污染的消防水从雨水排放口排放，直接引起周围区域地表水系的污染。</w:t>
      </w:r>
    </w:p>
    <w:p>
      <w:pPr>
        <w:pStyle w:val="33"/>
        <w:bidi w:val="0"/>
        <w:rPr>
          <w:color w:val="auto"/>
        </w:rPr>
      </w:pPr>
      <w:r>
        <w:rPr>
          <w:color w:val="auto"/>
        </w:rPr>
        <w:t>若污水处理设施出现故障不能正常运行，收集所有废水入污水站配套的事故应急池。公司污水处理站总排口与外部水体之间均要安装切断设施，若污水处理站运行不正常时，启用切断设施，确保不达标废水不排出厂外。对废物的存储和处置场所必须配备围堵或收集设施，严防泄漏事故发生。</w:t>
      </w:r>
    </w:p>
    <w:p>
      <w:pPr>
        <w:pStyle w:val="33"/>
        <w:bidi w:val="0"/>
        <w:rPr>
          <w:color w:val="auto"/>
        </w:rPr>
      </w:pPr>
      <w:r>
        <w:rPr>
          <w:color w:val="auto"/>
        </w:rPr>
        <w:t>建设单位在厂区内</w:t>
      </w:r>
      <w:r>
        <w:rPr>
          <w:rFonts w:hint="eastAsia"/>
          <w:color w:val="auto"/>
          <w:lang w:val="en-US" w:eastAsia="zh-CN"/>
        </w:rPr>
        <w:t>已</w:t>
      </w:r>
      <w:r>
        <w:rPr>
          <w:color w:val="auto"/>
        </w:rPr>
        <w:t>设置一个容积</w:t>
      </w:r>
      <w:r>
        <w:rPr>
          <w:rFonts w:hint="eastAsia"/>
          <w:color w:val="auto"/>
          <w:lang w:val="en-US" w:eastAsia="zh-CN"/>
        </w:rPr>
        <w:t>450</w:t>
      </w:r>
      <w:r>
        <w:rPr>
          <w:color w:val="auto"/>
        </w:rPr>
        <w:t>m</w:t>
      </w:r>
      <w:r>
        <w:rPr>
          <w:color w:val="auto"/>
          <w:vertAlign w:val="superscript"/>
        </w:rPr>
        <w:t>3</w:t>
      </w:r>
      <w:r>
        <w:rPr>
          <w:color w:val="auto"/>
        </w:rPr>
        <w:t>的事故水池。发生事故时将厂区雨水管网和市政雨水管网之间的隔断阀门关闭，废水通过收集管网进入事故应急废水池，在发生事故时可以在最短时间内将废液与废水排入事故应急废水池中，将消防废水控制在厂区范围内，使其对周边环境和人群的危害降至最低。</w:t>
      </w:r>
    </w:p>
    <w:p>
      <w:pPr>
        <w:pStyle w:val="33"/>
        <w:bidi w:val="0"/>
        <w:rPr>
          <w:color w:val="auto"/>
        </w:rPr>
      </w:pPr>
      <w:r>
        <w:rPr>
          <w:rFonts w:hint="eastAsia"/>
          <w:color w:val="auto"/>
          <w:lang w:val="en-US" w:eastAsia="zh-CN"/>
        </w:rPr>
        <w:t>7、</w:t>
      </w:r>
      <w:r>
        <w:rPr>
          <w:color w:val="auto"/>
        </w:rPr>
        <w:t>雨污水节制闸设置</w:t>
      </w:r>
    </w:p>
    <w:p>
      <w:pPr>
        <w:pStyle w:val="33"/>
        <w:bidi w:val="0"/>
        <w:rPr>
          <w:color w:val="auto"/>
          <w:lang w:val="zh-TW"/>
        </w:rPr>
      </w:pPr>
      <w:r>
        <w:rPr>
          <w:color w:val="auto"/>
          <w:lang w:val="zh-TW"/>
        </w:rPr>
        <w:t>如发生泄漏、火灾或爆炸事故，将导致大量化工物料外泄。如不经处理直接排入雨水管网或经污水管网进入云溪污水处理厂，将导致水体严重污染或导致云溪污水处理厂无法运行。为防止此类事故发生，建设项目采取如下方案：</w:t>
      </w:r>
    </w:p>
    <w:p>
      <w:pPr>
        <w:pStyle w:val="33"/>
        <w:bidi w:val="0"/>
        <w:rPr>
          <w:color w:val="auto"/>
          <w:lang w:val="zh-TW"/>
        </w:rPr>
      </w:pPr>
      <w:r>
        <w:rPr>
          <w:color w:val="auto"/>
          <w:lang w:val="zh-TW"/>
        </w:rPr>
        <w:t>在生产装置和仓库外围设置截排水沟，雨水收集沟设置切换装置，正常状况下切换装置设置在进入废水系统状态，以便能及时、有效地收集厂区初期污染雨水。后期雨水用阀门切向雨水管网排放。</w:t>
      </w:r>
    </w:p>
    <w:p>
      <w:pPr>
        <w:pStyle w:val="33"/>
        <w:bidi w:val="0"/>
        <w:rPr>
          <w:color w:val="auto"/>
          <w:lang w:val="zh-TW"/>
        </w:rPr>
      </w:pPr>
      <w:r>
        <w:rPr>
          <w:color w:val="auto"/>
          <w:lang w:val="zh-TW"/>
        </w:rPr>
        <w:t>当发生火灾、爆炸事故和物料泄漏事故，物料可能通过地表径流，进入雨水收集沟，最终排入外环境。因此，建设项目雨水排放口必须设置切换装置，并设置自动化联动系统，如发生火灾、爆炸事故，应立即启动切换装置，关闭雨水排放口，以免对附近水体造成重大影响。</w:t>
      </w:r>
    </w:p>
    <w:p>
      <w:pPr>
        <w:pStyle w:val="33"/>
        <w:bidi w:val="0"/>
        <w:rPr>
          <w:color w:val="auto"/>
          <w:lang w:val="zh-TW"/>
        </w:rPr>
      </w:pPr>
      <w:r>
        <w:rPr>
          <w:color w:val="auto"/>
          <w:lang w:val="zh-TW"/>
        </w:rPr>
        <w:t>建设项目应在污水排口设置节制闸，发生事故时将污水排放口阀门关闭，将事故污水通过阀门导入事故应急池，防止事故废水通过污水排口外排，待事故应急处理结束后，再妥善处理收集的废液。</w:t>
      </w:r>
    </w:p>
    <w:p>
      <w:pPr>
        <w:pStyle w:val="33"/>
        <w:bidi w:val="0"/>
        <w:rPr>
          <w:color w:val="auto"/>
          <w:lang w:val="zh-TW"/>
        </w:rPr>
      </w:pPr>
      <w:r>
        <w:rPr>
          <w:color w:val="auto"/>
          <w:lang w:val="zh-TW"/>
        </w:rPr>
        <w:t>建设项目事故废水必须进入废水处理系统处理或委外处置，杜绝将此类废水直接排入工业园污水排放管网。</w:t>
      </w:r>
    </w:p>
    <w:p>
      <w:pPr>
        <w:pStyle w:val="32"/>
        <w:bidi w:val="0"/>
        <w:rPr>
          <w:color w:val="auto"/>
        </w:rPr>
      </w:pPr>
      <w:r>
        <w:rPr>
          <w:rFonts w:hint="eastAsia"/>
          <w:color w:val="auto"/>
          <w:lang w:val="en-US" w:eastAsia="zh-CN"/>
        </w:rPr>
        <w:t>9</w:t>
      </w:r>
      <w:r>
        <w:rPr>
          <w:color w:val="auto"/>
        </w:rPr>
        <w:t>.6.6环境风险应急预案编制要求</w:t>
      </w:r>
    </w:p>
    <w:p>
      <w:pPr>
        <w:pStyle w:val="33"/>
        <w:bidi w:val="0"/>
        <w:rPr>
          <w:color w:val="auto"/>
          <w:lang w:val="zh-TW"/>
        </w:rPr>
      </w:pPr>
      <w:r>
        <w:rPr>
          <w:color w:val="auto"/>
          <w:lang w:val="zh-TW"/>
        </w:rPr>
        <w:t>根据《中华人民共和国突发事件应对法》、《关于印发&lt;企业事业单位突发环境事件应急预案备案管理办法（试行）&gt;的通知》（环发[2015]4号），《关于进一步加强突发环境事件应急预案管理工作的通知》（湘环函 [2017]107号）等相关要求，确保突发环境事件发生时能高效应对，从而降低环境事件风险。</w:t>
      </w:r>
    </w:p>
    <w:p>
      <w:pPr>
        <w:pStyle w:val="33"/>
        <w:bidi w:val="0"/>
        <w:rPr>
          <w:color w:val="auto"/>
          <w:lang w:val="zh-TW"/>
        </w:rPr>
      </w:pPr>
      <w:r>
        <w:rPr>
          <w:color w:val="auto"/>
          <w:lang w:val="zh-TW"/>
        </w:rPr>
        <w:t>突发环境事件应急预案至少应包括预案适用范围、环境事件分类与分级、组织机构与职责、监控和预警、应急响应、应急保障、善后处置、预案管理与演练等内容。企业突发环境事件应急预案应体现分级响应、区域联动的原则，与地方政府突发环境事件应急预案相衔接，明确分级响应程序。</w:t>
      </w:r>
    </w:p>
    <w:p>
      <w:pPr>
        <w:pStyle w:val="33"/>
        <w:bidi w:val="0"/>
        <w:rPr>
          <w:color w:val="auto"/>
          <w:lang w:val="zh-TW"/>
        </w:rPr>
      </w:pPr>
      <w:r>
        <w:rPr>
          <w:color w:val="auto"/>
          <w:lang w:val="zh-TW"/>
        </w:rPr>
        <w:t>企业预案与政府应急预案衔接关系如下：</w:t>
      </w:r>
    </w:p>
    <w:p>
      <w:pPr>
        <w:widowControl w:val="0"/>
        <w:spacing w:line="360" w:lineRule="auto"/>
        <w:ind w:left="425" w:hanging="425"/>
        <w:jc w:val="center"/>
        <w:rPr>
          <w:color w:val="auto"/>
        </w:rPr>
      </w:pPr>
      <w:r>
        <w:rPr>
          <w:color w:val="auto"/>
        </w:rPr>
        <w:object>
          <v:shape id="_x0000_i1052" o:spt="75" type="#_x0000_t75" style="height:481.45pt;width:438.45pt;" o:ole="t" filled="f" o:preferrelative="t" stroked="f" coordsize="21600,21600">
            <v:path/>
            <v:fill on="f" focussize="0,0"/>
            <v:stroke on="f"/>
            <v:imagedata r:id="rId98" o:title=""/>
            <o:lock v:ext="edit" aspectratio="t"/>
            <w10:wrap type="none"/>
            <w10:anchorlock/>
          </v:shape>
          <o:OLEObject Type="Embed" ProgID="Visio.Drawing.11" ShapeID="_x0000_i1052" DrawAspect="Content" ObjectID="_1468075752" r:id="rId97">
            <o:LockedField>false</o:LockedField>
          </o:OLEObject>
        </w:object>
      </w:r>
    </w:p>
    <w:p>
      <w:pPr>
        <w:pStyle w:val="36"/>
        <w:bidi w:val="0"/>
        <w:rPr>
          <w:color w:val="auto"/>
        </w:rPr>
      </w:pPr>
      <w:r>
        <w:rPr>
          <w:color w:val="auto"/>
        </w:rPr>
        <w:t>图</w:t>
      </w:r>
      <w:r>
        <w:rPr>
          <w:rFonts w:hint="eastAsia"/>
          <w:color w:val="auto"/>
          <w:lang w:val="en-US" w:eastAsia="zh-CN"/>
        </w:rPr>
        <w:t>9</w:t>
      </w:r>
      <w:r>
        <w:rPr>
          <w:color w:val="auto"/>
        </w:rPr>
        <w:t>.6-</w:t>
      </w:r>
      <w:r>
        <w:rPr>
          <w:rFonts w:hint="eastAsia"/>
          <w:color w:val="auto"/>
          <w:lang w:val="en-US" w:eastAsia="zh-CN"/>
        </w:rPr>
        <w:t>2</w:t>
      </w:r>
      <w:r>
        <w:rPr>
          <w:color w:val="auto"/>
        </w:rPr>
        <w:t xml:space="preserve">   企业应急预案与政府应急预案衔接关系图</w:t>
      </w:r>
    </w:p>
    <w:p>
      <w:pPr>
        <w:pStyle w:val="32"/>
        <w:bidi w:val="0"/>
        <w:rPr>
          <w:color w:val="auto"/>
        </w:rPr>
      </w:pPr>
      <w:r>
        <w:rPr>
          <w:rFonts w:hint="eastAsia"/>
          <w:color w:val="auto"/>
          <w:lang w:val="en-US" w:eastAsia="zh-CN"/>
        </w:rPr>
        <w:t>9</w:t>
      </w:r>
      <w:r>
        <w:rPr>
          <w:color w:val="auto"/>
        </w:rPr>
        <w:t>.6.7环境风险评价结论</w:t>
      </w:r>
    </w:p>
    <w:p>
      <w:pPr>
        <w:pStyle w:val="33"/>
        <w:bidi w:val="0"/>
        <w:rPr>
          <w:color w:val="auto"/>
        </w:rPr>
      </w:pPr>
      <w:r>
        <w:rPr>
          <w:color w:val="auto"/>
        </w:rPr>
        <w:t>（1）根据对本项目生产、运输、贮存及污染治理等过程涉及的化学物质的分析，及根据对本项目功能单元的划分，判定本项目环境风险评价等级为</w:t>
      </w:r>
      <w:r>
        <w:rPr>
          <w:rFonts w:hint="eastAsia"/>
          <w:color w:val="auto"/>
          <w:lang w:val="en-US" w:eastAsia="zh-CN"/>
        </w:rPr>
        <w:t>二</w:t>
      </w:r>
      <w:r>
        <w:rPr>
          <w:color w:val="auto"/>
        </w:rPr>
        <w:t>级。</w:t>
      </w:r>
    </w:p>
    <w:p>
      <w:pPr>
        <w:pStyle w:val="33"/>
        <w:bidi w:val="0"/>
        <w:rPr>
          <w:color w:val="auto"/>
        </w:rPr>
      </w:pPr>
      <w:r>
        <w:rPr>
          <w:color w:val="auto"/>
        </w:rPr>
        <w:t>（2）通过对生产设施风险识别和生产过程所涉及的物质风险识别，确定本项目的风险类型主要为泄漏。</w:t>
      </w:r>
    </w:p>
    <w:p>
      <w:pPr>
        <w:pStyle w:val="33"/>
        <w:bidi w:val="0"/>
        <w:rPr>
          <w:color w:val="auto"/>
        </w:rPr>
      </w:pPr>
      <w:r>
        <w:rPr>
          <w:color w:val="auto"/>
        </w:rPr>
        <w:t>（3）通过对本项目各类事故的发生概率及其源项的分析，确定本项目的最大可信事故为：储罐物料泄漏，经预测结果为：当甲醇储罐泄漏时，在最不利气象条件下，对下风向下方向关心点东风村、凌泊湖小区、滨湖村、滨湖小学均不超过大气毒性终点浓度-1（9400mg/m</w:t>
      </w:r>
      <w:r>
        <w:rPr>
          <w:color w:val="auto"/>
          <w:vertAlign w:val="superscript"/>
        </w:rPr>
        <w:t>3</w:t>
      </w:r>
      <w:r>
        <w:rPr>
          <w:color w:val="auto"/>
        </w:rPr>
        <w:t>）和大气毒性终点浓度-2（2700mg/m</w:t>
      </w:r>
      <w:r>
        <w:rPr>
          <w:color w:val="auto"/>
          <w:vertAlign w:val="superscript"/>
        </w:rPr>
        <w:t>3</w:t>
      </w:r>
      <w:r>
        <w:rPr>
          <w:color w:val="auto"/>
        </w:rPr>
        <w:t>）。当</w:t>
      </w:r>
      <w:r>
        <w:rPr>
          <w:rFonts w:hint="eastAsia"/>
          <w:color w:val="auto"/>
          <w:lang w:val="en-US" w:eastAsia="zh-CN"/>
        </w:rPr>
        <w:t>醋酸甲酯</w:t>
      </w:r>
      <w:r>
        <w:rPr>
          <w:color w:val="auto"/>
        </w:rPr>
        <w:t>储罐储罐发生火灾爆炸伴生CO时，</w:t>
      </w:r>
      <w:r>
        <w:rPr>
          <w:rFonts w:hint="eastAsia"/>
          <w:color w:val="auto"/>
        </w:rPr>
        <w:t>在不利气象条件和最常见的气条件，</w:t>
      </w:r>
      <w:r>
        <w:rPr>
          <w:color w:val="auto"/>
        </w:rPr>
        <w:t>对下风向下方向关心点东风村、凌泊湖小区、滨湖村、滨湖小学会产生一定影响，但均不超过大气毒性终点浓度-1（</w:t>
      </w:r>
      <w:r>
        <w:rPr>
          <w:rFonts w:hint="eastAsia"/>
          <w:color w:val="auto"/>
        </w:rPr>
        <w:t>380</w:t>
      </w:r>
      <w:r>
        <w:rPr>
          <w:color w:val="auto"/>
        </w:rPr>
        <w:t>mg/m</w:t>
      </w:r>
      <w:r>
        <w:rPr>
          <w:color w:val="auto"/>
          <w:vertAlign w:val="superscript"/>
        </w:rPr>
        <w:t>3</w:t>
      </w:r>
      <w:r>
        <w:rPr>
          <w:color w:val="auto"/>
        </w:rPr>
        <w:t>）和大气毒性终点浓度-2（</w:t>
      </w:r>
      <w:r>
        <w:rPr>
          <w:rFonts w:hint="eastAsia"/>
          <w:color w:val="auto"/>
        </w:rPr>
        <w:t>95</w:t>
      </w:r>
      <w:r>
        <w:rPr>
          <w:color w:val="auto"/>
        </w:rPr>
        <w:t>mg/m</w:t>
      </w:r>
      <w:r>
        <w:rPr>
          <w:color w:val="auto"/>
          <w:vertAlign w:val="superscript"/>
        </w:rPr>
        <w:t>3</w:t>
      </w:r>
      <w:r>
        <w:rPr>
          <w:color w:val="auto"/>
        </w:rPr>
        <w:t>）。企业应在日常加强风险防范措施及应急预案。由此可知，甲醇、</w:t>
      </w:r>
      <w:r>
        <w:rPr>
          <w:rFonts w:hint="eastAsia"/>
          <w:color w:val="auto"/>
          <w:lang w:val="en-US" w:eastAsia="zh-CN"/>
        </w:rPr>
        <w:t>醋酸甲酯</w:t>
      </w:r>
      <w:r>
        <w:rPr>
          <w:color w:val="auto"/>
        </w:rPr>
        <w:t>储罐泄漏扩散至大气，在最不利气象条件下，对关心点大气环境的影响程度在可接受范围内。</w:t>
      </w:r>
    </w:p>
    <w:p>
      <w:pPr>
        <w:pStyle w:val="33"/>
        <w:bidi w:val="0"/>
        <w:rPr>
          <w:color w:val="auto"/>
        </w:rPr>
      </w:pPr>
      <w:r>
        <w:rPr>
          <w:color w:val="auto"/>
        </w:rPr>
        <w:t>在采取严格安全防范措施及本环评风险防范措施后，其风险水平总体上是可以接受的。</w:t>
      </w:r>
    </w:p>
    <w:p>
      <w:pPr>
        <w:pStyle w:val="33"/>
        <w:bidi w:val="0"/>
        <w:rPr>
          <w:color w:val="auto"/>
        </w:rPr>
      </w:pPr>
      <w:r>
        <w:rPr>
          <w:color w:val="auto"/>
        </w:rPr>
        <w:t>（4）为了防范事故和减少危害，建设项目从厂区总平面布置、污染治理系统事故运行机制、工艺设备及装置、电气电讯安全措施及消防、火灾报警系统等方面编制了详细的风险防范措施，并根据有关规定制定了企业的环境突发事件应急救援预案，并定期进行演练。当出现事故时，要采取紧急的工程应急措施，如有必要，要采取社会应急措施，以控制事故和减少对环境造成的危害。</w:t>
      </w:r>
    </w:p>
    <w:p>
      <w:pPr>
        <w:pStyle w:val="33"/>
        <w:bidi w:val="0"/>
        <w:rPr>
          <w:color w:val="auto"/>
        </w:rPr>
      </w:pPr>
      <w:r>
        <w:rPr>
          <w:color w:val="auto"/>
        </w:rPr>
        <w:t>（5）针对可能发生的环境风险所产生的特征污染物，在各类事故发生时，建议选择适当的因子进行应急检测，指导应急救援及环境污染治理方案的编制和实施。</w:t>
      </w:r>
    </w:p>
    <w:p>
      <w:pPr>
        <w:pStyle w:val="33"/>
        <w:bidi w:val="0"/>
        <w:rPr>
          <w:color w:val="auto"/>
        </w:rPr>
      </w:pPr>
      <w:r>
        <w:rPr>
          <w:color w:val="auto"/>
        </w:rPr>
        <w:t>综上所述，本项目在采取严格安全防范措施及本环评风险防范措施后，其风险水平总体上是可以接受的。项目在各环境风险防范措施落实到位的情况下，将可大大降低项目的环境风险，最大程度减少对环境可能造成的危害。</w:t>
      </w:r>
    </w:p>
    <w:p>
      <w:pPr>
        <w:pStyle w:val="32"/>
        <w:bidi w:val="0"/>
        <w:rPr>
          <w:color w:val="auto"/>
        </w:rPr>
      </w:pPr>
      <w:r>
        <w:rPr>
          <w:rFonts w:hint="eastAsia"/>
          <w:color w:val="auto"/>
          <w:lang w:val="en-US" w:eastAsia="zh-CN"/>
        </w:rPr>
        <w:t>9</w:t>
      </w:r>
      <w:r>
        <w:rPr>
          <w:color w:val="auto"/>
        </w:rPr>
        <w:t>.6.8建议</w:t>
      </w:r>
    </w:p>
    <w:p>
      <w:pPr>
        <w:pStyle w:val="33"/>
        <w:bidi w:val="0"/>
        <w:rPr>
          <w:color w:val="auto"/>
        </w:rPr>
      </w:pPr>
      <w:r>
        <w:rPr>
          <w:color w:val="auto"/>
        </w:rPr>
        <w:t>（1）应在后续的设计、建设和运行过程中，严格按照国家、行业和地方的法律法规和相关标准、规范的要求，健全、完善、落实和保持公司风险源的安全控制措施和设施。</w:t>
      </w:r>
    </w:p>
    <w:p>
      <w:pPr>
        <w:pStyle w:val="33"/>
        <w:bidi w:val="0"/>
        <w:rPr>
          <w:color w:val="auto"/>
        </w:rPr>
      </w:pPr>
      <w:r>
        <w:rPr>
          <w:color w:val="auto"/>
        </w:rPr>
        <w:t>（2）确保本项目新建装置区、储罐区与周边设施的距离满足国家相关规范的要求。</w:t>
      </w:r>
    </w:p>
    <w:p>
      <w:pPr>
        <w:pStyle w:val="33"/>
        <w:bidi w:val="0"/>
        <w:rPr>
          <w:color w:val="auto"/>
        </w:rPr>
      </w:pPr>
      <w:r>
        <w:rPr>
          <w:color w:val="auto"/>
        </w:rPr>
        <w:t>（3）建立、完善和落实事故预防措施和应急预案，进一步提高公司设备的安全水平，保障人员和财产的安全，将环境风险降低到合理可行的最低水平上。</w:t>
      </w:r>
    </w:p>
    <w:p>
      <w:pPr>
        <w:pStyle w:val="33"/>
        <w:bidi w:val="0"/>
        <w:rPr>
          <w:color w:val="auto"/>
        </w:rPr>
      </w:pPr>
      <w:r>
        <w:rPr>
          <w:color w:val="auto"/>
        </w:rPr>
        <w:t>（4）按照“企业自救、属地为主、分级响应、区域联动”的原则，制定企业突发环境事故应急预案，并实现与地方政府或相关管理部门突发环境事故应急预案的有效衔接。</w:t>
      </w:r>
    </w:p>
    <w:p>
      <w:pPr>
        <w:pStyle w:val="33"/>
        <w:bidi w:val="0"/>
        <w:rPr>
          <w:color w:val="auto"/>
        </w:rPr>
      </w:pPr>
      <w:r>
        <w:rPr>
          <w:color w:val="auto"/>
        </w:rPr>
        <w:t>（5）建设单位安全环保部、装置的安全环保组工作人员对公司各级领导和员工进行相应的各级《环境风险事故应急预案》进行宣传和培训，并定期组织演练。</w:t>
      </w:r>
    </w:p>
    <w:p>
      <w:pPr>
        <w:pStyle w:val="33"/>
        <w:bidi w:val="0"/>
        <w:rPr>
          <w:color w:val="auto"/>
        </w:rPr>
      </w:pPr>
      <w:r>
        <w:rPr>
          <w:color w:val="auto"/>
        </w:rPr>
        <w:t>（6）建设单位必须高度重视，做到风险防范警钟常鸣，环境安全管理常抓不懈；严格落实各项风险防范措施，不断完善风险管理体系。</w:t>
      </w:r>
    </w:p>
    <w:p>
      <w:pPr>
        <w:pStyle w:val="33"/>
        <w:bidi w:val="0"/>
        <w:rPr>
          <w:rFonts w:hint="eastAsia"/>
          <w:color w:val="auto"/>
          <w:lang w:val="en-US" w:eastAsia="zh-CN"/>
        </w:rPr>
      </w:pPr>
      <w:r>
        <w:rPr>
          <w:color w:val="auto"/>
          <w:lang w:val="en-US" w:eastAsia="zh-CN"/>
        </w:rPr>
        <w:t>（7）待本项目投产后，建设单位应根据管理的需要，进行突发环境事件应急预案</w:t>
      </w:r>
      <w:r>
        <w:rPr>
          <w:rFonts w:hint="eastAsia"/>
          <w:color w:val="auto"/>
          <w:lang w:val="en-US" w:eastAsia="zh-CN"/>
        </w:rPr>
        <w:t>编制工作</w:t>
      </w:r>
      <w:r>
        <w:rPr>
          <w:color w:val="auto"/>
          <w:lang w:val="en-US" w:eastAsia="zh-CN"/>
        </w:rPr>
        <w:t>。</w:t>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94"/>
      <w:bookmarkEnd w:id="295"/>
      <w:bookmarkEnd w:id="296"/>
      <w:bookmarkEnd w:id="297"/>
      <w:bookmarkEnd w:id="298"/>
      <w:bookmarkEnd w:id="299"/>
      <w:bookmarkEnd w:id="300"/>
      <w:bookmarkEnd w:id="301"/>
      <w:bookmarkEnd w:id="302"/>
      <w:bookmarkEnd w:id="303"/>
      <w:bookmarkEnd w:id="304"/>
      <w:bookmarkEnd w:id="305"/>
      <w:bookmarkEnd w:id="332"/>
      <w:bookmarkEnd w:id="333"/>
      <w:bookmarkEnd w:id="334"/>
      <w:bookmarkEnd w:id="335"/>
      <w:bookmarkEnd w:id="336"/>
      <w:bookmarkEnd w:id="337"/>
      <w:bookmarkEnd w:id="338"/>
    </w:p>
    <w:p>
      <w:pPr>
        <w:keepNext/>
        <w:keepLines/>
        <w:widowControl w:val="0"/>
        <w:bidi w:val="0"/>
        <w:spacing w:before="240" w:beforeLines="0" w:beforeAutospacing="0" w:after="240" w:afterLines="0" w:afterAutospacing="0" w:line="240" w:lineRule="auto"/>
        <w:ind w:firstLine="0" w:firstLineChars="0"/>
        <w:jc w:val="center"/>
        <w:outlineLvl w:val="0"/>
        <w:rPr>
          <w:rFonts w:ascii="Times New Roman" w:hAnsi="Times New Roman" w:eastAsia="宋体" w:cs="Times New Roman"/>
          <w:b/>
          <w:color w:val="auto"/>
          <w:kern w:val="44"/>
          <w:sz w:val="32"/>
          <w:szCs w:val="32"/>
          <w:lang w:val="en-US" w:eastAsia="zh-CN" w:bidi="ar-SA"/>
        </w:rPr>
      </w:pPr>
      <w:bookmarkStart w:id="348" w:name="_Toc351971033"/>
      <w:bookmarkStart w:id="349" w:name="_Toc180808318"/>
      <w:bookmarkStart w:id="350" w:name="_Toc213667816"/>
      <w:bookmarkStart w:id="351" w:name="_Toc403223316"/>
      <w:bookmarkStart w:id="352" w:name="_Toc4830"/>
      <w:bookmarkStart w:id="353" w:name="_Toc10747"/>
      <w:bookmarkStart w:id="354" w:name="_Toc182638516"/>
      <w:bookmarkStart w:id="355" w:name="_Toc24660"/>
      <w:bookmarkStart w:id="356" w:name="_Toc181015500"/>
      <w:bookmarkStart w:id="357" w:name="_Toc181686482"/>
      <w:bookmarkStart w:id="358" w:name="_Toc351971038"/>
      <w:bookmarkStart w:id="359" w:name="_Toc181015506"/>
      <w:bookmarkStart w:id="360" w:name="_Toc181686488"/>
      <w:bookmarkStart w:id="361" w:name="_Toc403223321"/>
      <w:bookmarkStart w:id="362" w:name="_Toc19178"/>
      <w:bookmarkStart w:id="363" w:name="_Toc180808320"/>
      <w:bookmarkStart w:id="364" w:name="_Toc182638521"/>
      <w:bookmarkStart w:id="365" w:name="_Toc213667821"/>
      <w:bookmarkStart w:id="366" w:name="_Toc27906"/>
      <w:bookmarkStart w:id="367" w:name="_Toc31450"/>
      <w:r>
        <w:rPr>
          <w:rFonts w:hint="eastAsia" w:ascii="Times New Roman" w:hAnsi="Times New Roman" w:eastAsia="宋体" w:cs="Times New Roman"/>
          <w:b/>
          <w:color w:val="auto"/>
          <w:kern w:val="44"/>
          <w:sz w:val="32"/>
          <w:szCs w:val="32"/>
          <w:lang w:val="en-US" w:eastAsia="zh-CN" w:bidi="ar-SA"/>
        </w:rPr>
        <w:t>10</w:t>
      </w:r>
      <w:r>
        <w:rPr>
          <w:rFonts w:hint="eastAsia" w:ascii="Times New Roman" w:hAnsi="Times New Roman" w:cs="Times New Roman"/>
          <w:b/>
          <w:color w:val="auto"/>
          <w:kern w:val="44"/>
          <w:sz w:val="32"/>
          <w:szCs w:val="32"/>
          <w:lang w:val="en-US" w:eastAsia="zh-CN" w:bidi="ar-SA"/>
        </w:rPr>
        <w:t>、</w:t>
      </w:r>
      <w:r>
        <w:rPr>
          <w:rFonts w:hint="eastAsia" w:ascii="Times New Roman" w:hAnsi="Times New Roman" w:eastAsia="宋体" w:cs="Times New Roman"/>
          <w:b/>
          <w:color w:val="auto"/>
          <w:kern w:val="44"/>
          <w:sz w:val="32"/>
          <w:szCs w:val="32"/>
          <w:lang w:val="en-US" w:eastAsia="zh-CN" w:bidi="ar-SA"/>
        </w:rPr>
        <w:t>环境影响经济损益分析</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zh-CN" w:eastAsia="zh-CN" w:bidi="ar-SA"/>
        </w:rPr>
      </w:pPr>
      <w:r>
        <w:rPr>
          <w:rFonts w:hint="eastAsia" w:ascii="Times New Roman" w:hAnsi="Times New Roman" w:eastAsia="宋体" w:cs="Times New Roman"/>
          <w:color w:val="auto"/>
          <w:kern w:val="2"/>
          <w:sz w:val="24"/>
          <w:szCs w:val="20"/>
          <w:lang w:val="zh-CN" w:eastAsia="zh-CN" w:bidi="ar-SA"/>
        </w:rPr>
        <w:t>环境经济损益分析是从经济学的角度来分析，预测该项目的实施应体现的经济效益、社会效益和环境效益，本项目的环境经济损益分析内容主要是统计分析环保措施投入的资金，运行费用，并分析项目投产后取得的经济效益、环境效益和社会效益。</w:t>
      </w:r>
    </w:p>
    <w:p>
      <w:pPr>
        <w:keepNext/>
        <w:keepLines/>
        <w:widowControl w:val="0"/>
        <w:bidi w:val="0"/>
        <w:spacing w:before="260" w:beforeLines="0" w:beforeAutospacing="0" w:after="260" w:afterLines="0" w:afterAutospacing="0" w:line="360" w:lineRule="auto"/>
        <w:jc w:val="both"/>
        <w:outlineLvl w:val="1"/>
        <w:rPr>
          <w:rFonts w:ascii="Times New Roman" w:hAnsi="Times New Roman" w:eastAsia="宋体" w:cs="Times New Roman"/>
          <w:b/>
          <w:color w:val="auto"/>
          <w:kern w:val="2"/>
          <w:sz w:val="28"/>
          <w:szCs w:val="22"/>
          <w:lang w:val="en-US" w:eastAsia="zh-CN" w:bidi="ar-SA"/>
        </w:rPr>
      </w:pPr>
      <w:bookmarkStart w:id="368" w:name="_Toc181015501"/>
      <w:bookmarkStart w:id="369" w:name="_Toc351971034"/>
      <w:bookmarkStart w:id="370" w:name="_Toc213667817"/>
      <w:bookmarkStart w:id="371" w:name="_Toc182638517"/>
      <w:bookmarkStart w:id="372" w:name="_Toc181686483"/>
      <w:bookmarkStart w:id="373" w:name="_Toc2559"/>
      <w:bookmarkStart w:id="374" w:name="_Toc180808319"/>
      <w:bookmarkStart w:id="375" w:name="_Toc104"/>
      <w:bookmarkStart w:id="376" w:name="_Toc25223"/>
      <w:bookmarkStart w:id="377" w:name="_Toc403223317"/>
      <w:r>
        <w:rPr>
          <w:rFonts w:hint="eastAsia" w:ascii="Times New Roman" w:hAnsi="Times New Roman" w:eastAsia="宋体" w:cs="Times New Roman"/>
          <w:b/>
          <w:color w:val="auto"/>
          <w:kern w:val="2"/>
          <w:sz w:val="28"/>
          <w:szCs w:val="22"/>
          <w:lang w:val="en-US" w:eastAsia="zh-CN" w:bidi="ar-SA"/>
        </w:rPr>
        <w:t>10.1社</w:t>
      </w:r>
      <w:r>
        <w:rPr>
          <w:rFonts w:ascii="Times New Roman" w:hAnsi="Times New Roman" w:eastAsia="宋体" w:cs="Times New Roman"/>
          <w:b/>
          <w:color w:val="auto"/>
          <w:kern w:val="2"/>
          <w:sz w:val="28"/>
          <w:szCs w:val="22"/>
          <w:lang w:val="en-US" w:eastAsia="zh-CN" w:bidi="ar-SA"/>
        </w:rPr>
        <w:t>会效益分析</w:t>
      </w:r>
      <w:bookmarkEnd w:id="368"/>
      <w:bookmarkEnd w:id="369"/>
      <w:bookmarkEnd w:id="370"/>
      <w:bookmarkEnd w:id="371"/>
      <w:bookmarkEnd w:id="372"/>
      <w:bookmarkEnd w:id="373"/>
      <w:bookmarkEnd w:id="374"/>
      <w:bookmarkEnd w:id="375"/>
      <w:bookmarkEnd w:id="376"/>
      <w:bookmarkEnd w:id="377"/>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岳阳市凌峰化工有限公司经过充分的市场调研和技术论证的基础上，对现有生产设施进行改造，项目建成后，具有显著的技术、产品、节能降耗、减排、产能和成本优势，产品具有较强的竞争能力和抵御风险能力，提高公司市场的竞争力。</w:t>
      </w:r>
    </w:p>
    <w:p>
      <w:pPr>
        <w:widowControl w:val="0"/>
        <w:bidi w:val="0"/>
        <w:spacing w:before="20" w:line="360" w:lineRule="auto"/>
        <w:ind w:firstLine="480" w:firstLineChars="200"/>
        <w:jc w:val="both"/>
        <w:rPr>
          <w:rFonts w:ascii="Times New Roman" w:hAnsi="Times New Roman" w:eastAsia="宋体" w:cs="Times New Roman"/>
          <w:caps w:val="0"/>
          <w:smallCaps w:val="0"/>
          <w:color w:val="auto"/>
          <w:kern w:val="2"/>
          <w:sz w:val="24"/>
          <w:szCs w:val="24"/>
          <w:lang w:val="en-US" w:eastAsia="zh-CN" w:bidi="ar-SA"/>
        </w:rPr>
      </w:pPr>
      <w:r>
        <w:rPr>
          <w:rFonts w:hint="eastAsia" w:ascii="Times New Roman" w:hAnsi="Times New Roman" w:eastAsia="宋体" w:cs="Times New Roman"/>
          <w:color w:val="auto"/>
          <w:kern w:val="2"/>
          <w:sz w:val="24"/>
          <w:szCs w:val="20"/>
          <w:lang w:val="en-US" w:eastAsia="zh-CN" w:bidi="ar-SA"/>
        </w:rPr>
        <w:t>本工程</w:t>
      </w:r>
      <w:r>
        <w:rPr>
          <w:rFonts w:ascii="Times New Roman" w:hAnsi="Times New Roman" w:eastAsia="宋体" w:cs="Times New Roman"/>
          <w:color w:val="auto"/>
          <w:kern w:val="2"/>
          <w:sz w:val="24"/>
          <w:szCs w:val="20"/>
          <w:lang w:val="en-US" w:eastAsia="zh-CN" w:bidi="ar-SA"/>
        </w:rPr>
        <w:t>建设</w:t>
      </w:r>
      <w:r>
        <w:rPr>
          <w:rFonts w:hint="eastAsia" w:ascii="Times New Roman" w:hAnsi="Times New Roman" w:eastAsia="宋体" w:cs="Times New Roman"/>
          <w:color w:val="auto"/>
          <w:kern w:val="2"/>
          <w:sz w:val="24"/>
          <w:szCs w:val="20"/>
          <w:lang w:val="en-US" w:eastAsia="zh-CN" w:bidi="ar-SA"/>
        </w:rPr>
        <w:t>在提高企业经济效益的同时，可增加地方税收及财政收入，带动地方经济发展，因此，</w:t>
      </w:r>
      <w:r>
        <w:rPr>
          <w:rFonts w:ascii="Times New Roman" w:hAnsi="Times New Roman" w:eastAsia="宋体" w:cs="Times New Roman"/>
          <w:color w:val="auto"/>
          <w:kern w:val="2"/>
          <w:sz w:val="24"/>
          <w:szCs w:val="20"/>
          <w:lang w:val="en-US" w:eastAsia="zh-CN" w:bidi="ar-SA"/>
        </w:rPr>
        <w:t>项目的实施，具有很好的社会效益。</w:t>
      </w:r>
    </w:p>
    <w:p>
      <w:pPr>
        <w:keepNext/>
        <w:keepLines/>
        <w:widowControl w:val="0"/>
        <w:bidi w:val="0"/>
        <w:spacing w:before="260" w:beforeLines="0" w:beforeAutospacing="0" w:after="260" w:afterLines="0" w:afterAutospacing="0" w:line="360" w:lineRule="auto"/>
        <w:jc w:val="both"/>
        <w:outlineLvl w:val="1"/>
        <w:rPr>
          <w:rFonts w:hint="eastAsia" w:ascii="Times New Roman" w:hAnsi="Times New Roman" w:eastAsia="宋体" w:cs="Times New Roman"/>
          <w:b/>
          <w:color w:val="auto"/>
          <w:kern w:val="2"/>
          <w:sz w:val="30"/>
          <w:szCs w:val="22"/>
          <w:lang w:val="en-US" w:eastAsia="zh-CN" w:bidi="ar-SA"/>
        </w:rPr>
      </w:pPr>
      <w:bookmarkStart w:id="378" w:name="_Toc3314"/>
      <w:bookmarkStart w:id="379" w:name="_Toc181015502"/>
      <w:bookmarkStart w:id="380" w:name="_Toc182638518"/>
      <w:bookmarkStart w:id="381" w:name="_Toc213667818"/>
      <w:bookmarkStart w:id="382" w:name="_Toc351971035"/>
      <w:bookmarkStart w:id="383" w:name="_Toc15801"/>
      <w:bookmarkStart w:id="384" w:name="_Toc181686484"/>
      <w:bookmarkStart w:id="385" w:name="_Toc5713"/>
      <w:bookmarkStart w:id="386" w:name="_Toc403223318"/>
      <w:r>
        <w:rPr>
          <w:rFonts w:hint="eastAsia" w:ascii="Times New Roman" w:hAnsi="Times New Roman" w:eastAsia="宋体" w:cs="Times New Roman"/>
          <w:b/>
          <w:color w:val="auto"/>
          <w:kern w:val="2"/>
          <w:sz w:val="30"/>
          <w:szCs w:val="22"/>
          <w:lang w:val="en-US" w:eastAsia="zh-CN" w:bidi="ar-SA"/>
        </w:rPr>
        <w:t>10.2经济效益分析</w:t>
      </w:r>
      <w:bookmarkEnd w:id="378"/>
      <w:bookmarkEnd w:id="379"/>
      <w:bookmarkEnd w:id="380"/>
      <w:bookmarkEnd w:id="381"/>
      <w:bookmarkEnd w:id="382"/>
      <w:bookmarkEnd w:id="383"/>
      <w:bookmarkEnd w:id="384"/>
      <w:bookmarkEnd w:id="385"/>
      <w:bookmarkEnd w:id="386"/>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工程总投资113.5万元，年收入13000万元，利润总额为1823.19万元，年均所得税为763.25万元，税后利润1367.39万元。主要数据及技术经济指标见表10.2-1。项目申请报告测算结果，本项目经济效益较好，在财务上是可行的。</w:t>
      </w:r>
    </w:p>
    <w:p>
      <w:pPr>
        <w:widowControl w:val="0"/>
        <w:bidi w:val="0"/>
        <w:spacing w:line="360" w:lineRule="auto"/>
        <w:jc w:val="center"/>
        <w:rPr>
          <w:rFonts w:ascii="Times New Roman" w:hAnsi="Times New Roman" w:eastAsia="宋体" w:cs="Times New Roman"/>
          <w:b/>
          <w:color w:val="auto"/>
          <w:kern w:val="2"/>
          <w:sz w:val="24"/>
          <w:szCs w:val="22"/>
          <w:lang w:val="en-US" w:eastAsia="zh-CN" w:bidi="ar-SA"/>
        </w:rPr>
      </w:pPr>
      <w:r>
        <w:rPr>
          <w:rFonts w:hint="eastAsia" w:ascii="Times New Roman" w:hAnsi="Times New Roman" w:eastAsia="宋体" w:cs="Times New Roman"/>
          <w:b/>
          <w:color w:val="auto"/>
          <w:kern w:val="2"/>
          <w:sz w:val="24"/>
          <w:szCs w:val="22"/>
          <w:lang w:val="en-US" w:eastAsia="zh-CN" w:bidi="ar-SA"/>
        </w:rPr>
        <w:t>表10.2-1工程主要技术经济指标</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4241"/>
        <w:gridCol w:w="34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4" w:hRule="atLeast"/>
          <w:jc w:val="center"/>
        </w:trPr>
        <w:tc>
          <w:tcPr>
            <w:tcW w:w="93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序号</w:t>
            </w:r>
          </w:p>
        </w:tc>
        <w:tc>
          <w:tcPr>
            <w:tcW w:w="2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名称</w:t>
            </w:r>
          </w:p>
        </w:tc>
        <w:tc>
          <w:tcPr>
            <w:tcW w:w="183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93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1</w:t>
            </w:r>
          </w:p>
        </w:tc>
        <w:tc>
          <w:tcPr>
            <w:tcW w:w="2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工程建设投资（万元）</w:t>
            </w:r>
          </w:p>
        </w:tc>
        <w:tc>
          <w:tcPr>
            <w:tcW w:w="183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93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w:t>
            </w:r>
          </w:p>
        </w:tc>
        <w:tc>
          <w:tcPr>
            <w:tcW w:w="2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销售收入（万元）</w:t>
            </w:r>
          </w:p>
        </w:tc>
        <w:tc>
          <w:tcPr>
            <w:tcW w:w="183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13000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93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w:t>
            </w:r>
          </w:p>
        </w:tc>
        <w:tc>
          <w:tcPr>
            <w:tcW w:w="2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税后利润</w:t>
            </w:r>
          </w:p>
        </w:tc>
        <w:tc>
          <w:tcPr>
            <w:tcW w:w="183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1367.39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64" w:hRule="atLeast"/>
          <w:jc w:val="center"/>
        </w:trPr>
        <w:tc>
          <w:tcPr>
            <w:tcW w:w="93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4</w:t>
            </w:r>
          </w:p>
        </w:tc>
        <w:tc>
          <w:tcPr>
            <w:tcW w:w="2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总投资收益率（</w:t>
            </w:r>
            <w:r>
              <w:rPr>
                <w:rFonts w:ascii="Times New Roman" w:hAnsi="Times New Roman" w:eastAsia="宋体" w:cs="Times New Roman"/>
                <w:color w:val="auto"/>
                <w:kern w:val="2"/>
                <w:sz w:val="21"/>
                <w:szCs w:val="20"/>
                <w:lang w:val="en-US" w:eastAsia="zh-CN" w:bidi="ar-SA"/>
              </w:rPr>
              <w:t>%</w:t>
            </w:r>
            <w:r>
              <w:rPr>
                <w:rFonts w:hint="eastAsia" w:ascii="Times New Roman" w:hAnsi="Times New Roman" w:eastAsia="宋体" w:cs="Times New Roman"/>
                <w:color w:val="auto"/>
                <w:kern w:val="2"/>
                <w:sz w:val="21"/>
                <w:szCs w:val="20"/>
                <w:lang w:val="en-US" w:eastAsia="zh-CN" w:bidi="ar-SA"/>
              </w:rPr>
              <w:t>）</w:t>
            </w:r>
          </w:p>
        </w:tc>
        <w:tc>
          <w:tcPr>
            <w:tcW w:w="183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120.65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5" w:hRule="atLeast"/>
          <w:jc w:val="center"/>
        </w:trPr>
        <w:tc>
          <w:tcPr>
            <w:tcW w:w="93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5</w:t>
            </w:r>
          </w:p>
        </w:tc>
        <w:tc>
          <w:tcPr>
            <w:tcW w:w="2229"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所得税后投资回收期（年）</w:t>
            </w:r>
          </w:p>
        </w:tc>
        <w:tc>
          <w:tcPr>
            <w:tcW w:w="183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2.26</w:t>
            </w:r>
          </w:p>
        </w:tc>
      </w:tr>
    </w:tbl>
    <w:p>
      <w:pPr>
        <w:keepNext/>
        <w:keepLines/>
        <w:widowControl w:val="0"/>
        <w:bidi w:val="0"/>
        <w:spacing w:before="260" w:beforeLines="0" w:beforeAutospacing="0" w:after="260" w:afterLines="0" w:afterAutospacing="0" w:line="360" w:lineRule="auto"/>
        <w:jc w:val="both"/>
        <w:outlineLvl w:val="1"/>
        <w:rPr>
          <w:rFonts w:ascii="Times New Roman" w:hAnsi="Times New Roman" w:eastAsia="宋体" w:cs="Times New Roman"/>
          <w:b/>
          <w:color w:val="auto"/>
          <w:kern w:val="2"/>
          <w:sz w:val="30"/>
          <w:szCs w:val="22"/>
          <w:lang w:val="en-US" w:eastAsia="zh-CN" w:bidi="ar-SA"/>
        </w:rPr>
      </w:pPr>
      <w:bookmarkStart w:id="387" w:name="_Toc21038"/>
      <w:bookmarkStart w:id="388" w:name="_Toc213667819"/>
      <w:bookmarkStart w:id="389" w:name="_Toc181015503"/>
      <w:bookmarkStart w:id="390" w:name="_Toc14671"/>
      <w:bookmarkStart w:id="391" w:name="_Toc403223319"/>
      <w:bookmarkStart w:id="392" w:name="_Toc181686485"/>
      <w:bookmarkStart w:id="393" w:name="_Toc182638519"/>
      <w:bookmarkStart w:id="394" w:name="_Toc28077"/>
      <w:bookmarkStart w:id="395" w:name="_Toc351971036"/>
      <w:r>
        <w:rPr>
          <w:rFonts w:hint="eastAsia" w:ascii="Times New Roman" w:hAnsi="Times New Roman" w:eastAsia="宋体" w:cs="Times New Roman"/>
          <w:b/>
          <w:color w:val="auto"/>
          <w:kern w:val="2"/>
          <w:sz w:val="30"/>
          <w:szCs w:val="22"/>
          <w:lang w:val="en-US" w:eastAsia="zh-CN" w:bidi="ar-SA"/>
        </w:rPr>
        <w:t>10.3环保设施投资估算</w:t>
      </w:r>
      <w:bookmarkEnd w:id="387"/>
      <w:bookmarkEnd w:id="388"/>
      <w:bookmarkEnd w:id="389"/>
      <w:bookmarkEnd w:id="390"/>
      <w:bookmarkEnd w:id="391"/>
      <w:bookmarkEnd w:id="392"/>
      <w:bookmarkEnd w:id="393"/>
      <w:bookmarkEnd w:id="394"/>
      <w:bookmarkEnd w:id="395"/>
      <w:r>
        <w:rPr>
          <w:rFonts w:hint="eastAsia" w:ascii="Times New Roman" w:hAnsi="Times New Roman" w:eastAsia="宋体" w:cs="Times New Roman"/>
          <w:b/>
          <w:color w:val="auto"/>
          <w:kern w:val="2"/>
          <w:sz w:val="30"/>
          <w:szCs w:val="22"/>
          <w:lang w:val="en-US" w:eastAsia="zh-CN" w:bidi="ar-SA"/>
        </w:rPr>
        <w:t xml:space="preserve"> </w:t>
      </w:r>
    </w:p>
    <w:p>
      <w:pPr>
        <w:keepNext/>
        <w:keepLines/>
        <w:widowControl w:val="0"/>
        <w:bidi w:val="0"/>
        <w:spacing w:before="260" w:beforeLines="0" w:beforeAutospacing="0" w:after="260" w:afterLines="0" w:afterAutospacing="0" w:line="360" w:lineRule="auto"/>
        <w:jc w:val="both"/>
        <w:outlineLvl w:val="2"/>
        <w:rPr>
          <w:rFonts w:ascii="Times New Roman" w:hAnsi="Times New Roman" w:eastAsia="宋体" w:cs="Times New Roman"/>
          <w:b/>
          <w:color w:val="auto"/>
          <w:kern w:val="2"/>
          <w:sz w:val="28"/>
          <w:szCs w:val="22"/>
          <w:lang w:val="en-US" w:eastAsia="zh-CN" w:bidi="ar-SA"/>
        </w:rPr>
      </w:pPr>
      <w:bookmarkStart w:id="396" w:name="_Toc6737"/>
      <w:r>
        <w:rPr>
          <w:rFonts w:hint="eastAsia" w:ascii="Times New Roman" w:hAnsi="Times New Roman" w:eastAsia="宋体" w:cs="Times New Roman"/>
          <w:b/>
          <w:color w:val="auto"/>
          <w:kern w:val="2"/>
          <w:sz w:val="28"/>
          <w:szCs w:val="22"/>
          <w:lang w:val="en-US" w:eastAsia="zh-CN" w:bidi="ar-SA"/>
        </w:rPr>
        <w:t>10.3.1</w:t>
      </w:r>
      <w:r>
        <w:rPr>
          <w:rFonts w:ascii="Times New Roman" w:hAnsi="Times New Roman" w:eastAsia="宋体" w:cs="Times New Roman"/>
          <w:b/>
          <w:color w:val="auto"/>
          <w:kern w:val="2"/>
          <w:sz w:val="28"/>
          <w:szCs w:val="22"/>
          <w:lang w:val="en-US" w:eastAsia="zh-CN" w:bidi="ar-SA"/>
        </w:rPr>
        <w:t>环保投资分析</w:t>
      </w:r>
      <w:bookmarkEnd w:id="39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aps w:val="0"/>
          <w:smallCaps w:val="0"/>
          <w:color w:val="auto"/>
          <w:kern w:val="2"/>
          <w:sz w:val="24"/>
          <w:szCs w:val="24"/>
          <w:lang w:val="en-US" w:eastAsia="zh-CN" w:bidi="ar-SA"/>
        </w:rPr>
      </w:pPr>
      <w:bookmarkStart w:id="397" w:name="_Toc151173203"/>
      <w:bookmarkStart w:id="398" w:name="_Toc151203525"/>
      <w:bookmarkStart w:id="399" w:name="_Toc173400243"/>
      <w:bookmarkStart w:id="400" w:name="_Toc403223320"/>
      <w:bookmarkStart w:id="401" w:name="_Toc155106912"/>
      <w:bookmarkStart w:id="402" w:name="_Toc213667820"/>
      <w:bookmarkStart w:id="403" w:name="_Toc182638520"/>
      <w:bookmarkStart w:id="404" w:name="_Toc181015505"/>
      <w:bookmarkStart w:id="405" w:name="_Toc181686487"/>
      <w:bookmarkStart w:id="406" w:name="_Toc154502630"/>
      <w:bookmarkStart w:id="407" w:name="_Toc155688615"/>
      <w:bookmarkStart w:id="408" w:name="_Toc9319"/>
      <w:bookmarkStart w:id="409" w:name="_Toc351971037"/>
      <w:bookmarkStart w:id="410" w:name="_Toc155662185"/>
      <w:bookmarkStart w:id="411" w:name="_Toc12971"/>
      <w:r>
        <w:rPr>
          <w:rFonts w:ascii="Times New Roman" w:hAnsi="Times New Roman" w:eastAsia="宋体" w:cs="Times New Roman"/>
          <w:caps w:val="0"/>
          <w:smallCaps w:val="0"/>
          <w:color w:val="auto"/>
          <w:kern w:val="2"/>
          <w:sz w:val="24"/>
          <w:szCs w:val="24"/>
          <w:lang w:val="en-US" w:eastAsia="zh-CN" w:bidi="ar-SA"/>
        </w:rPr>
        <w:t>本项目采取的环保设施包括噪声治理以及运营期废水治理、废气治理、噪声治理、固废等。</w:t>
      </w:r>
      <w:r>
        <w:rPr>
          <w:rFonts w:ascii="Times New Roman" w:hAnsi="Times New Roman" w:eastAsia="宋体" w:cs="Times New Roman"/>
          <w:caps w:val="0"/>
          <w:smallCaps w:val="0"/>
          <w:color w:val="auto"/>
          <w:kern w:val="2"/>
          <w:sz w:val="24"/>
          <w:szCs w:val="24"/>
          <w:u w:val="single"/>
          <w:lang w:val="en-US" w:eastAsia="zh-CN" w:bidi="ar-SA"/>
        </w:rPr>
        <w:t>工程环保总投资为</w:t>
      </w:r>
      <w:r>
        <w:rPr>
          <w:rFonts w:hint="eastAsia" w:ascii="Times New Roman" w:hAnsi="Times New Roman" w:eastAsia="宋体" w:cs="Times New Roman"/>
          <w:caps w:val="0"/>
          <w:smallCaps w:val="0"/>
          <w:color w:val="auto"/>
          <w:kern w:val="2"/>
          <w:sz w:val="24"/>
          <w:szCs w:val="24"/>
          <w:u w:val="single"/>
          <w:lang w:val="en-US" w:eastAsia="zh-CN" w:bidi="ar-SA"/>
        </w:rPr>
        <w:t>环保投资</w:t>
      </w:r>
      <w:r>
        <w:rPr>
          <w:rFonts w:hint="eastAsia" w:ascii="Times New Roman" w:hAnsi="Times New Roman" w:cs="Times New Roman"/>
          <w:caps w:val="0"/>
          <w:smallCaps w:val="0"/>
          <w:color w:val="auto"/>
          <w:kern w:val="2"/>
          <w:sz w:val="24"/>
          <w:szCs w:val="24"/>
          <w:u w:val="single"/>
          <w:lang w:val="en-US" w:eastAsia="zh-CN" w:bidi="ar-SA"/>
        </w:rPr>
        <w:t>63万</w:t>
      </w:r>
      <w:r>
        <w:rPr>
          <w:rFonts w:hint="eastAsia" w:ascii="Times New Roman" w:hAnsi="Times New Roman" w:eastAsia="宋体" w:cs="Times New Roman"/>
          <w:caps w:val="0"/>
          <w:smallCaps w:val="0"/>
          <w:color w:val="auto"/>
          <w:kern w:val="2"/>
          <w:sz w:val="24"/>
          <w:szCs w:val="24"/>
          <w:u w:val="single"/>
          <w:lang w:val="en-US" w:eastAsia="zh-CN" w:bidi="ar-SA"/>
        </w:rPr>
        <w:t>元</w:t>
      </w:r>
      <w:r>
        <w:rPr>
          <w:rFonts w:ascii="Times New Roman" w:hAnsi="Times New Roman" w:eastAsia="宋体" w:cs="Times New Roman"/>
          <w:caps w:val="0"/>
          <w:smallCaps w:val="0"/>
          <w:color w:val="auto"/>
          <w:kern w:val="2"/>
          <w:sz w:val="24"/>
          <w:szCs w:val="24"/>
          <w:u w:val="single"/>
          <w:lang w:val="en-US" w:eastAsia="zh-CN" w:bidi="ar-SA"/>
        </w:rPr>
        <w:t>，占拟建工程总投资的</w:t>
      </w:r>
      <w:r>
        <w:rPr>
          <w:rFonts w:hint="eastAsia" w:ascii="Times New Roman" w:hAnsi="Times New Roman" w:cs="Times New Roman"/>
          <w:caps w:val="0"/>
          <w:smallCaps w:val="0"/>
          <w:color w:val="auto"/>
          <w:kern w:val="2"/>
          <w:sz w:val="24"/>
          <w:szCs w:val="24"/>
          <w:u w:val="single"/>
          <w:lang w:val="en-US" w:eastAsia="zh-CN" w:bidi="ar-SA"/>
        </w:rPr>
        <w:t>55.5</w:t>
      </w:r>
      <w:r>
        <w:rPr>
          <w:rFonts w:ascii="Times New Roman" w:hAnsi="Times New Roman" w:eastAsia="宋体" w:cs="Times New Roman"/>
          <w:caps w:val="0"/>
          <w:smallCaps w:val="0"/>
          <w:color w:val="auto"/>
          <w:kern w:val="2"/>
          <w:sz w:val="24"/>
          <w:szCs w:val="24"/>
          <w:u w:val="single"/>
          <w:lang w:val="en-US" w:eastAsia="zh-CN" w:bidi="ar-SA"/>
        </w:rPr>
        <w:t>%。各项环保措施及投资估算见表</w:t>
      </w:r>
      <w:r>
        <w:rPr>
          <w:rFonts w:hint="eastAsia" w:ascii="Times New Roman" w:hAnsi="Times New Roman" w:eastAsia="宋体" w:cs="Times New Roman"/>
          <w:caps w:val="0"/>
          <w:smallCaps w:val="0"/>
          <w:color w:val="auto"/>
          <w:kern w:val="2"/>
          <w:sz w:val="24"/>
          <w:szCs w:val="24"/>
          <w:lang w:val="en-US" w:eastAsia="zh-CN" w:bidi="ar-SA"/>
        </w:rPr>
        <w:t>10.3-1</w:t>
      </w:r>
      <w:r>
        <w:rPr>
          <w:rFonts w:ascii="Times New Roman" w:hAnsi="Times New Roman" w:eastAsia="宋体" w:cs="Times New Roman"/>
          <w:caps w:val="0"/>
          <w:smallCaps w:val="0"/>
          <w:color w:val="auto"/>
          <w:kern w:val="2"/>
          <w:sz w:val="24"/>
          <w:szCs w:val="24"/>
          <w:lang w:val="en-US" w:eastAsia="zh-CN" w:bidi="ar-SA"/>
        </w:rPr>
        <w:t>。</w:t>
      </w:r>
    </w:p>
    <w:p>
      <w:pPr>
        <w:widowControl w:val="0"/>
        <w:bidi w:val="0"/>
        <w:spacing w:line="360" w:lineRule="auto"/>
        <w:jc w:val="center"/>
        <w:rPr>
          <w:rFonts w:ascii="Times New Roman" w:hAnsi="Times New Roman" w:eastAsia="宋体" w:cs="Times New Roman"/>
          <w:b/>
          <w:color w:val="auto"/>
          <w:kern w:val="2"/>
          <w:sz w:val="24"/>
          <w:szCs w:val="22"/>
          <w:lang w:val="en-US" w:eastAsia="zh-CN" w:bidi="ar-SA"/>
        </w:rPr>
      </w:pPr>
      <w:r>
        <w:rPr>
          <w:rFonts w:hint="eastAsia" w:ascii="Times New Roman" w:hAnsi="Times New Roman" w:eastAsia="宋体" w:cs="Times New Roman"/>
          <w:b/>
          <w:color w:val="auto"/>
          <w:kern w:val="2"/>
          <w:sz w:val="24"/>
          <w:szCs w:val="22"/>
          <w:lang w:val="en-US" w:eastAsia="zh-CN" w:bidi="ar-SA"/>
        </w:rPr>
        <w:t xml:space="preserve">10.3-1  </w:t>
      </w:r>
      <w:r>
        <w:rPr>
          <w:rFonts w:ascii="Times New Roman" w:hAnsi="Times New Roman" w:eastAsia="宋体" w:cs="Times New Roman"/>
          <w:b/>
          <w:color w:val="auto"/>
          <w:kern w:val="2"/>
          <w:sz w:val="24"/>
          <w:szCs w:val="22"/>
          <w:lang w:val="en-US" w:eastAsia="zh-CN" w:bidi="ar-SA"/>
        </w:rPr>
        <w:t>环保投资估算一览表</w:t>
      </w:r>
    </w:p>
    <w:tbl>
      <w:tblPr>
        <w:tblStyle w:val="27"/>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250"/>
        <w:gridCol w:w="6324"/>
        <w:gridCol w:w="1115"/>
      </w:tblGrid>
      <w:tr>
        <w:trPr>
          <w:trHeight w:val="357" w:hRule="atLeast"/>
          <w:jc w:val="center"/>
        </w:trPr>
        <w:tc>
          <w:tcPr>
            <w:tcW w:w="430"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阶段</w:t>
            </w:r>
          </w:p>
        </w:tc>
        <w:tc>
          <w:tcPr>
            <w:tcW w:w="65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项目</w:t>
            </w:r>
          </w:p>
        </w:tc>
        <w:tc>
          <w:tcPr>
            <w:tcW w:w="3325"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投资内容</w:t>
            </w:r>
          </w:p>
        </w:tc>
        <w:tc>
          <w:tcPr>
            <w:tcW w:w="58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金额</w:t>
            </w:r>
          </w:p>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8" w:hRule="atLeast"/>
          <w:jc w:val="center"/>
        </w:trPr>
        <w:tc>
          <w:tcPr>
            <w:tcW w:w="430"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营</w:t>
            </w:r>
          </w:p>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运</w:t>
            </w:r>
          </w:p>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期</w:t>
            </w:r>
          </w:p>
        </w:tc>
        <w:tc>
          <w:tcPr>
            <w:tcW w:w="657" w:type="pct"/>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废气</w:t>
            </w:r>
          </w:p>
        </w:tc>
        <w:tc>
          <w:tcPr>
            <w:tcW w:w="332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cs="Times New Roman"/>
                <w:b w:val="0"/>
                <w:bCs w:val="0"/>
                <w:color w:val="auto"/>
                <w:kern w:val="2"/>
                <w:sz w:val="21"/>
                <w:szCs w:val="21"/>
                <w:u w:val="single"/>
                <w:lang w:val="en-US" w:eastAsia="zh-CN" w:bidi="ar-SA"/>
              </w:rPr>
              <w:t>工艺废气</w:t>
            </w:r>
            <w:r>
              <w:rPr>
                <w:rFonts w:hint="eastAsia" w:ascii="Times New Roman" w:hAnsi="Times New Roman" w:eastAsia="宋体" w:cs="Times New Roman"/>
                <w:b w:val="0"/>
                <w:bCs w:val="0"/>
                <w:color w:val="auto"/>
                <w:kern w:val="2"/>
                <w:sz w:val="21"/>
                <w:szCs w:val="21"/>
                <w:u w:val="single"/>
                <w:lang w:val="en-US" w:eastAsia="zh-CN" w:bidi="ar-SA"/>
              </w:rPr>
              <w:t>“新建冷凝回收+活性炭收集+现有冷凝+碱液喷淋+炭吸收”废气处理后经20米高排气筒排放</w:t>
            </w:r>
          </w:p>
        </w:tc>
        <w:tc>
          <w:tcPr>
            <w:tcW w:w="586" w:type="pct"/>
            <w:vMerge w:val="restar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aps w:val="0"/>
                <w:smallCaps w:val="0"/>
                <w:color w:val="auto"/>
                <w:kern w:val="2"/>
                <w:sz w:val="24"/>
                <w:szCs w:val="24"/>
                <w:u w:val="single"/>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8" w:hRule="atLeast"/>
          <w:jc w:val="center"/>
        </w:trPr>
        <w:tc>
          <w:tcPr>
            <w:tcW w:w="430"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p>
        </w:tc>
        <w:tc>
          <w:tcPr>
            <w:tcW w:w="657"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p>
        </w:tc>
        <w:tc>
          <w:tcPr>
            <w:tcW w:w="3325"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u w:val="single"/>
                <w:lang w:val="en-US" w:eastAsia="zh-CN" w:bidi="ar-SA"/>
              </w:rPr>
            </w:pPr>
            <w:r>
              <w:rPr>
                <w:rFonts w:hint="eastAsia" w:ascii="Times New Roman" w:hAnsi="Times New Roman" w:eastAsia="宋体" w:cs="Times New Roman"/>
                <w:color w:val="auto"/>
                <w:kern w:val="2"/>
                <w:sz w:val="21"/>
                <w:szCs w:val="20"/>
                <w:u w:val="single"/>
                <w:lang w:val="en-US" w:eastAsia="zh-CN" w:bidi="ar-SA"/>
              </w:rPr>
              <w:t>储罐区</w:t>
            </w:r>
            <w:r>
              <w:rPr>
                <w:rFonts w:hint="eastAsia" w:ascii="Times New Roman" w:hAnsi="Times New Roman" w:cs="Times New Roman"/>
                <w:color w:val="auto"/>
                <w:kern w:val="2"/>
                <w:sz w:val="21"/>
                <w:szCs w:val="20"/>
                <w:u w:val="single"/>
                <w:lang w:val="en-US" w:eastAsia="zh-CN" w:bidi="ar-SA"/>
              </w:rPr>
              <w:t>（收集管道+喷淋塔+UV光解+两级活性炭吸附15米排放）</w:t>
            </w:r>
          </w:p>
        </w:tc>
        <w:tc>
          <w:tcPr>
            <w:tcW w:w="586"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7" w:hRule="atLeast"/>
          <w:jc w:val="center"/>
        </w:trPr>
        <w:tc>
          <w:tcPr>
            <w:tcW w:w="430"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65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废水</w:t>
            </w:r>
          </w:p>
        </w:tc>
        <w:tc>
          <w:tcPr>
            <w:tcW w:w="3325"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废水输送管道（依托二期建设50t/d污水处理设施）</w:t>
            </w:r>
          </w:p>
        </w:tc>
        <w:tc>
          <w:tcPr>
            <w:tcW w:w="58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7" w:hRule="atLeast"/>
          <w:jc w:val="center"/>
        </w:trPr>
        <w:tc>
          <w:tcPr>
            <w:tcW w:w="430"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65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噪声</w:t>
            </w:r>
          </w:p>
        </w:tc>
        <w:tc>
          <w:tcPr>
            <w:tcW w:w="3325"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在主要设备基础上加装橡胶减振垫、减振器等；</w:t>
            </w:r>
          </w:p>
        </w:tc>
        <w:tc>
          <w:tcPr>
            <w:tcW w:w="58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7" w:hRule="atLeast"/>
          <w:jc w:val="center"/>
        </w:trPr>
        <w:tc>
          <w:tcPr>
            <w:tcW w:w="430"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65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固废</w:t>
            </w:r>
          </w:p>
        </w:tc>
        <w:tc>
          <w:tcPr>
            <w:tcW w:w="3325"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lang w:val="en-US" w:eastAsia="zh-CN" w:bidi="ar-SA"/>
              </w:rPr>
              <w:t>委托</w:t>
            </w:r>
            <w:r>
              <w:rPr>
                <w:rFonts w:hint="eastAsia" w:ascii="Times New Roman" w:hAnsi="Times New Roman" w:eastAsia="宋体" w:cs="Times New Roman"/>
                <w:color w:val="auto"/>
                <w:kern w:val="2"/>
                <w:sz w:val="21"/>
                <w:szCs w:val="20"/>
                <w:lang w:val="en-US" w:eastAsia="zh-CN" w:bidi="ar-SA"/>
              </w:rPr>
              <w:t>处理</w:t>
            </w:r>
            <w:r>
              <w:rPr>
                <w:rFonts w:hint="eastAsia" w:ascii="Times New Roman" w:hAnsi="Times New Roman" w:cs="Times New Roman"/>
                <w:color w:val="auto"/>
                <w:kern w:val="2"/>
                <w:sz w:val="21"/>
                <w:szCs w:val="20"/>
                <w:lang w:val="en-US" w:eastAsia="zh-CN" w:bidi="ar-SA"/>
              </w:rPr>
              <w:t>费用</w:t>
            </w:r>
          </w:p>
        </w:tc>
        <w:tc>
          <w:tcPr>
            <w:tcW w:w="58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u w:val="single"/>
                <w:lang w:val="en-US" w:eastAsia="zh-CN" w:bidi="ar-SA"/>
              </w:rPr>
              <w:t>2</w:t>
            </w:r>
            <w:r>
              <w:rPr>
                <w:rFonts w:hint="eastAsia" w:ascii="Times New Roman" w:hAnsi="Times New Roman" w:cs="Times New Roman"/>
                <w:color w:val="auto"/>
                <w:kern w:val="2"/>
                <w:sz w:val="21"/>
                <w:szCs w:val="20"/>
                <w:u w:val="single"/>
                <w:lang w:val="en-US" w:eastAsia="zh-CN" w:bidi="ar-SA"/>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430"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p>
        </w:tc>
        <w:tc>
          <w:tcPr>
            <w:tcW w:w="657"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风险</w:t>
            </w:r>
          </w:p>
        </w:tc>
        <w:tc>
          <w:tcPr>
            <w:tcW w:w="3325"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依托现有罐区围堰及450m</w:t>
            </w:r>
            <w:r>
              <w:rPr>
                <w:rFonts w:hint="eastAsia" w:ascii="Times New Roman" w:hAnsi="Times New Roman" w:eastAsia="宋体" w:cs="Times New Roman"/>
                <w:color w:val="auto"/>
                <w:kern w:val="2"/>
                <w:sz w:val="21"/>
                <w:szCs w:val="20"/>
                <w:vertAlign w:val="superscript"/>
                <w:lang w:val="en-US" w:eastAsia="zh-CN" w:bidi="ar-SA"/>
              </w:rPr>
              <w:t>3</w:t>
            </w:r>
            <w:r>
              <w:rPr>
                <w:rFonts w:hint="eastAsia" w:ascii="Times New Roman" w:hAnsi="Times New Roman" w:eastAsia="宋体" w:cs="Times New Roman"/>
                <w:color w:val="auto"/>
                <w:kern w:val="2"/>
                <w:sz w:val="21"/>
                <w:szCs w:val="20"/>
                <w:lang w:val="en-US" w:eastAsia="zh-CN" w:bidi="ar-SA"/>
              </w:rPr>
              <w:t>事故池。</w:t>
            </w:r>
          </w:p>
        </w:tc>
        <w:tc>
          <w:tcPr>
            <w:tcW w:w="586"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7" w:hRule="atLeast"/>
          <w:jc w:val="center"/>
        </w:trPr>
        <w:tc>
          <w:tcPr>
            <w:tcW w:w="1087"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t>合计</w:t>
            </w:r>
          </w:p>
        </w:tc>
        <w:tc>
          <w:tcPr>
            <w:tcW w:w="3325"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w:t>
            </w:r>
          </w:p>
        </w:tc>
        <w:tc>
          <w:tcPr>
            <w:tcW w:w="586"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0"/>
                <w:u w:val="single"/>
                <w:lang w:val="en-US" w:eastAsia="zh-CN" w:bidi="ar-SA"/>
              </w:rPr>
              <w:t>63</w:t>
            </w:r>
          </w:p>
        </w:tc>
      </w:tr>
    </w:tbl>
    <w:p>
      <w:pPr>
        <w:keepNext/>
        <w:keepLines/>
        <w:widowControl w:val="0"/>
        <w:bidi w:val="0"/>
        <w:spacing w:before="260" w:beforeLines="0" w:beforeAutospacing="0" w:after="260" w:afterLines="0" w:afterAutospacing="0" w:line="360" w:lineRule="auto"/>
        <w:jc w:val="both"/>
        <w:outlineLvl w:val="2"/>
        <w:rPr>
          <w:rFonts w:ascii="Times New Roman" w:hAnsi="Times New Roman" w:eastAsia="宋体" w:cs="Times New Roman"/>
          <w:b/>
          <w:color w:val="auto"/>
          <w:kern w:val="2"/>
          <w:sz w:val="28"/>
          <w:szCs w:val="22"/>
          <w:lang w:val="en-US" w:eastAsia="zh-CN" w:bidi="ar-SA"/>
        </w:rPr>
      </w:pPr>
      <w:bookmarkStart w:id="412" w:name="_Toc13351"/>
      <w:bookmarkStart w:id="413" w:name="_Ref151821772"/>
      <w:r>
        <w:rPr>
          <w:rFonts w:hint="eastAsia" w:ascii="Times New Roman" w:hAnsi="Times New Roman" w:eastAsia="宋体" w:cs="Times New Roman"/>
          <w:b/>
          <w:color w:val="auto"/>
          <w:kern w:val="2"/>
          <w:sz w:val="28"/>
          <w:szCs w:val="22"/>
          <w:lang w:val="en-US" w:eastAsia="zh-CN" w:bidi="ar-SA"/>
        </w:rPr>
        <w:t>10</w:t>
      </w:r>
      <w:r>
        <w:rPr>
          <w:rFonts w:ascii="Times New Roman" w:hAnsi="Times New Roman" w:eastAsia="宋体" w:cs="Times New Roman"/>
          <w:b/>
          <w:color w:val="auto"/>
          <w:kern w:val="2"/>
          <w:sz w:val="28"/>
          <w:szCs w:val="22"/>
          <w:lang w:val="en-US" w:eastAsia="zh-CN" w:bidi="ar-SA"/>
        </w:rPr>
        <w:t>.3.2环保设施折旧费</w:t>
      </w:r>
      <w:bookmarkEnd w:id="412"/>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u w:val="single"/>
          <w:lang w:val="en-US" w:eastAsia="zh-CN" w:bidi="ar-SA"/>
        </w:rPr>
      </w:pPr>
      <w:r>
        <w:rPr>
          <w:rFonts w:ascii="Times New Roman" w:hAnsi="Times New Roman" w:eastAsia="宋体" w:cs="Times New Roman"/>
          <w:color w:val="auto"/>
          <w:kern w:val="2"/>
          <w:sz w:val="24"/>
          <w:szCs w:val="20"/>
          <w:u w:val="single"/>
          <w:lang w:val="en-US" w:eastAsia="zh-CN" w:bidi="ar-SA"/>
        </w:rPr>
        <w:t>项目环保设施折旧费（C1）由下式计算：</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u w:val="single"/>
          <w:lang w:val="en-US" w:eastAsia="zh-CN" w:bidi="ar-SA"/>
        </w:rPr>
      </w:pPr>
      <w:r>
        <w:rPr>
          <w:rFonts w:ascii="Times New Roman" w:hAnsi="Times New Roman" w:eastAsia="宋体" w:cs="Times New Roman"/>
          <w:color w:val="auto"/>
          <w:kern w:val="2"/>
          <w:sz w:val="24"/>
          <w:szCs w:val="20"/>
          <w:u w:val="single"/>
          <w:lang w:val="en-US" w:eastAsia="zh-CN" w:bidi="ar-SA"/>
        </w:rPr>
        <w:t>C1=a×C0/n=</w:t>
      </w:r>
      <w:r>
        <w:rPr>
          <w:rFonts w:hint="eastAsia" w:ascii="Times New Roman" w:hAnsi="Times New Roman" w:cs="Times New Roman"/>
          <w:color w:val="auto"/>
          <w:kern w:val="2"/>
          <w:sz w:val="24"/>
          <w:szCs w:val="20"/>
          <w:u w:val="single"/>
          <w:lang w:val="en-US" w:eastAsia="zh-CN" w:bidi="ar-SA"/>
        </w:rPr>
        <w:t>5.985</w:t>
      </w:r>
      <w:r>
        <w:rPr>
          <w:rFonts w:ascii="Times New Roman" w:hAnsi="Times New Roman" w:eastAsia="宋体" w:cs="Times New Roman"/>
          <w:color w:val="auto"/>
          <w:kern w:val="2"/>
          <w:sz w:val="24"/>
          <w:szCs w:val="20"/>
          <w:u w:val="single"/>
          <w:lang w:val="en-US" w:eastAsia="zh-CN" w:bidi="ar-SA"/>
        </w:rPr>
        <w:t>万元</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u w:val="single"/>
          <w:lang w:val="en-US" w:eastAsia="zh-CN" w:bidi="ar-SA"/>
        </w:rPr>
      </w:pPr>
      <w:r>
        <w:rPr>
          <w:rFonts w:ascii="Times New Roman" w:hAnsi="Times New Roman" w:eastAsia="宋体" w:cs="Times New Roman"/>
          <w:color w:val="auto"/>
          <w:kern w:val="2"/>
          <w:sz w:val="24"/>
          <w:szCs w:val="20"/>
          <w:u w:val="single"/>
          <w:lang w:val="en-US" w:eastAsia="zh-CN" w:bidi="ar-SA"/>
        </w:rPr>
        <w:t>式中：</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u w:val="single"/>
          <w:lang w:val="en-US" w:eastAsia="zh-CN" w:bidi="ar-SA"/>
        </w:rPr>
      </w:pPr>
      <w:r>
        <w:rPr>
          <w:rFonts w:ascii="Times New Roman" w:hAnsi="Times New Roman" w:eastAsia="宋体" w:cs="Times New Roman"/>
          <w:color w:val="auto"/>
          <w:kern w:val="2"/>
          <w:sz w:val="24"/>
          <w:szCs w:val="20"/>
          <w:u w:val="single"/>
          <w:lang w:val="en-US" w:eastAsia="zh-CN" w:bidi="ar-SA"/>
        </w:rPr>
        <w:t>a——固定资产形成率，取95%；</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u w:val="single"/>
          <w:lang w:val="en-US" w:eastAsia="zh-CN" w:bidi="ar-SA"/>
        </w:rPr>
      </w:pPr>
      <w:r>
        <w:rPr>
          <w:rFonts w:ascii="Times New Roman" w:hAnsi="Times New Roman" w:eastAsia="宋体" w:cs="Times New Roman"/>
          <w:color w:val="auto"/>
          <w:kern w:val="2"/>
          <w:sz w:val="24"/>
          <w:szCs w:val="20"/>
          <w:u w:val="single"/>
          <w:lang w:val="en-US" w:eastAsia="zh-CN" w:bidi="ar-SA"/>
        </w:rPr>
        <w:t>C0——环保设施总投资（万元）；</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u w:val="single"/>
          <w:lang w:val="en-US" w:eastAsia="zh-CN" w:bidi="ar-SA"/>
        </w:rPr>
      </w:pPr>
      <w:r>
        <w:rPr>
          <w:rFonts w:ascii="Times New Roman" w:hAnsi="Times New Roman" w:eastAsia="宋体" w:cs="Times New Roman"/>
          <w:color w:val="auto"/>
          <w:kern w:val="2"/>
          <w:sz w:val="24"/>
          <w:szCs w:val="20"/>
          <w:u w:val="single"/>
          <w:lang w:val="en-US" w:eastAsia="zh-CN" w:bidi="ar-SA"/>
        </w:rPr>
        <w:t>n——折旧年限，取10年</w:t>
      </w:r>
      <w:r>
        <w:rPr>
          <w:rFonts w:hint="eastAsia" w:ascii="Times New Roman" w:hAnsi="Times New Roman" w:cs="Times New Roman"/>
          <w:color w:val="auto"/>
          <w:kern w:val="2"/>
          <w:sz w:val="24"/>
          <w:szCs w:val="20"/>
          <w:u w:val="single"/>
          <w:lang w:val="en-US" w:eastAsia="zh-CN" w:bidi="ar-SA"/>
        </w:rPr>
        <w:t>。</w:t>
      </w:r>
    </w:p>
    <w:p>
      <w:pPr>
        <w:keepNext/>
        <w:keepLines/>
        <w:widowControl w:val="0"/>
        <w:bidi w:val="0"/>
        <w:spacing w:before="260" w:beforeLines="0" w:beforeAutospacing="0" w:after="260" w:afterLines="0" w:afterAutospacing="0" w:line="360" w:lineRule="auto"/>
        <w:jc w:val="both"/>
        <w:outlineLvl w:val="2"/>
        <w:rPr>
          <w:rFonts w:ascii="Times New Roman" w:hAnsi="Times New Roman" w:eastAsia="宋体" w:cs="Times New Roman"/>
          <w:b/>
          <w:color w:val="auto"/>
          <w:kern w:val="2"/>
          <w:sz w:val="28"/>
          <w:szCs w:val="22"/>
          <w:lang w:val="en-US" w:eastAsia="zh-CN" w:bidi="ar-SA"/>
        </w:rPr>
      </w:pPr>
      <w:bookmarkStart w:id="414" w:name="_Toc8084"/>
      <w:r>
        <w:rPr>
          <w:rFonts w:hint="eastAsia" w:ascii="Times New Roman" w:hAnsi="Times New Roman" w:eastAsia="宋体" w:cs="Times New Roman"/>
          <w:b/>
          <w:color w:val="auto"/>
          <w:kern w:val="2"/>
          <w:sz w:val="28"/>
          <w:szCs w:val="22"/>
          <w:lang w:val="en-US" w:eastAsia="zh-CN" w:bidi="ar-SA"/>
        </w:rPr>
        <w:t>10</w:t>
      </w:r>
      <w:r>
        <w:rPr>
          <w:rFonts w:ascii="Times New Roman" w:hAnsi="Times New Roman" w:eastAsia="宋体" w:cs="Times New Roman"/>
          <w:b/>
          <w:color w:val="auto"/>
          <w:kern w:val="2"/>
          <w:sz w:val="28"/>
          <w:szCs w:val="22"/>
          <w:lang w:val="en-US" w:eastAsia="zh-CN" w:bidi="ar-SA"/>
        </w:rPr>
        <w:t>.</w:t>
      </w:r>
      <w:r>
        <w:rPr>
          <w:rFonts w:hint="eastAsia" w:ascii="Times New Roman" w:hAnsi="Times New Roman" w:eastAsia="宋体" w:cs="Times New Roman"/>
          <w:b/>
          <w:color w:val="auto"/>
          <w:kern w:val="2"/>
          <w:sz w:val="28"/>
          <w:szCs w:val="22"/>
          <w:lang w:val="en-US" w:eastAsia="zh-CN" w:bidi="ar-SA"/>
        </w:rPr>
        <w:t>3</w:t>
      </w:r>
      <w:r>
        <w:rPr>
          <w:rFonts w:ascii="Times New Roman" w:hAnsi="Times New Roman" w:eastAsia="宋体" w:cs="Times New Roman"/>
          <w:b/>
          <w:color w:val="auto"/>
          <w:kern w:val="2"/>
          <w:sz w:val="28"/>
          <w:szCs w:val="22"/>
          <w:lang w:val="en-US" w:eastAsia="zh-CN" w:bidi="ar-SA"/>
        </w:rPr>
        <w:t>.3环保设施运行费</w:t>
      </w:r>
      <w:bookmarkEnd w:id="414"/>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u w:val="single"/>
          <w:lang w:val="en-US" w:eastAsia="zh-CN" w:bidi="ar-SA"/>
        </w:rPr>
      </w:pPr>
      <w:r>
        <w:rPr>
          <w:rFonts w:ascii="Times New Roman" w:hAnsi="Times New Roman" w:eastAsia="宋体" w:cs="Times New Roman"/>
          <w:color w:val="auto"/>
          <w:kern w:val="2"/>
          <w:sz w:val="24"/>
          <w:szCs w:val="20"/>
          <w:u w:val="single"/>
          <w:lang w:val="en-US" w:eastAsia="zh-CN" w:bidi="ar-SA"/>
        </w:rPr>
        <w:t>参照国内其它企业有关资料，环保设施的年运行费用（C2）可按环保投资的8%计算。</w:t>
      </w:r>
    </w:p>
    <w:p>
      <w:pPr>
        <w:widowControl w:val="0"/>
        <w:bidi w:val="0"/>
        <w:spacing w:before="20" w:line="360" w:lineRule="auto"/>
        <w:ind w:firstLine="480" w:firstLineChars="200"/>
        <w:jc w:val="center"/>
        <w:rPr>
          <w:rFonts w:ascii="Times New Roman" w:hAnsi="Times New Roman" w:eastAsia="宋体" w:cs="Times New Roman"/>
          <w:color w:val="auto"/>
          <w:kern w:val="2"/>
          <w:sz w:val="24"/>
          <w:szCs w:val="20"/>
          <w:u w:val="single"/>
          <w:lang w:val="en-US" w:eastAsia="zh-CN" w:bidi="ar-SA"/>
        </w:rPr>
      </w:pPr>
      <w:r>
        <w:rPr>
          <w:rFonts w:ascii="Times New Roman" w:hAnsi="Times New Roman" w:eastAsia="宋体" w:cs="Times New Roman"/>
          <w:color w:val="auto"/>
          <w:kern w:val="2"/>
          <w:sz w:val="24"/>
          <w:szCs w:val="20"/>
          <w:u w:val="single"/>
          <w:lang w:val="en-US" w:eastAsia="zh-CN" w:bidi="ar-SA"/>
        </w:rPr>
        <w:t>C</w:t>
      </w:r>
      <w:r>
        <w:rPr>
          <w:rFonts w:ascii="Times New Roman" w:hAnsi="Times New Roman" w:eastAsia="宋体" w:cs="Times New Roman"/>
          <w:color w:val="auto"/>
          <w:kern w:val="2"/>
          <w:sz w:val="24"/>
          <w:szCs w:val="20"/>
          <w:u w:val="single"/>
          <w:vertAlign w:val="subscript"/>
          <w:lang w:val="en-US" w:eastAsia="zh-CN" w:bidi="ar-SA"/>
        </w:rPr>
        <w:t>2</w:t>
      </w:r>
      <w:r>
        <w:rPr>
          <w:rFonts w:ascii="Times New Roman" w:hAnsi="Times New Roman" w:eastAsia="宋体" w:cs="Times New Roman"/>
          <w:color w:val="auto"/>
          <w:kern w:val="2"/>
          <w:sz w:val="24"/>
          <w:szCs w:val="20"/>
          <w:u w:val="single"/>
          <w:lang w:val="en-US" w:eastAsia="zh-CN" w:bidi="ar-SA"/>
        </w:rPr>
        <w:t>=C0×8%=</w:t>
      </w:r>
      <w:r>
        <w:rPr>
          <w:rFonts w:hint="eastAsia" w:ascii="Times New Roman" w:hAnsi="Times New Roman" w:cs="Times New Roman"/>
          <w:color w:val="auto"/>
          <w:kern w:val="2"/>
          <w:sz w:val="24"/>
          <w:szCs w:val="20"/>
          <w:u w:val="single"/>
          <w:lang w:val="en-US" w:eastAsia="zh-CN" w:bidi="ar-SA"/>
        </w:rPr>
        <w:t>5.04</w:t>
      </w:r>
      <w:r>
        <w:rPr>
          <w:rFonts w:ascii="Times New Roman" w:hAnsi="Times New Roman" w:eastAsia="宋体" w:cs="Times New Roman"/>
          <w:color w:val="auto"/>
          <w:kern w:val="2"/>
          <w:sz w:val="24"/>
          <w:szCs w:val="20"/>
          <w:u w:val="single"/>
          <w:lang w:val="en-US" w:eastAsia="zh-CN" w:bidi="ar-SA"/>
        </w:rPr>
        <w:t>万元</w:t>
      </w:r>
      <w:bookmarkEnd w:id="413"/>
    </w:p>
    <w:p>
      <w:pPr>
        <w:keepNext/>
        <w:keepLines/>
        <w:widowControl w:val="0"/>
        <w:bidi w:val="0"/>
        <w:spacing w:before="260" w:beforeLines="0" w:beforeAutospacing="0" w:after="260" w:afterLines="0" w:afterAutospacing="0" w:line="360" w:lineRule="auto"/>
        <w:jc w:val="both"/>
        <w:outlineLvl w:val="2"/>
        <w:rPr>
          <w:rFonts w:ascii="Times New Roman" w:hAnsi="Times New Roman" w:eastAsia="宋体" w:cs="Times New Roman"/>
          <w:b/>
          <w:color w:val="auto"/>
          <w:kern w:val="2"/>
          <w:sz w:val="28"/>
          <w:szCs w:val="22"/>
          <w:lang w:val="en-US" w:eastAsia="zh-CN" w:bidi="ar-SA"/>
        </w:rPr>
      </w:pPr>
      <w:bookmarkStart w:id="415" w:name="_Toc17262"/>
      <w:r>
        <w:rPr>
          <w:rFonts w:hint="eastAsia" w:ascii="Times New Roman" w:hAnsi="Times New Roman" w:eastAsia="宋体" w:cs="Times New Roman"/>
          <w:b/>
          <w:color w:val="auto"/>
          <w:kern w:val="2"/>
          <w:sz w:val="28"/>
          <w:szCs w:val="22"/>
          <w:lang w:val="en-US" w:eastAsia="zh-CN" w:bidi="ar-SA"/>
        </w:rPr>
        <w:t>10</w:t>
      </w:r>
      <w:r>
        <w:rPr>
          <w:rFonts w:ascii="Times New Roman" w:hAnsi="Times New Roman" w:eastAsia="宋体" w:cs="Times New Roman"/>
          <w:b/>
          <w:color w:val="auto"/>
          <w:kern w:val="2"/>
          <w:sz w:val="28"/>
          <w:szCs w:val="22"/>
          <w:lang w:val="en-US" w:eastAsia="zh-CN" w:bidi="ar-SA"/>
        </w:rPr>
        <w:t>.</w:t>
      </w:r>
      <w:r>
        <w:rPr>
          <w:rFonts w:hint="eastAsia" w:ascii="Times New Roman" w:hAnsi="Times New Roman" w:eastAsia="宋体" w:cs="Times New Roman"/>
          <w:b/>
          <w:color w:val="auto"/>
          <w:kern w:val="2"/>
          <w:sz w:val="28"/>
          <w:szCs w:val="22"/>
          <w:lang w:val="en-US" w:eastAsia="zh-CN" w:bidi="ar-SA"/>
        </w:rPr>
        <w:t>3</w:t>
      </w:r>
      <w:r>
        <w:rPr>
          <w:rFonts w:ascii="Times New Roman" w:hAnsi="Times New Roman" w:eastAsia="宋体" w:cs="Times New Roman"/>
          <w:b/>
          <w:color w:val="auto"/>
          <w:kern w:val="2"/>
          <w:sz w:val="28"/>
          <w:szCs w:val="22"/>
          <w:lang w:val="en-US" w:eastAsia="zh-CN" w:bidi="ar-SA"/>
        </w:rPr>
        <w:t>.4环保管理费用</w:t>
      </w:r>
      <w:bookmarkEnd w:id="415"/>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u w:val="single"/>
          <w:lang w:val="en-US" w:eastAsia="zh-CN" w:bidi="ar-SA"/>
        </w:rPr>
      </w:pPr>
      <w:bookmarkStart w:id="416" w:name="_Toc215548934"/>
      <w:r>
        <w:rPr>
          <w:rFonts w:ascii="Times New Roman" w:hAnsi="Times New Roman" w:eastAsia="宋体" w:cs="Times New Roman"/>
          <w:color w:val="auto"/>
          <w:kern w:val="2"/>
          <w:sz w:val="24"/>
          <w:szCs w:val="20"/>
          <w:u w:val="single"/>
          <w:lang w:val="en-US" w:eastAsia="zh-CN" w:bidi="ar-SA"/>
        </w:rPr>
        <w:t>环保管理费用（C3）包括管理部门的办公费、监测费、科研费等，按环保折旧与运行费的5%计算。</w:t>
      </w:r>
    </w:p>
    <w:p>
      <w:pPr>
        <w:widowControl w:val="0"/>
        <w:bidi w:val="0"/>
        <w:spacing w:before="20" w:line="360" w:lineRule="auto"/>
        <w:ind w:firstLine="480" w:firstLineChars="200"/>
        <w:jc w:val="center"/>
        <w:rPr>
          <w:rFonts w:ascii="Times New Roman" w:hAnsi="Times New Roman" w:eastAsia="宋体" w:cs="Times New Roman"/>
          <w:color w:val="auto"/>
          <w:kern w:val="2"/>
          <w:sz w:val="24"/>
          <w:szCs w:val="20"/>
          <w:u w:val="single"/>
          <w:lang w:val="en-US" w:eastAsia="zh-CN" w:bidi="ar-SA"/>
        </w:rPr>
      </w:pPr>
      <w:r>
        <w:rPr>
          <w:rFonts w:ascii="Times New Roman" w:hAnsi="Times New Roman" w:eastAsia="宋体" w:cs="Times New Roman"/>
          <w:color w:val="auto"/>
          <w:kern w:val="2"/>
          <w:sz w:val="24"/>
          <w:szCs w:val="20"/>
          <w:u w:val="single"/>
          <w:lang w:val="en-US" w:eastAsia="zh-CN" w:bidi="ar-SA"/>
        </w:rPr>
        <w:t>C</w:t>
      </w:r>
      <w:r>
        <w:rPr>
          <w:rFonts w:ascii="Times New Roman" w:hAnsi="Times New Roman" w:eastAsia="宋体" w:cs="Times New Roman"/>
          <w:color w:val="auto"/>
          <w:kern w:val="2"/>
          <w:sz w:val="24"/>
          <w:szCs w:val="20"/>
          <w:u w:val="single"/>
          <w:vertAlign w:val="subscript"/>
          <w:lang w:val="en-US" w:eastAsia="zh-CN" w:bidi="ar-SA"/>
        </w:rPr>
        <w:t>3</w:t>
      </w:r>
      <w:r>
        <w:rPr>
          <w:rFonts w:ascii="Times New Roman" w:hAnsi="Times New Roman" w:eastAsia="宋体" w:cs="Times New Roman"/>
          <w:color w:val="auto"/>
          <w:kern w:val="2"/>
          <w:sz w:val="24"/>
          <w:szCs w:val="20"/>
          <w:u w:val="single"/>
          <w:lang w:val="en-US" w:eastAsia="zh-CN" w:bidi="ar-SA"/>
        </w:rPr>
        <w:t>=（C</w:t>
      </w:r>
      <w:r>
        <w:rPr>
          <w:rFonts w:ascii="Times New Roman" w:hAnsi="Times New Roman" w:eastAsia="宋体" w:cs="Times New Roman"/>
          <w:color w:val="auto"/>
          <w:kern w:val="2"/>
          <w:sz w:val="24"/>
          <w:szCs w:val="20"/>
          <w:u w:val="single"/>
          <w:vertAlign w:val="subscript"/>
          <w:lang w:val="en-US" w:eastAsia="zh-CN" w:bidi="ar-SA"/>
        </w:rPr>
        <w:t>1</w:t>
      </w:r>
      <w:r>
        <w:rPr>
          <w:rFonts w:ascii="Times New Roman" w:hAnsi="Times New Roman" w:eastAsia="宋体" w:cs="Times New Roman"/>
          <w:color w:val="auto"/>
          <w:kern w:val="2"/>
          <w:sz w:val="24"/>
          <w:szCs w:val="20"/>
          <w:u w:val="single"/>
          <w:lang w:val="en-US" w:eastAsia="zh-CN" w:bidi="ar-SA"/>
        </w:rPr>
        <w:t>+C</w:t>
      </w:r>
      <w:r>
        <w:rPr>
          <w:rFonts w:ascii="Times New Roman" w:hAnsi="Times New Roman" w:eastAsia="宋体" w:cs="Times New Roman"/>
          <w:color w:val="auto"/>
          <w:kern w:val="2"/>
          <w:sz w:val="24"/>
          <w:szCs w:val="20"/>
          <w:u w:val="single"/>
          <w:vertAlign w:val="subscript"/>
          <w:lang w:val="en-US" w:eastAsia="zh-CN" w:bidi="ar-SA"/>
        </w:rPr>
        <w:t>2</w:t>
      </w:r>
      <w:r>
        <w:rPr>
          <w:rFonts w:ascii="Times New Roman" w:hAnsi="Times New Roman" w:eastAsia="宋体" w:cs="Times New Roman"/>
          <w:color w:val="auto"/>
          <w:kern w:val="2"/>
          <w:sz w:val="24"/>
          <w:szCs w:val="20"/>
          <w:u w:val="single"/>
          <w:lang w:val="en-US" w:eastAsia="zh-CN" w:bidi="ar-SA"/>
        </w:rPr>
        <w:t>）×5%=</w:t>
      </w:r>
      <w:r>
        <w:rPr>
          <w:rFonts w:hint="eastAsia" w:ascii="Times New Roman" w:hAnsi="Times New Roman" w:cs="Times New Roman"/>
          <w:color w:val="auto"/>
          <w:kern w:val="2"/>
          <w:sz w:val="24"/>
          <w:szCs w:val="20"/>
          <w:u w:val="single"/>
          <w:lang w:val="en-US" w:eastAsia="zh-CN" w:bidi="ar-SA"/>
        </w:rPr>
        <w:t>0.55</w:t>
      </w:r>
      <w:r>
        <w:rPr>
          <w:rFonts w:ascii="Times New Roman" w:hAnsi="Times New Roman" w:eastAsia="宋体" w:cs="Times New Roman"/>
          <w:color w:val="auto"/>
          <w:kern w:val="2"/>
          <w:sz w:val="24"/>
          <w:szCs w:val="20"/>
          <w:u w:val="single"/>
          <w:lang w:val="en-US" w:eastAsia="zh-CN" w:bidi="ar-SA"/>
        </w:rPr>
        <w:t>万元</w:t>
      </w:r>
      <w:bookmarkEnd w:id="416"/>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u w:val="single"/>
          <w:lang w:val="en-US" w:eastAsia="zh-CN" w:bidi="ar-SA"/>
        </w:rPr>
      </w:pPr>
      <w:r>
        <w:rPr>
          <w:rFonts w:ascii="Times New Roman" w:hAnsi="Times New Roman" w:eastAsia="宋体" w:cs="Times New Roman"/>
          <w:color w:val="auto"/>
          <w:kern w:val="2"/>
          <w:sz w:val="24"/>
          <w:szCs w:val="20"/>
          <w:u w:val="single"/>
          <w:lang w:val="en-US" w:eastAsia="zh-CN" w:bidi="ar-SA"/>
        </w:rPr>
        <w:t>则本项目环保支出总费用为：C=C</w:t>
      </w:r>
      <w:r>
        <w:rPr>
          <w:rFonts w:ascii="Times New Roman" w:hAnsi="Times New Roman" w:eastAsia="宋体" w:cs="Times New Roman"/>
          <w:color w:val="auto"/>
          <w:kern w:val="2"/>
          <w:sz w:val="24"/>
          <w:szCs w:val="20"/>
          <w:u w:val="single"/>
          <w:vertAlign w:val="subscript"/>
          <w:lang w:val="en-US" w:eastAsia="zh-CN" w:bidi="ar-SA"/>
        </w:rPr>
        <w:t>1</w:t>
      </w:r>
      <w:r>
        <w:rPr>
          <w:rFonts w:ascii="Times New Roman" w:hAnsi="Times New Roman" w:eastAsia="宋体" w:cs="Times New Roman"/>
          <w:color w:val="auto"/>
          <w:kern w:val="2"/>
          <w:sz w:val="24"/>
          <w:szCs w:val="20"/>
          <w:u w:val="single"/>
          <w:lang w:val="en-US" w:eastAsia="zh-CN" w:bidi="ar-SA"/>
        </w:rPr>
        <w:t>+C</w:t>
      </w:r>
      <w:r>
        <w:rPr>
          <w:rFonts w:ascii="Times New Roman" w:hAnsi="Times New Roman" w:eastAsia="宋体" w:cs="Times New Roman"/>
          <w:color w:val="auto"/>
          <w:kern w:val="2"/>
          <w:sz w:val="24"/>
          <w:szCs w:val="20"/>
          <w:u w:val="single"/>
          <w:vertAlign w:val="subscript"/>
          <w:lang w:val="en-US" w:eastAsia="zh-CN" w:bidi="ar-SA"/>
        </w:rPr>
        <w:t>2</w:t>
      </w:r>
      <w:r>
        <w:rPr>
          <w:rFonts w:ascii="Times New Roman" w:hAnsi="Times New Roman" w:eastAsia="宋体" w:cs="Times New Roman"/>
          <w:color w:val="auto"/>
          <w:kern w:val="2"/>
          <w:sz w:val="24"/>
          <w:szCs w:val="20"/>
          <w:u w:val="single"/>
          <w:lang w:val="en-US" w:eastAsia="zh-CN" w:bidi="ar-SA"/>
        </w:rPr>
        <w:t>+C</w:t>
      </w:r>
      <w:r>
        <w:rPr>
          <w:rFonts w:ascii="Times New Roman" w:hAnsi="Times New Roman" w:eastAsia="宋体" w:cs="Times New Roman"/>
          <w:color w:val="auto"/>
          <w:kern w:val="2"/>
          <w:sz w:val="24"/>
          <w:szCs w:val="20"/>
          <w:u w:val="single"/>
          <w:vertAlign w:val="subscript"/>
          <w:lang w:val="en-US" w:eastAsia="zh-CN" w:bidi="ar-SA"/>
        </w:rPr>
        <w:t>3</w:t>
      </w:r>
      <w:r>
        <w:rPr>
          <w:rFonts w:ascii="Times New Roman" w:hAnsi="Times New Roman" w:eastAsia="宋体" w:cs="Times New Roman"/>
          <w:color w:val="auto"/>
          <w:kern w:val="2"/>
          <w:sz w:val="24"/>
          <w:szCs w:val="20"/>
          <w:u w:val="single"/>
          <w:lang w:val="en-US" w:eastAsia="zh-CN" w:bidi="ar-SA"/>
        </w:rPr>
        <w:t>=</w:t>
      </w:r>
      <w:r>
        <w:rPr>
          <w:rFonts w:hint="eastAsia" w:ascii="Times New Roman" w:hAnsi="Times New Roman" w:cs="Times New Roman"/>
          <w:color w:val="auto"/>
          <w:kern w:val="2"/>
          <w:sz w:val="24"/>
          <w:szCs w:val="20"/>
          <w:u w:val="single"/>
          <w:lang w:val="en-US" w:eastAsia="zh-CN" w:bidi="ar-SA"/>
        </w:rPr>
        <w:t>6.63</w:t>
      </w:r>
      <w:r>
        <w:rPr>
          <w:rFonts w:ascii="Times New Roman" w:hAnsi="Times New Roman" w:eastAsia="宋体" w:cs="Times New Roman"/>
          <w:color w:val="auto"/>
          <w:kern w:val="2"/>
          <w:sz w:val="24"/>
          <w:szCs w:val="20"/>
          <w:u w:val="single"/>
          <w:lang w:val="en-US" w:eastAsia="zh-CN" w:bidi="ar-SA"/>
        </w:rPr>
        <w:t>万元</w:t>
      </w:r>
      <w:r>
        <w:rPr>
          <w:rFonts w:hint="eastAsia" w:ascii="Times New Roman" w:hAnsi="Times New Roman" w:eastAsia="宋体" w:cs="Times New Roman"/>
          <w:color w:val="auto"/>
          <w:kern w:val="2"/>
          <w:sz w:val="24"/>
          <w:szCs w:val="20"/>
          <w:u w:val="single"/>
          <w:lang w:val="en-US" w:eastAsia="zh-CN" w:bidi="ar-SA"/>
        </w:rPr>
        <w:t>。本工程年利润1367.39万元，环保支出费用占总利润的</w:t>
      </w:r>
      <w:r>
        <w:rPr>
          <w:rFonts w:hint="eastAsia" w:ascii="Times New Roman" w:hAnsi="Times New Roman" w:cs="Times New Roman"/>
          <w:color w:val="auto"/>
          <w:kern w:val="2"/>
          <w:sz w:val="24"/>
          <w:szCs w:val="20"/>
          <w:u w:val="single"/>
          <w:lang w:val="en-US" w:eastAsia="zh-CN" w:bidi="ar-SA"/>
        </w:rPr>
        <w:t>0.85</w:t>
      </w:r>
      <w:r>
        <w:rPr>
          <w:rFonts w:hint="eastAsia" w:ascii="Times New Roman" w:hAnsi="Times New Roman" w:eastAsia="宋体" w:cs="Times New Roman"/>
          <w:color w:val="auto"/>
          <w:kern w:val="2"/>
          <w:sz w:val="24"/>
          <w:szCs w:val="20"/>
          <w:u w:val="single"/>
          <w:lang w:val="en-US" w:eastAsia="zh-CN" w:bidi="ar-SA"/>
        </w:rPr>
        <w:t>%，在可接受范围之内。</w:t>
      </w:r>
    </w:p>
    <w:p>
      <w:pPr>
        <w:keepNext/>
        <w:keepLines/>
        <w:widowControl w:val="0"/>
        <w:bidi w:val="0"/>
        <w:spacing w:before="260" w:beforeLines="0" w:beforeAutospacing="0" w:after="260" w:afterLines="0" w:afterAutospacing="0" w:line="360" w:lineRule="auto"/>
        <w:jc w:val="both"/>
        <w:outlineLvl w:val="1"/>
        <w:rPr>
          <w:rFonts w:ascii="Times New Roman" w:hAnsi="Times New Roman" w:eastAsia="宋体" w:cs="Times New Roman"/>
          <w:b/>
          <w:color w:val="auto"/>
          <w:kern w:val="2"/>
          <w:sz w:val="30"/>
          <w:szCs w:val="22"/>
          <w:lang w:val="en-US" w:eastAsia="zh-CN" w:bidi="ar-SA"/>
        </w:rPr>
      </w:pPr>
      <w:bookmarkStart w:id="417" w:name="_Toc31223"/>
      <w:r>
        <w:rPr>
          <w:rFonts w:hint="eastAsia" w:ascii="Times New Roman" w:hAnsi="Times New Roman" w:eastAsia="宋体" w:cs="Times New Roman"/>
          <w:b/>
          <w:color w:val="auto"/>
          <w:kern w:val="2"/>
          <w:sz w:val="30"/>
          <w:szCs w:val="22"/>
          <w:lang w:val="en-US" w:eastAsia="zh-CN" w:bidi="ar-SA"/>
        </w:rPr>
        <w:t>10</w:t>
      </w:r>
      <w:r>
        <w:rPr>
          <w:rFonts w:ascii="Times New Roman" w:hAnsi="Times New Roman" w:eastAsia="宋体" w:cs="Times New Roman"/>
          <w:b/>
          <w:color w:val="auto"/>
          <w:kern w:val="2"/>
          <w:sz w:val="30"/>
          <w:szCs w:val="22"/>
          <w:lang w:val="en-US" w:eastAsia="zh-CN" w:bidi="ar-SA"/>
        </w:rPr>
        <w:t>.4</w:t>
      </w:r>
      <w:bookmarkEnd w:id="397"/>
      <w:bookmarkEnd w:id="398"/>
      <w:bookmarkStart w:id="418" w:name="_Toc151203526"/>
      <w:bookmarkStart w:id="419" w:name="_Toc151173204"/>
      <w:r>
        <w:rPr>
          <w:rFonts w:ascii="Times New Roman" w:hAnsi="Times New Roman" w:eastAsia="宋体" w:cs="Times New Roman"/>
          <w:b/>
          <w:color w:val="auto"/>
          <w:kern w:val="2"/>
          <w:sz w:val="30"/>
          <w:szCs w:val="22"/>
          <w:lang w:val="en-US" w:eastAsia="zh-CN" w:bidi="ar-SA"/>
        </w:rPr>
        <w:t>环境效益分析</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7"/>
      <w:bookmarkEnd w:id="418"/>
      <w:bookmarkEnd w:id="419"/>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由于工程对废气、废水、噪声及固废等均采取了有效的治理及处置措施，从而使污染得到了有效的控制，不仅减少了污染物的排放，也减轻了对区域环境的影响。同时工程采用蒸汽、电能加热，避免了燃煤锅炉造成的环境污染。通过预测结果也可以看出，工程投产后，污染物的排放对环境的不利影响较小。本工程污染防治措施具有较好的环境效益。</w:t>
      </w:r>
    </w:p>
    <w:p>
      <w:pPr>
        <w:spacing w:line="360" w:lineRule="auto"/>
        <w:ind w:firstLine="454"/>
        <w:rPr>
          <w:rFonts w:hint="eastAsia" w:ascii="Times New Roman" w:hAnsi="Times New Roman" w:eastAsia="宋体"/>
          <w:caps w:val="0"/>
          <w:smallCaps w:val="0"/>
          <w:color w:val="auto"/>
          <w:sz w:val="24"/>
          <w:szCs w:val="24"/>
          <w:lang w:eastAsia="zh-CN"/>
        </w:rPr>
        <w:sectPr>
          <w:headerReference r:id="rId7" w:type="default"/>
          <w:footerReference r:id="rId8" w:type="default"/>
          <w:pgSz w:w="11906" w:h="16838"/>
          <w:pgMar w:top="1418" w:right="1304" w:bottom="1418" w:left="1304" w:header="851" w:footer="992" w:gutter="0"/>
          <w:pgBorders>
            <w:top w:val="none" w:sz="0" w:space="0"/>
            <w:left w:val="none" w:sz="0" w:space="0"/>
            <w:bottom w:val="none" w:sz="0" w:space="0"/>
            <w:right w:val="none" w:sz="0" w:space="0"/>
          </w:pgBorders>
          <w:pgNumType w:fmt="numberInDash"/>
          <w:cols w:space="720" w:num="1"/>
          <w:docGrid w:linePitch="312" w:charSpace="0"/>
        </w:sectPr>
      </w:pPr>
      <w:r>
        <w:rPr>
          <w:rFonts w:hint="eastAsia" w:ascii="Times New Roman" w:hAnsi="Times New Roman" w:eastAsia="宋体"/>
          <w:caps w:val="0"/>
          <w:smallCaps w:val="0"/>
          <w:color w:val="auto"/>
          <w:sz w:val="24"/>
          <w:szCs w:val="24"/>
        </w:rPr>
        <w:t>综上所述，本工程的实施具有良好的社会效益、经济效益和环境效益</w:t>
      </w:r>
      <w:r>
        <w:rPr>
          <w:rFonts w:hint="eastAsia" w:ascii="Times New Roman" w:hAnsi="Times New Roman"/>
          <w:caps w:val="0"/>
          <w:smallCaps w:val="0"/>
          <w:color w:val="auto"/>
          <w:sz w:val="24"/>
          <w:szCs w:val="24"/>
          <w:lang w:eastAsia="zh-CN"/>
        </w:rPr>
        <w:t>。</w:t>
      </w:r>
    </w:p>
    <w:p>
      <w:pPr>
        <w:keepNext/>
        <w:keepLines/>
        <w:widowControl w:val="0"/>
        <w:bidi w:val="0"/>
        <w:spacing w:before="240" w:beforeLines="0" w:beforeAutospacing="0" w:after="240" w:afterLines="0" w:afterAutospacing="0" w:line="240" w:lineRule="auto"/>
        <w:ind w:firstLine="0" w:firstLineChars="0"/>
        <w:jc w:val="center"/>
        <w:outlineLvl w:val="0"/>
        <w:rPr>
          <w:rFonts w:ascii="Times New Roman" w:hAnsi="Times New Roman" w:eastAsia="宋体" w:cs="Times New Roman"/>
          <w:b/>
          <w:color w:val="auto"/>
          <w:kern w:val="44"/>
          <w:sz w:val="32"/>
          <w:szCs w:val="32"/>
          <w:lang w:val="en-US" w:eastAsia="zh-CN" w:bidi="ar-SA"/>
        </w:rPr>
      </w:pPr>
      <w:bookmarkStart w:id="420" w:name="_Toc29621"/>
      <w:r>
        <w:rPr>
          <w:rFonts w:hint="eastAsia" w:ascii="Times New Roman" w:hAnsi="Times New Roman" w:eastAsia="宋体" w:cs="Times New Roman"/>
          <w:b/>
          <w:color w:val="auto"/>
          <w:kern w:val="44"/>
          <w:sz w:val="32"/>
          <w:szCs w:val="32"/>
          <w:lang w:val="en-US" w:eastAsia="zh-CN" w:bidi="ar-SA"/>
        </w:rPr>
        <w:t>11</w:t>
      </w:r>
      <w:r>
        <w:rPr>
          <w:rFonts w:hint="eastAsia" w:ascii="Times New Roman" w:hAnsi="Times New Roman" w:cs="Times New Roman"/>
          <w:b/>
          <w:color w:val="auto"/>
          <w:kern w:val="44"/>
          <w:sz w:val="32"/>
          <w:szCs w:val="32"/>
          <w:lang w:val="en-US" w:eastAsia="zh-CN" w:bidi="ar-SA"/>
        </w:rPr>
        <w:t>、</w:t>
      </w:r>
      <w:r>
        <w:rPr>
          <w:rFonts w:hint="eastAsia" w:ascii="Times New Roman" w:hAnsi="Times New Roman" w:eastAsia="宋体" w:cs="Times New Roman"/>
          <w:b/>
          <w:color w:val="auto"/>
          <w:kern w:val="44"/>
          <w:sz w:val="32"/>
          <w:szCs w:val="32"/>
          <w:lang w:val="en-US" w:eastAsia="zh-CN" w:bidi="ar-SA"/>
        </w:rPr>
        <w:t>环境管理与监测计划</w:t>
      </w:r>
      <w:bookmarkEnd w:id="420"/>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为贯彻执行国家环境保护有关规定，处理好发展生产与环境保护的关系，实现建设项目的经济效益，社会效益和环境效益的统一，更好地监控工程环保设施的运行，及时掌握和了解污染治理和控制措施的效果和厂址周围地区环境质量的变化情况，制定环境管理与监测实施计划。</w:t>
      </w:r>
    </w:p>
    <w:p>
      <w:pPr>
        <w:keepNext/>
        <w:keepLines/>
        <w:widowControl w:val="0"/>
        <w:bidi w:val="0"/>
        <w:spacing w:before="260" w:beforeLines="0" w:beforeAutospacing="0" w:after="260" w:afterLines="0" w:afterAutospacing="0" w:line="360" w:lineRule="auto"/>
        <w:jc w:val="both"/>
        <w:outlineLvl w:val="1"/>
        <w:rPr>
          <w:rFonts w:ascii="Times New Roman" w:hAnsi="Times New Roman" w:eastAsia="宋体" w:cs="Times New Roman"/>
          <w:b/>
          <w:color w:val="auto"/>
          <w:kern w:val="2"/>
          <w:sz w:val="30"/>
          <w:szCs w:val="22"/>
          <w:lang w:val="en-US" w:eastAsia="zh-CN" w:bidi="ar-SA"/>
        </w:rPr>
      </w:pPr>
      <w:bookmarkStart w:id="421" w:name="_Toc162857337"/>
      <w:bookmarkStart w:id="422" w:name="_Toc27789"/>
      <w:bookmarkStart w:id="423" w:name="_Toc164000636"/>
      <w:bookmarkStart w:id="424" w:name="_Toc162864545"/>
      <w:bookmarkStart w:id="425" w:name="_Toc213667822"/>
      <w:bookmarkStart w:id="426" w:name="_Toc162859024"/>
      <w:bookmarkStart w:id="427" w:name="_Toc181686489"/>
      <w:bookmarkStart w:id="428" w:name="_Toc403223322"/>
      <w:bookmarkStart w:id="429" w:name="_Toc182638522"/>
      <w:bookmarkStart w:id="430" w:name="_Toc161056745"/>
      <w:bookmarkStart w:id="431" w:name="_Toc7299"/>
      <w:bookmarkStart w:id="432" w:name="_Toc162858756"/>
      <w:bookmarkStart w:id="433" w:name="_Toc351971039"/>
      <w:bookmarkStart w:id="434" w:name="_Toc162858938"/>
      <w:bookmarkStart w:id="435" w:name="_Toc181015507"/>
      <w:bookmarkStart w:id="436" w:name="_Toc160615899"/>
      <w:bookmarkStart w:id="437" w:name="_Toc180808321"/>
      <w:bookmarkStart w:id="438" w:name="_Toc160508035"/>
      <w:bookmarkStart w:id="439" w:name="_Toc160145978"/>
      <w:bookmarkStart w:id="440" w:name="_Toc23550"/>
      <w:r>
        <w:rPr>
          <w:rFonts w:hint="eastAsia" w:ascii="Times New Roman" w:hAnsi="Times New Roman" w:eastAsia="宋体" w:cs="Times New Roman"/>
          <w:b/>
          <w:color w:val="auto"/>
          <w:kern w:val="2"/>
          <w:sz w:val="30"/>
          <w:szCs w:val="22"/>
          <w:lang w:val="en-US" w:eastAsia="zh-CN" w:bidi="ar-SA"/>
        </w:rPr>
        <w:t>11</w:t>
      </w:r>
      <w:r>
        <w:rPr>
          <w:rFonts w:ascii="Times New Roman" w:hAnsi="Times New Roman" w:eastAsia="宋体" w:cs="Times New Roman"/>
          <w:b/>
          <w:color w:val="auto"/>
          <w:kern w:val="2"/>
          <w:sz w:val="30"/>
          <w:szCs w:val="22"/>
          <w:lang w:val="en-US" w:eastAsia="zh-CN" w:bidi="ar-SA"/>
        </w:rPr>
        <w:t>.1</w:t>
      </w:r>
      <w:r>
        <w:rPr>
          <w:rFonts w:hint="eastAsia" w:ascii="Times New Roman" w:hAnsi="Times New Roman" w:eastAsia="宋体" w:cs="Times New Roman"/>
          <w:b/>
          <w:color w:val="auto"/>
          <w:kern w:val="2"/>
          <w:sz w:val="30"/>
          <w:szCs w:val="22"/>
          <w:lang w:val="en-US" w:eastAsia="zh-CN" w:bidi="ar-SA"/>
        </w:rPr>
        <w:t>环境保护管理</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企业环境管理的基本任务是以保护环境为目标，清洁生产为手段，发展生产与经济效益为目的，可以促进企业的生产管理、物资管理和技术管理，使资源、能源得到充分利用，降低企业能耗、物耗，减少污染物排放总量，起到保护环境，改善企业与周围群众的关系，同时也使企业达到提高经济效益的目的。</w:t>
      </w:r>
    </w:p>
    <w:p>
      <w:pPr>
        <w:keepNext/>
        <w:keepLines/>
        <w:widowControl w:val="0"/>
        <w:bidi w:val="0"/>
        <w:spacing w:before="260" w:beforeLines="0" w:beforeAutospacing="0" w:after="260" w:afterLines="0" w:afterAutospacing="0" w:line="360" w:lineRule="auto"/>
        <w:jc w:val="both"/>
        <w:outlineLvl w:val="2"/>
        <w:rPr>
          <w:rFonts w:ascii="Times New Roman" w:hAnsi="Times New Roman" w:eastAsia="宋体" w:cs="Times New Roman"/>
          <w:b/>
          <w:color w:val="auto"/>
          <w:kern w:val="2"/>
          <w:sz w:val="28"/>
          <w:szCs w:val="22"/>
          <w:lang w:val="en-US" w:eastAsia="zh-CN" w:bidi="ar-SA"/>
        </w:rPr>
      </w:pPr>
      <w:bookmarkStart w:id="441" w:name="_Toc20062"/>
      <w:r>
        <w:rPr>
          <w:rFonts w:hint="eastAsia" w:ascii="Times New Roman" w:hAnsi="Times New Roman" w:eastAsia="宋体" w:cs="Times New Roman"/>
          <w:b/>
          <w:color w:val="auto"/>
          <w:kern w:val="2"/>
          <w:sz w:val="28"/>
          <w:szCs w:val="22"/>
          <w:lang w:val="en-US" w:eastAsia="zh-CN" w:bidi="ar-SA"/>
        </w:rPr>
        <w:t>11</w:t>
      </w:r>
      <w:r>
        <w:rPr>
          <w:rFonts w:ascii="Times New Roman" w:hAnsi="Times New Roman" w:eastAsia="宋体" w:cs="Times New Roman"/>
          <w:b/>
          <w:color w:val="auto"/>
          <w:kern w:val="2"/>
          <w:sz w:val="28"/>
          <w:szCs w:val="22"/>
          <w:lang w:val="en-US" w:eastAsia="zh-CN" w:bidi="ar-SA"/>
        </w:rPr>
        <w:t>.1.1</w:t>
      </w:r>
      <w:r>
        <w:rPr>
          <w:rFonts w:hint="eastAsia" w:ascii="Times New Roman" w:hAnsi="Times New Roman" w:eastAsia="宋体" w:cs="Times New Roman"/>
          <w:b/>
          <w:color w:val="auto"/>
          <w:kern w:val="2"/>
          <w:sz w:val="28"/>
          <w:szCs w:val="22"/>
          <w:lang w:val="en-US" w:eastAsia="zh-CN" w:bidi="ar-SA"/>
        </w:rPr>
        <w:t>环保管理机构的设置</w:t>
      </w:r>
      <w:bookmarkEnd w:id="441"/>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（1）岳阳市凌峰化工有限公司注重环保工作，并设一名副总主管环保，统管公司环保工作。</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（2）公司设置专门的环保机构，机构中设置主抓环保工作的科长一名，并设专职环保技术管理员。</w:t>
      </w:r>
    </w:p>
    <w:p>
      <w:pPr>
        <w:widowControl w:val="0"/>
        <w:bidi w:val="0"/>
        <w:spacing w:before="20" w:line="360" w:lineRule="auto"/>
        <w:ind w:firstLine="480" w:firstLineChars="200"/>
        <w:jc w:val="both"/>
        <w:rPr>
          <w:rFonts w:ascii="Times New Roman" w:hAnsi="Times New Roman" w:eastAsia="宋体" w:cs="Times New Roman"/>
          <w:caps w:val="0"/>
          <w:smallCaps w:val="0"/>
          <w:color w:val="auto"/>
          <w:kern w:val="2"/>
          <w:sz w:val="24"/>
          <w:szCs w:val="24"/>
          <w:lang w:val="en-US" w:eastAsia="zh-CN" w:bidi="ar-SA"/>
        </w:rPr>
      </w:pPr>
      <w:r>
        <w:rPr>
          <w:rFonts w:hint="eastAsia" w:ascii="Times New Roman" w:hAnsi="Times New Roman" w:eastAsia="宋体" w:cs="Times New Roman"/>
          <w:color w:val="auto"/>
          <w:kern w:val="2"/>
          <w:sz w:val="24"/>
          <w:szCs w:val="20"/>
          <w:lang w:val="en-US" w:eastAsia="zh-CN" w:bidi="ar-SA"/>
        </w:rPr>
        <w:t>（3）各项治理设备要齐全，设专职分析员及维修员</w:t>
      </w:r>
      <w:r>
        <w:rPr>
          <w:rFonts w:hint="eastAsia" w:ascii="Times New Roman" w:hAnsi="Times New Roman" w:eastAsia="宋体" w:cs="Times New Roman"/>
          <w:caps w:val="0"/>
          <w:smallCaps w:val="0"/>
          <w:color w:val="auto"/>
          <w:kern w:val="2"/>
          <w:sz w:val="24"/>
          <w:szCs w:val="24"/>
          <w:lang w:val="en-US" w:eastAsia="zh-CN" w:bidi="ar-SA"/>
        </w:rPr>
        <w:t>。</w:t>
      </w:r>
    </w:p>
    <w:p>
      <w:pPr>
        <w:keepNext/>
        <w:keepLines/>
        <w:widowControl w:val="0"/>
        <w:bidi w:val="0"/>
        <w:spacing w:before="260" w:beforeLines="0" w:beforeAutospacing="0" w:after="260" w:afterLines="0" w:afterAutospacing="0" w:line="360" w:lineRule="auto"/>
        <w:jc w:val="both"/>
        <w:outlineLvl w:val="2"/>
        <w:rPr>
          <w:rFonts w:ascii="Times New Roman" w:hAnsi="Times New Roman" w:eastAsia="宋体" w:cs="Times New Roman"/>
          <w:b/>
          <w:color w:val="auto"/>
          <w:kern w:val="2"/>
          <w:sz w:val="28"/>
          <w:szCs w:val="22"/>
          <w:lang w:val="en-US" w:eastAsia="zh-CN" w:bidi="ar-SA"/>
        </w:rPr>
      </w:pPr>
      <w:bookmarkStart w:id="442" w:name="_Toc9191"/>
      <w:r>
        <w:rPr>
          <w:rFonts w:hint="eastAsia" w:ascii="Times New Roman" w:hAnsi="Times New Roman" w:eastAsia="宋体" w:cs="Times New Roman"/>
          <w:b/>
          <w:color w:val="auto"/>
          <w:kern w:val="2"/>
          <w:sz w:val="28"/>
          <w:szCs w:val="22"/>
          <w:lang w:val="en-US" w:eastAsia="zh-CN" w:bidi="ar-SA"/>
        </w:rPr>
        <w:t>11</w:t>
      </w:r>
      <w:r>
        <w:rPr>
          <w:rFonts w:ascii="Times New Roman" w:hAnsi="Times New Roman" w:eastAsia="宋体" w:cs="Times New Roman"/>
          <w:b/>
          <w:color w:val="auto"/>
          <w:kern w:val="2"/>
          <w:sz w:val="28"/>
          <w:szCs w:val="22"/>
          <w:lang w:val="en-US" w:eastAsia="zh-CN" w:bidi="ar-SA"/>
        </w:rPr>
        <w:t>.1.2</w:t>
      </w:r>
      <w:r>
        <w:rPr>
          <w:rFonts w:hint="eastAsia" w:ascii="Times New Roman" w:hAnsi="Times New Roman" w:eastAsia="宋体" w:cs="Times New Roman"/>
          <w:b/>
          <w:color w:val="auto"/>
          <w:kern w:val="2"/>
          <w:sz w:val="28"/>
          <w:szCs w:val="22"/>
          <w:lang w:val="en-US" w:eastAsia="zh-CN" w:bidi="ar-SA"/>
        </w:rPr>
        <w:t>环保管理机构职责</w:t>
      </w:r>
      <w:bookmarkEnd w:id="442"/>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环境管理机构负责工程建设期与运营期的环境管理与环境监测工作，主要职责：</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1</w:t>
      </w:r>
      <w:r>
        <w:rPr>
          <w:rFonts w:hint="eastAsia" w:ascii="Times New Roman" w:hAnsi="Times New Roman" w:eastAsia="宋体" w:cs="Times New Roman"/>
          <w:color w:val="auto"/>
          <w:kern w:val="2"/>
          <w:sz w:val="24"/>
          <w:szCs w:val="20"/>
          <w:lang w:val="en-US" w:eastAsia="zh-CN" w:bidi="ar-SA"/>
        </w:rPr>
        <w:t>）编制、提出工程建设期、运营期的环境保护计划及环境管理制度；</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2</w:t>
      </w:r>
      <w:r>
        <w:rPr>
          <w:rFonts w:hint="eastAsia" w:ascii="Times New Roman" w:hAnsi="Times New Roman" w:eastAsia="宋体" w:cs="Times New Roman"/>
          <w:color w:val="auto"/>
          <w:kern w:val="2"/>
          <w:sz w:val="24"/>
          <w:szCs w:val="20"/>
          <w:lang w:val="en-US" w:eastAsia="zh-CN" w:bidi="ar-SA"/>
        </w:rPr>
        <w:t>）贯彻落实国家和地方的环境保护法律、法规、政策和标准，接受环境保护主管部门的监督、领导，配合环境保护主管部门作好环保工作；</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3</w:t>
      </w:r>
      <w:r>
        <w:rPr>
          <w:rFonts w:hint="eastAsia" w:ascii="Times New Roman" w:hAnsi="Times New Roman" w:eastAsia="宋体" w:cs="Times New Roman"/>
          <w:color w:val="auto"/>
          <w:kern w:val="2"/>
          <w:sz w:val="24"/>
          <w:szCs w:val="20"/>
          <w:lang w:val="en-US" w:eastAsia="zh-CN" w:bidi="ar-SA"/>
        </w:rPr>
        <w:t>）制定和实施环境监测方案，领导并组织环境监测工作，负责所有环保设施的日常运行管理，保障各环保设施的正常运行，并对环保设施的改进提出积极的建议；</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4</w:t>
      </w:r>
      <w:r>
        <w:rPr>
          <w:rFonts w:hint="eastAsia" w:ascii="Times New Roman" w:hAnsi="Times New Roman" w:eastAsia="宋体" w:cs="Times New Roman"/>
          <w:color w:val="auto"/>
          <w:kern w:val="2"/>
          <w:sz w:val="24"/>
          <w:szCs w:val="20"/>
          <w:lang w:val="en-US" w:eastAsia="zh-CN" w:bidi="ar-SA"/>
        </w:rPr>
        <w:t>）在工程建设阶段负责监督环保设施的施工、安装、调试等，落实工程项目的环境保护</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三同时</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制度，参与环保设施竣工验收工作；</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5</w:t>
      </w:r>
      <w:r>
        <w:rPr>
          <w:rFonts w:hint="eastAsia" w:ascii="Times New Roman" w:hAnsi="Times New Roman" w:eastAsia="宋体" w:cs="Times New Roman"/>
          <w:color w:val="auto"/>
          <w:kern w:val="2"/>
          <w:sz w:val="24"/>
          <w:szCs w:val="20"/>
          <w:lang w:val="en-US" w:eastAsia="zh-CN" w:bidi="ar-SA"/>
        </w:rPr>
        <w:t>）检查企业环保设施的运行情况，确保污染物达标排放；制定应急防范措施，一旦发生风险排污应及时组织好污染监测工作，并分析原因，总结经验教训，杜绝污染事故的发生；</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6</w:t>
      </w:r>
      <w:r>
        <w:rPr>
          <w:rFonts w:hint="eastAsia" w:ascii="Times New Roman" w:hAnsi="Times New Roman" w:eastAsia="宋体" w:cs="Times New Roman"/>
          <w:color w:val="auto"/>
          <w:kern w:val="2"/>
          <w:sz w:val="24"/>
          <w:szCs w:val="20"/>
          <w:lang w:val="en-US" w:eastAsia="zh-CN" w:bidi="ar-SA"/>
        </w:rPr>
        <w:t>）掌握本企业各污染源治理措施工艺、设备、运行及维护等资料，掌握废物综合利用情况，建立污染源与监测档案，定期向主管部门及环保部门上报监测报表；</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7</w:t>
      </w:r>
      <w:r>
        <w:rPr>
          <w:rFonts w:hint="eastAsia" w:ascii="Times New Roman" w:hAnsi="Times New Roman" w:eastAsia="宋体" w:cs="Times New Roman"/>
          <w:color w:val="auto"/>
          <w:kern w:val="2"/>
          <w:sz w:val="24"/>
          <w:szCs w:val="20"/>
          <w:lang w:val="en-US" w:eastAsia="zh-CN" w:bidi="ar-SA"/>
        </w:rPr>
        <w:t>）推广应用先进的环保技术和经验，组织开展环保专业技术培训，搞好环境保护的宣传工作，提高全厂人员的环境保护意识。</w:t>
      </w:r>
    </w:p>
    <w:p>
      <w:pPr>
        <w:keepNext/>
        <w:keepLines/>
        <w:widowControl w:val="0"/>
        <w:bidi w:val="0"/>
        <w:spacing w:before="260" w:beforeLines="0" w:beforeAutospacing="0" w:after="260" w:afterLines="0" w:afterAutospacing="0" w:line="360" w:lineRule="auto"/>
        <w:jc w:val="both"/>
        <w:outlineLvl w:val="1"/>
        <w:rPr>
          <w:rFonts w:hint="eastAsia" w:ascii="Times New Roman" w:hAnsi="Times New Roman" w:eastAsia="宋体" w:cs="Times New Roman"/>
          <w:b/>
          <w:color w:val="auto"/>
          <w:kern w:val="2"/>
          <w:sz w:val="30"/>
          <w:szCs w:val="22"/>
          <w:lang w:val="en-US" w:eastAsia="zh-CN" w:bidi="ar-SA"/>
        </w:rPr>
      </w:pPr>
      <w:bookmarkStart w:id="443" w:name="_Toc7539"/>
      <w:bookmarkStart w:id="444" w:name="_Toc499217421"/>
      <w:bookmarkStart w:id="445" w:name="_Toc17471"/>
      <w:r>
        <w:rPr>
          <w:rFonts w:hint="eastAsia" w:ascii="Times New Roman" w:hAnsi="Times New Roman" w:eastAsia="宋体" w:cs="Times New Roman"/>
          <w:b/>
          <w:color w:val="auto"/>
          <w:kern w:val="2"/>
          <w:sz w:val="30"/>
          <w:szCs w:val="22"/>
          <w:lang w:val="en-US" w:eastAsia="zh-CN" w:bidi="ar-SA"/>
        </w:rPr>
        <w:t>11.2排污许可证制度</w:t>
      </w:r>
      <w:bookmarkEnd w:id="443"/>
      <w:bookmarkEnd w:id="444"/>
      <w:bookmarkEnd w:id="445"/>
    </w:p>
    <w:p>
      <w:pPr>
        <w:widowControl w:val="0"/>
        <w:bidi w:val="0"/>
        <w:spacing w:before="20" w:line="360" w:lineRule="auto"/>
        <w:ind w:firstLine="480" w:firstLineChars="200"/>
        <w:jc w:val="both"/>
        <w:rPr>
          <w:rFonts w:hint="default"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建设单位已向相关部门办理好排污许可证，并严格按照其相关规定执行。</w:t>
      </w:r>
    </w:p>
    <w:p>
      <w:pPr>
        <w:keepNext/>
        <w:keepLines/>
        <w:widowControl w:val="0"/>
        <w:bidi w:val="0"/>
        <w:spacing w:before="260" w:beforeLines="0" w:beforeAutospacing="0" w:after="260" w:afterLines="0" w:afterAutospacing="0" w:line="360" w:lineRule="auto"/>
        <w:jc w:val="both"/>
        <w:outlineLvl w:val="2"/>
        <w:rPr>
          <w:rFonts w:ascii="Times New Roman" w:hAnsi="Times New Roman" w:eastAsia="宋体" w:cs="Times New Roman"/>
          <w:b/>
          <w:caps w:val="0"/>
          <w:smallCaps w:val="0"/>
          <w:color w:val="auto"/>
          <w:kern w:val="2"/>
          <w:sz w:val="28"/>
          <w:szCs w:val="22"/>
          <w:lang w:val="en-US" w:eastAsia="zh-CN" w:bidi="ar-SA"/>
        </w:rPr>
      </w:pPr>
      <w:bookmarkStart w:id="446" w:name="_Toc20488"/>
      <w:r>
        <w:rPr>
          <w:rFonts w:hint="eastAsia" w:ascii="Times New Roman" w:hAnsi="Times New Roman" w:eastAsia="宋体" w:cs="Times New Roman"/>
          <w:b/>
          <w:caps w:val="0"/>
          <w:smallCaps w:val="0"/>
          <w:color w:val="auto"/>
          <w:kern w:val="2"/>
          <w:sz w:val="28"/>
          <w:szCs w:val="22"/>
          <w:lang w:val="en-US" w:eastAsia="zh-CN" w:bidi="ar-SA"/>
        </w:rPr>
        <w:t>11.2.1排污口规范化管理</w:t>
      </w:r>
      <w:bookmarkEnd w:id="446"/>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根据国家标准《环境保护图形标志—排放口（源）》和国家环保总局《排污口规范化整治要求（试行）》的技术要求，排污口的规范化要符合环境监管部门的有关要求。</w:t>
      </w:r>
    </w:p>
    <w:p>
      <w:pPr>
        <w:widowControl w:val="0"/>
        <w:bidi w:val="0"/>
        <w:spacing w:before="20" w:line="360" w:lineRule="auto"/>
        <w:ind w:left="0" w:leftChars="0" w:firstLine="0" w:firstLineChars="0"/>
        <w:jc w:val="both"/>
        <w:rPr>
          <w:rFonts w:hint="eastAsia" w:ascii="Times New Roman" w:hAnsi="Times New Roman" w:eastAsia="宋体" w:cs="宋体"/>
          <w:b/>
          <w:caps w:val="0"/>
          <w:smallCaps w:val="0"/>
          <w:color w:val="auto"/>
          <w:kern w:val="2"/>
          <w:sz w:val="24"/>
          <w:szCs w:val="24"/>
          <w:lang w:val="en-US" w:eastAsia="zh-CN" w:bidi="ar-SA"/>
        </w:rPr>
      </w:pPr>
      <w:r>
        <w:rPr>
          <w:rFonts w:hint="eastAsia" w:ascii="Times New Roman" w:hAnsi="Times New Roman" w:eastAsia="宋体" w:cs="宋体"/>
          <w:b/>
          <w:caps w:val="0"/>
          <w:smallCaps w:val="0"/>
          <w:color w:val="auto"/>
          <w:kern w:val="2"/>
          <w:sz w:val="24"/>
          <w:szCs w:val="24"/>
          <w:lang w:val="en-US" w:eastAsia="zh-CN" w:bidi="ar-SA"/>
        </w:rPr>
        <w:t>（1）排污口规范化管理的基本原则</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（1）向环境排放污染物的排污口必须规范化；</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（2）根据工程的特点，考虑列入总量控制指标的污染物，排放废气、废水排污口为管理的重点；</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（3）排污口应便于采样与计量检测，便于日常现场监督检查。</w:t>
      </w:r>
    </w:p>
    <w:p>
      <w:pPr>
        <w:widowControl w:val="0"/>
        <w:bidi w:val="0"/>
        <w:spacing w:before="20" w:line="360" w:lineRule="auto"/>
        <w:ind w:left="0" w:leftChars="0" w:firstLine="0" w:firstLineChars="0"/>
        <w:jc w:val="both"/>
        <w:rPr>
          <w:rFonts w:hint="eastAsia" w:ascii="Times New Roman" w:hAnsi="Times New Roman" w:eastAsia="宋体" w:cs="宋体"/>
          <w:b/>
          <w:caps w:val="0"/>
          <w:smallCaps w:val="0"/>
          <w:color w:val="auto"/>
          <w:kern w:val="2"/>
          <w:sz w:val="24"/>
          <w:szCs w:val="24"/>
          <w:lang w:val="en-US" w:eastAsia="zh-CN" w:bidi="ar-SA"/>
        </w:rPr>
      </w:pPr>
      <w:r>
        <w:rPr>
          <w:rFonts w:hint="eastAsia" w:ascii="Times New Roman" w:hAnsi="Times New Roman" w:eastAsia="宋体" w:cs="宋体"/>
          <w:b/>
          <w:caps w:val="0"/>
          <w:smallCaps w:val="0"/>
          <w:color w:val="auto"/>
          <w:kern w:val="2"/>
          <w:sz w:val="24"/>
          <w:szCs w:val="24"/>
          <w:lang w:val="en-US" w:eastAsia="zh-CN" w:bidi="ar-SA"/>
        </w:rPr>
        <w:t>（2）排污口的技术要求</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（1）排污口的设置必须合理确定，按照环监（96）470号文件要求，进行规范化管理，本项目2个排气筒排污口均应按照规范设置</w:t>
      </w:r>
      <w:r>
        <w:rPr>
          <w:rFonts w:hint="eastAsia" w:ascii="Times New Roman" w:hAnsi="Times New Roman"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（2）污水排放的采样点设置应按《污染源监测技术规范》要求，主要设置在企业总排口、污水处理设施的进水和出水口等处</w:t>
      </w:r>
      <w:r>
        <w:rPr>
          <w:rFonts w:hint="eastAsia" w:ascii="Times New Roman" w:hAnsi="Times New Roman" w:cs="Times New Roman"/>
          <w:color w:val="auto"/>
          <w:kern w:val="2"/>
          <w:sz w:val="24"/>
          <w:szCs w:val="20"/>
          <w:lang w:val="en-US" w:eastAsia="zh-CN" w:bidi="ar-SA"/>
        </w:rPr>
        <w:t>；</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（3）设置规范的、便于测量流量、流速的测速段。</w:t>
      </w:r>
    </w:p>
    <w:p>
      <w:pPr>
        <w:widowControl w:val="0"/>
        <w:bidi w:val="0"/>
        <w:spacing w:before="20" w:line="360" w:lineRule="auto"/>
        <w:ind w:left="0" w:leftChars="0" w:firstLine="0" w:firstLineChars="0"/>
        <w:jc w:val="both"/>
        <w:rPr>
          <w:rFonts w:hint="eastAsia" w:ascii="Times New Roman" w:hAnsi="Times New Roman" w:eastAsia="宋体" w:cs="宋体"/>
          <w:b/>
          <w:caps w:val="0"/>
          <w:smallCaps w:val="0"/>
          <w:color w:val="auto"/>
          <w:kern w:val="2"/>
          <w:sz w:val="24"/>
          <w:szCs w:val="24"/>
          <w:lang w:val="en-US" w:eastAsia="zh-CN" w:bidi="ar-SA"/>
        </w:rPr>
      </w:pPr>
      <w:r>
        <w:rPr>
          <w:rFonts w:hint="eastAsia" w:ascii="Times New Roman" w:hAnsi="Times New Roman" w:eastAsia="宋体" w:cs="宋体"/>
          <w:b/>
          <w:caps w:val="0"/>
          <w:smallCaps w:val="0"/>
          <w:color w:val="auto"/>
          <w:kern w:val="2"/>
          <w:sz w:val="24"/>
          <w:szCs w:val="24"/>
          <w:lang w:val="en-US" w:eastAsia="zh-CN" w:bidi="ar-SA"/>
        </w:rPr>
        <w:t>（3）排污口立标管理</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污染物排放口，应按国家《环境保护图形标志》（15562.1-1995）与GB15562.2-1995的规定，设置国家环保总局统一制作的环境保护图形标志牌；本项目各废气排放口和废水处理设施均应设置相应标志，，并进行专人管理。</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w:t>
      </w:r>
      <w:r>
        <w:rPr>
          <w:rFonts w:hint="default" w:ascii="Times New Roman" w:hAnsi="Times New Roman" w:eastAsia="宋体" w:cs="Times New Roman"/>
          <w:color w:val="auto"/>
          <w:kern w:val="2"/>
          <w:sz w:val="24"/>
          <w:szCs w:val="20"/>
          <w:lang w:val="en-US" w:eastAsia="zh-CN" w:bidi="ar-SA"/>
        </w:rPr>
        <w:t>企业排放一般污染物排污口</w:t>
      </w:r>
      <w:r>
        <w:rPr>
          <w:rFonts w:hint="eastAsia" w:ascii="Times New Roman" w:hAnsi="Times New Roman" w:eastAsia="宋体" w:cs="Times New Roman"/>
          <w:color w:val="auto"/>
          <w:kern w:val="2"/>
          <w:sz w:val="24"/>
          <w:szCs w:val="20"/>
          <w:lang w:val="en-US" w:eastAsia="zh-CN" w:bidi="ar-SA"/>
        </w:rPr>
        <w:t>（</w:t>
      </w:r>
      <w:r>
        <w:rPr>
          <w:rFonts w:hint="default" w:ascii="Times New Roman" w:hAnsi="Times New Roman" w:eastAsia="宋体" w:cs="Times New Roman"/>
          <w:color w:val="auto"/>
          <w:kern w:val="2"/>
          <w:sz w:val="24"/>
          <w:szCs w:val="20"/>
          <w:lang w:val="en-US" w:eastAsia="zh-CN" w:bidi="ar-SA"/>
        </w:rPr>
        <w:t>源</w:t>
      </w:r>
      <w:r>
        <w:rPr>
          <w:rFonts w:hint="eastAsia" w:ascii="Times New Roman" w:hAnsi="Times New Roman" w:eastAsia="宋体" w:cs="Times New Roman"/>
          <w:color w:val="auto"/>
          <w:kern w:val="2"/>
          <w:sz w:val="24"/>
          <w:szCs w:val="20"/>
          <w:lang w:val="en-US" w:eastAsia="zh-CN" w:bidi="ar-SA"/>
        </w:rPr>
        <w:t>）</w:t>
      </w:r>
      <w:r>
        <w:rPr>
          <w:rFonts w:hint="default" w:ascii="Times New Roman" w:hAnsi="Times New Roman" w:eastAsia="宋体" w:cs="Times New Roman"/>
          <w:color w:val="auto"/>
          <w:kern w:val="2"/>
          <w:sz w:val="24"/>
          <w:szCs w:val="20"/>
          <w:lang w:val="en-US" w:eastAsia="zh-CN" w:bidi="ar-SA"/>
        </w:rPr>
        <w:t>，设置提示牌标志牌，排放有毒有害等污染物的排污口设置警告式标志牌。标志牌设置位置在排污口</w:t>
      </w:r>
      <w:r>
        <w:rPr>
          <w:rFonts w:hint="eastAsia" w:ascii="Times New Roman" w:hAnsi="Times New Roman" w:eastAsia="宋体" w:cs="Times New Roman"/>
          <w:color w:val="auto"/>
          <w:kern w:val="2"/>
          <w:sz w:val="24"/>
          <w:szCs w:val="20"/>
          <w:lang w:val="en-US" w:eastAsia="zh-CN" w:bidi="ar-SA"/>
        </w:rPr>
        <w:t>（</w:t>
      </w:r>
      <w:r>
        <w:rPr>
          <w:rFonts w:hint="default" w:ascii="Times New Roman" w:hAnsi="Times New Roman" w:eastAsia="宋体" w:cs="Times New Roman"/>
          <w:color w:val="auto"/>
          <w:kern w:val="2"/>
          <w:sz w:val="24"/>
          <w:szCs w:val="20"/>
          <w:lang w:val="en-US" w:eastAsia="zh-CN" w:bidi="ar-SA"/>
        </w:rPr>
        <w:t>采样点</w:t>
      </w:r>
      <w:r>
        <w:rPr>
          <w:rFonts w:hint="eastAsia" w:ascii="Times New Roman" w:hAnsi="Times New Roman" w:eastAsia="宋体" w:cs="Times New Roman"/>
          <w:color w:val="auto"/>
          <w:kern w:val="2"/>
          <w:sz w:val="24"/>
          <w:szCs w:val="20"/>
          <w:lang w:val="en-US" w:eastAsia="zh-CN" w:bidi="ar-SA"/>
        </w:rPr>
        <w:t>）</w:t>
      </w:r>
      <w:r>
        <w:rPr>
          <w:rFonts w:hint="default" w:ascii="Times New Roman" w:hAnsi="Times New Roman" w:eastAsia="宋体" w:cs="Times New Roman"/>
          <w:color w:val="auto"/>
          <w:kern w:val="2"/>
          <w:sz w:val="24"/>
          <w:szCs w:val="20"/>
          <w:lang w:val="en-US" w:eastAsia="zh-CN" w:bidi="ar-SA"/>
        </w:rPr>
        <w:t>附近且醒目处，高度为标志牌上缘离地面2m。排污口附近1m范围内有建筑物的，设平面式标志牌，无建筑物的设立式标志牌。规范化排污口的有关设置</w:t>
      </w:r>
      <w:r>
        <w:rPr>
          <w:rFonts w:hint="eastAsia" w:ascii="Times New Roman" w:hAnsi="Times New Roman" w:eastAsia="宋体" w:cs="Times New Roman"/>
          <w:color w:val="auto"/>
          <w:kern w:val="2"/>
          <w:sz w:val="24"/>
          <w:szCs w:val="20"/>
          <w:lang w:val="en-US" w:eastAsia="zh-CN" w:bidi="ar-SA"/>
        </w:rPr>
        <w:t>（</w:t>
      </w:r>
      <w:r>
        <w:rPr>
          <w:rFonts w:hint="default" w:ascii="Times New Roman" w:hAnsi="Times New Roman" w:eastAsia="宋体" w:cs="Times New Roman"/>
          <w:color w:val="auto"/>
          <w:kern w:val="2"/>
          <w:sz w:val="24"/>
          <w:szCs w:val="20"/>
          <w:lang w:val="en-US" w:eastAsia="zh-CN" w:bidi="ar-SA"/>
        </w:rPr>
        <w:t>如图形标志牌、计量装置、监控装置等</w:t>
      </w:r>
      <w:r>
        <w:rPr>
          <w:rFonts w:hint="eastAsia" w:ascii="Times New Roman" w:hAnsi="Times New Roman" w:eastAsia="宋体" w:cs="Times New Roman"/>
          <w:color w:val="auto"/>
          <w:kern w:val="2"/>
          <w:sz w:val="24"/>
          <w:szCs w:val="20"/>
          <w:lang w:val="en-US" w:eastAsia="zh-CN" w:bidi="ar-SA"/>
        </w:rPr>
        <w:t>）</w:t>
      </w:r>
      <w:r>
        <w:rPr>
          <w:rFonts w:hint="default" w:ascii="Times New Roman" w:hAnsi="Times New Roman" w:eastAsia="宋体" w:cs="Times New Roman"/>
          <w:color w:val="auto"/>
          <w:kern w:val="2"/>
          <w:sz w:val="24"/>
          <w:szCs w:val="20"/>
          <w:lang w:val="en-US" w:eastAsia="zh-CN" w:bidi="ar-SA"/>
        </w:rPr>
        <w:t>属环保设施，排污单位必须负责日常的维护保养，任何单位和个人不得擅自拆除，如需变更的须报环境监理部门同意并办理变更手续。目前厂区已经按要求对相应的排污口进标识标牌的设立，但有些废气排放口设置不规范，本次评价要求按照规范化要求进行相应排污口标识标牌完善。规范化排污口的有关设置</w:t>
      </w:r>
      <w:r>
        <w:rPr>
          <w:rFonts w:hint="eastAsia" w:ascii="Times New Roman" w:hAnsi="Times New Roman" w:eastAsia="宋体" w:cs="Times New Roman"/>
          <w:color w:val="auto"/>
          <w:kern w:val="2"/>
          <w:sz w:val="24"/>
          <w:szCs w:val="20"/>
          <w:lang w:val="en-US" w:eastAsia="zh-CN" w:bidi="ar-SA"/>
        </w:rPr>
        <w:t>（</w:t>
      </w:r>
      <w:r>
        <w:rPr>
          <w:rFonts w:hint="default" w:ascii="Times New Roman" w:hAnsi="Times New Roman" w:eastAsia="宋体" w:cs="Times New Roman"/>
          <w:color w:val="auto"/>
          <w:kern w:val="2"/>
          <w:sz w:val="24"/>
          <w:szCs w:val="20"/>
          <w:lang w:val="en-US" w:eastAsia="zh-CN" w:bidi="ar-SA"/>
        </w:rPr>
        <w:t>如图形标志牌、计量装置、监控装置等</w:t>
      </w:r>
      <w:r>
        <w:rPr>
          <w:rFonts w:hint="eastAsia" w:ascii="Times New Roman" w:hAnsi="Times New Roman" w:eastAsia="宋体" w:cs="Times New Roman"/>
          <w:color w:val="auto"/>
          <w:kern w:val="2"/>
          <w:sz w:val="24"/>
          <w:szCs w:val="20"/>
          <w:lang w:val="en-US" w:eastAsia="zh-CN" w:bidi="ar-SA"/>
        </w:rPr>
        <w:t>）</w:t>
      </w:r>
      <w:r>
        <w:rPr>
          <w:rFonts w:hint="default" w:ascii="Times New Roman" w:hAnsi="Times New Roman" w:eastAsia="宋体" w:cs="Times New Roman"/>
          <w:color w:val="auto"/>
          <w:kern w:val="2"/>
          <w:sz w:val="24"/>
          <w:szCs w:val="20"/>
          <w:lang w:val="en-US" w:eastAsia="zh-CN" w:bidi="ar-SA"/>
        </w:rPr>
        <w:t>属环保设施，排污单位必须负责日常的维护保养，任何单位和个人不得擅自拆除。</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kern w:val="2"/>
          <w:sz w:val="24"/>
          <w:szCs w:val="22"/>
          <w:lang w:val="en-US" w:eastAsia="zh-CN" w:bidi="ar-SA"/>
        </w:rPr>
      </w:pPr>
      <w:r>
        <w:rPr>
          <w:rFonts w:hint="eastAsia" w:ascii="Times New Roman" w:hAnsi="Times New Roman" w:eastAsia="宋体" w:cs="宋体"/>
          <w:b/>
          <w:bCs/>
          <w:caps w:val="0"/>
          <w:smallCaps w:val="0"/>
          <w:color w:val="auto"/>
          <w:kern w:val="2"/>
          <w:sz w:val="21"/>
          <w:szCs w:val="21"/>
          <w:lang w:val="en-US" w:eastAsia="zh-CN" w:bidi="ar-SA"/>
        </w:rPr>
        <w:t>表11.2-1  环境保护图形符合一览表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2622"/>
        <w:gridCol w:w="2683"/>
        <w:gridCol w:w="1923"/>
        <w:gridCol w:w="11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9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序号</w:t>
            </w:r>
          </w:p>
        </w:tc>
        <w:tc>
          <w:tcPr>
            <w:tcW w:w="137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提示图形符号</w:t>
            </w:r>
          </w:p>
        </w:tc>
        <w:tc>
          <w:tcPr>
            <w:tcW w:w="140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警告图形符号</w:t>
            </w:r>
          </w:p>
        </w:tc>
        <w:tc>
          <w:tcPr>
            <w:tcW w:w="101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名称</w:t>
            </w:r>
          </w:p>
        </w:tc>
        <w:tc>
          <w:tcPr>
            <w:tcW w:w="60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9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1</w:t>
            </w:r>
          </w:p>
        </w:tc>
        <w:tc>
          <w:tcPr>
            <w:tcW w:w="137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drawing>
                <wp:inline distT="0" distB="0" distL="114300" distR="114300">
                  <wp:extent cx="1478915" cy="1436370"/>
                  <wp:effectExtent l="0" t="0" r="6985" b="11430"/>
                  <wp:docPr id="41" name="图片 1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3" descr="IMG_256"/>
                          <pic:cNvPicPr>
                            <a:picLocks noChangeAspect="1"/>
                          </pic:cNvPicPr>
                        </pic:nvPicPr>
                        <pic:blipFill>
                          <a:blip r:embed="rId99"/>
                          <a:stretch>
                            <a:fillRect/>
                          </a:stretch>
                        </pic:blipFill>
                        <pic:spPr>
                          <a:xfrm>
                            <a:off x="0" y="0"/>
                            <a:ext cx="1478915" cy="1436370"/>
                          </a:xfrm>
                          <a:prstGeom prst="rect">
                            <a:avLst/>
                          </a:prstGeom>
                          <a:noFill/>
                          <a:ln>
                            <a:noFill/>
                          </a:ln>
                        </pic:spPr>
                      </pic:pic>
                    </a:graphicData>
                  </a:graphic>
                </wp:inline>
              </w:drawing>
            </w:r>
          </w:p>
        </w:tc>
        <w:tc>
          <w:tcPr>
            <w:tcW w:w="140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drawing>
                <wp:inline distT="0" distB="0" distL="114300" distR="114300">
                  <wp:extent cx="1417320" cy="1348740"/>
                  <wp:effectExtent l="0" t="0" r="11430" b="3810"/>
                  <wp:docPr id="42" name="图片 1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4" descr="IMG_256"/>
                          <pic:cNvPicPr>
                            <a:picLocks noChangeAspect="1"/>
                          </pic:cNvPicPr>
                        </pic:nvPicPr>
                        <pic:blipFill>
                          <a:blip r:embed="rId100"/>
                          <a:stretch>
                            <a:fillRect/>
                          </a:stretch>
                        </pic:blipFill>
                        <pic:spPr>
                          <a:xfrm>
                            <a:off x="0" y="0"/>
                            <a:ext cx="1417320" cy="1348740"/>
                          </a:xfrm>
                          <a:prstGeom prst="rect">
                            <a:avLst/>
                          </a:prstGeom>
                          <a:noFill/>
                          <a:ln>
                            <a:noFill/>
                          </a:ln>
                        </pic:spPr>
                      </pic:pic>
                    </a:graphicData>
                  </a:graphic>
                </wp:inline>
              </w:drawing>
            </w:r>
          </w:p>
        </w:tc>
        <w:tc>
          <w:tcPr>
            <w:tcW w:w="101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废水排放口</w:t>
            </w:r>
          </w:p>
        </w:tc>
        <w:tc>
          <w:tcPr>
            <w:tcW w:w="60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表示废水向水体排放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9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2</w:t>
            </w:r>
          </w:p>
        </w:tc>
        <w:tc>
          <w:tcPr>
            <w:tcW w:w="1377"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drawing>
                <wp:inline distT="0" distB="0" distL="114300" distR="114300">
                  <wp:extent cx="1425575" cy="1363345"/>
                  <wp:effectExtent l="0" t="0" r="3175" b="8255"/>
                  <wp:docPr id="43" name="图片 1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5" descr="IMG_256"/>
                          <pic:cNvPicPr>
                            <a:picLocks noChangeAspect="1"/>
                          </pic:cNvPicPr>
                        </pic:nvPicPr>
                        <pic:blipFill>
                          <a:blip r:embed="rId101"/>
                          <a:stretch>
                            <a:fillRect/>
                          </a:stretch>
                        </pic:blipFill>
                        <pic:spPr>
                          <a:xfrm>
                            <a:off x="0" y="0"/>
                            <a:ext cx="1425575" cy="1363345"/>
                          </a:xfrm>
                          <a:prstGeom prst="rect">
                            <a:avLst/>
                          </a:prstGeom>
                          <a:noFill/>
                          <a:ln>
                            <a:noFill/>
                          </a:ln>
                        </pic:spPr>
                      </pic:pic>
                    </a:graphicData>
                  </a:graphic>
                </wp:inline>
              </w:drawing>
            </w:r>
          </w:p>
        </w:tc>
        <w:tc>
          <w:tcPr>
            <w:tcW w:w="140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drawing>
                <wp:inline distT="0" distB="0" distL="114300" distR="114300">
                  <wp:extent cx="1362710" cy="1336675"/>
                  <wp:effectExtent l="0" t="0" r="8890" b="15875"/>
                  <wp:docPr id="44" name="图片 1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6" descr="IMG_256"/>
                          <pic:cNvPicPr>
                            <a:picLocks noChangeAspect="1"/>
                          </pic:cNvPicPr>
                        </pic:nvPicPr>
                        <pic:blipFill>
                          <a:blip r:embed="rId102"/>
                          <a:stretch>
                            <a:fillRect/>
                          </a:stretch>
                        </pic:blipFill>
                        <pic:spPr>
                          <a:xfrm>
                            <a:off x="0" y="0"/>
                            <a:ext cx="1362710" cy="1336675"/>
                          </a:xfrm>
                          <a:prstGeom prst="rect">
                            <a:avLst/>
                          </a:prstGeom>
                          <a:noFill/>
                          <a:ln>
                            <a:noFill/>
                          </a:ln>
                        </pic:spPr>
                      </pic:pic>
                    </a:graphicData>
                  </a:graphic>
                </wp:inline>
              </w:drawing>
            </w:r>
          </w:p>
        </w:tc>
        <w:tc>
          <w:tcPr>
            <w:tcW w:w="101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废气排放口</w:t>
            </w:r>
          </w:p>
        </w:tc>
        <w:tc>
          <w:tcPr>
            <w:tcW w:w="602"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表示废气向大气环境排放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99" w:type="pct"/>
            <w:vMerge w:val="restar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3</w:t>
            </w:r>
          </w:p>
        </w:tc>
        <w:tc>
          <w:tcPr>
            <w:tcW w:w="1377" w:type="pct"/>
            <w:vMerge w:val="restar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drawing>
                <wp:inline distT="0" distB="0" distL="114300" distR="114300">
                  <wp:extent cx="1426210" cy="1440180"/>
                  <wp:effectExtent l="0" t="0" r="2540" b="7620"/>
                  <wp:docPr id="45" name="图片 1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7" descr="IMG_256"/>
                          <pic:cNvPicPr>
                            <a:picLocks noChangeAspect="1"/>
                          </pic:cNvPicPr>
                        </pic:nvPicPr>
                        <pic:blipFill>
                          <a:blip r:embed="rId103"/>
                          <a:stretch>
                            <a:fillRect/>
                          </a:stretch>
                        </pic:blipFill>
                        <pic:spPr>
                          <a:xfrm>
                            <a:off x="0" y="0"/>
                            <a:ext cx="1426210" cy="1440180"/>
                          </a:xfrm>
                          <a:prstGeom prst="rect">
                            <a:avLst/>
                          </a:prstGeom>
                          <a:noFill/>
                          <a:ln>
                            <a:noFill/>
                          </a:ln>
                        </pic:spPr>
                      </pic:pic>
                    </a:graphicData>
                  </a:graphic>
                </wp:inline>
              </w:drawing>
            </w:r>
          </w:p>
        </w:tc>
        <w:tc>
          <w:tcPr>
            <w:tcW w:w="140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drawing>
                <wp:inline distT="0" distB="0" distL="114300" distR="114300">
                  <wp:extent cx="1459865" cy="1410970"/>
                  <wp:effectExtent l="0" t="0" r="6985" b="17780"/>
                  <wp:docPr id="46" name="图片 1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8" descr="IMG_256"/>
                          <pic:cNvPicPr>
                            <a:picLocks noChangeAspect="1"/>
                          </pic:cNvPicPr>
                        </pic:nvPicPr>
                        <pic:blipFill>
                          <a:blip r:embed="rId104"/>
                          <a:stretch>
                            <a:fillRect/>
                          </a:stretch>
                        </pic:blipFill>
                        <pic:spPr>
                          <a:xfrm>
                            <a:off x="0" y="0"/>
                            <a:ext cx="1459865" cy="1410970"/>
                          </a:xfrm>
                          <a:prstGeom prst="rect">
                            <a:avLst/>
                          </a:prstGeom>
                          <a:noFill/>
                          <a:ln>
                            <a:noFill/>
                          </a:ln>
                        </pic:spPr>
                      </pic:pic>
                    </a:graphicData>
                  </a:graphic>
                </wp:inline>
              </w:drawing>
            </w:r>
          </w:p>
        </w:tc>
        <w:tc>
          <w:tcPr>
            <w:tcW w:w="101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一般固体废物</w:t>
            </w:r>
          </w:p>
        </w:tc>
        <w:tc>
          <w:tcPr>
            <w:tcW w:w="602" w:type="pct"/>
            <w:vMerge w:val="restar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表示固体废物贮存、处置场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99"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p>
        </w:tc>
        <w:tc>
          <w:tcPr>
            <w:tcW w:w="1377" w:type="pct"/>
            <w:vMerge w:val="continue"/>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p>
        </w:tc>
        <w:tc>
          <w:tcPr>
            <w:tcW w:w="1409"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1"/>
                <w:szCs w:val="20"/>
                <w:lang w:val="en-US" w:eastAsia="zh-CN" w:bidi="ar-SA"/>
              </w:rPr>
              <w:drawing>
                <wp:inline distT="0" distB="0" distL="114300" distR="114300">
                  <wp:extent cx="1518920" cy="1459865"/>
                  <wp:effectExtent l="0" t="0" r="5080" b="6985"/>
                  <wp:docPr id="47" name="图片 1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9" descr="IMG_256"/>
                          <pic:cNvPicPr>
                            <a:picLocks noChangeAspect="1"/>
                          </pic:cNvPicPr>
                        </pic:nvPicPr>
                        <pic:blipFill>
                          <a:blip r:embed="rId105"/>
                          <a:stretch>
                            <a:fillRect/>
                          </a:stretch>
                        </pic:blipFill>
                        <pic:spPr>
                          <a:xfrm>
                            <a:off x="0" y="0"/>
                            <a:ext cx="1518920" cy="1459865"/>
                          </a:xfrm>
                          <a:prstGeom prst="rect">
                            <a:avLst/>
                          </a:prstGeom>
                          <a:noFill/>
                          <a:ln>
                            <a:noFill/>
                          </a:ln>
                        </pic:spPr>
                      </pic:pic>
                    </a:graphicData>
                  </a:graphic>
                </wp:inline>
              </w:drawing>
            </w:r>
          </w:p>
        </w:tc>
        <w:tc>
          <w:tcPr>
            <w:tcW w:w="1010"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危险废物</w:t>
            </w:r>
          </w:p>
        </w:tc>
        <w:tc>
          <w:tcPr>
            <w:tcW w:w="602" w:type="pct"/>
            <w:vMerge w:val="continue"/>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0"/>
                <w:lang w:val="en-US" w:eastAsia="zh-CN" w:bidi="ar-SA"/>
              </w:rPr>
            </w:pPr>
          </w:p>
        </w:tc>
      </w:tr>
    </w:tbl>
    <w:p>
      <w:pPr>
        <w:widowControl w:val="0"/>
        <w:bidi w:val="0"/>
        <w:spacing w:before="20" w:line="360" w:lineRule="auto"/>
        <w:ind w:left="0" w:leftChars="0" w:firstLine="0" w:firstLineChars="0"/>
        <w:jc w:val="both"/>
        <w:rPr>
          <w:rFonts w:hint="eastAsia" w:ascii="Times New Roman" w:hAnsi="Times New Roman" w:eastAsia="宋体" w:cs="宋体"/>
          <w:b/>
          <w:caps w:val="0"/>
          <w:smallCaps w:val="0"/>
          <w:color w:val="auto"/>
          <w:kern w:val="2"/>
          <w:sz w:val="24"/>
          <w:szCs w:val="24"/>
          <w:lang w:val="en-US" w:eastAsia="zh-CN" w:bidi="ar-SA"/>
        </w:rPr>
      </w:pPr>
      <w:r>
        <w:rPr>
          <w:rFonts w:hint="eastAsia" w:ascii="Times New Roman" w:hAnsi="Times New Roman" w:eastAsia="宋体" w:cs="宋体"/>
          <w:b/>
          <w:caps w:val="0"/>
          <w:smallCaps w:val="0"/>
          <w:color w:val="auto"/>
          <w:kern w:val="2"/>
          <w:sz w:val="24"/>
          <w:szCs w:val="24"/>
          <w:lang w:val="en-US" w:eastAsia="zh-CN" w:bidi="ar-SA"/>
        </w:rPr>
        <w:t>（4）排污口建档管理</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（1）要求使用国家环保局统一印制的《中华人民共和国规范化排污口标志牌登记证》，并按要求填写有关内容；</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（2）根据排污口管理档案内容要求，项目建成投产后，应将主要污染物种类、数量、浓度、排放去向、达标情况及设施运行情况记录于档案。</w:t>
      </w:r>
    </w:p>
    <w:p>
      <w:pPr>
        <w:keepNext/>
        <w:keepLines/>
        <w:widowControl w:val="0"/>
        <w:bidi w:val="0"/>
        <w:spacing w:before="260" w:beforeLines="0" w:beforeAutospacing="0" w:after="260" w:afterLines="0" w:afterAutospacing="0" w:line="360" w:lineRule="auto"/>
        <w:jc w:val="both"/>
        <w:outlineLvl w:val="1"/>
        <w:rPr>
          <w:rFonts w:ascii="Times New Roman" w:hAnsi="Times New Roman" w:eastAsia="宋体" w:cs="Times New Roman"/>
          <w:b/>
          <w:color w:val="auto"/>
          <w:kern w:val="2"/>
          <w:sz w:val="30"/>
          <w:szCs w:val="22"/>
          <w:lang w:val="en-US" w:eastAsia="zh-CN" w:bidi="ar-SA"/>
        </w:rPr>
      </w:pPr>
      <w:bookmarkStart w:id="447" w:name="_Toc351971040"/>
      <w:bookmarkStart w:id="448" w:name="_Toc182638523"/>
      <w:bookmarkStart w:id="449" w:name="_Toc181686490"/>
      <w:bookmarkStart w:id="450" w:name="_Toc162858939"/>
      <w:bookmarkStart w:id="451" w:name="_Toc180808322"/>
      <w:bookmarkStart w:id="452" w:name="_Toc161056746"/>
      <w:bookmarkStart w:id="453" w:name="_Toc22829"/>
      <w:bookmarkStart w:id="454" w:name="_Toc213667823"/>
      <w:bookmarkStart w:id="455" w:name="_Toc181015508"/>
      <w:bookmarkStart w:id="456" w:name="_Toc162858757"/>
      <w:bookmarkStart w:id="457" w:name="_Toc160145979"/>
      <w:bookmarkStart w:id="458" w:name="_Toc162857338"/>
      <w:bookmarkStart w:id="459" w:name="_Toc160615900"/>
      <w:bookmarkStart w:id="460" w:name="_Toc160508036"/>
      <w:bookmarkStart w:id="461" w:name="_Toc164000637"/>
      <w:bookmarkStart w:id="462" w:name="_Toc29071"/>
      <w:bookmarkStart w:id="463" w:name="_Toc14357"/>
      <w:bookmarkStart w:id="464" w:name="_Toc403223324"/>
      <w:bookmarkStart w:id="465" w:name="_Toc162864546"/>
      <w:bookmarkStart w:id="466" w:name="_Toc162859025"/>
      <w:r>
        <w:rPr>
          <w:rFonts w:hint="eastAsia" w:ascii="Times New Roman" w:hAnsi="Times New Roman" w:eastAsia="宋体" w:cs="Times New Roman"/>
          <w:b/>
          <w:color w:val="auto"/>
          <w:kern w:val="2"/>
          <w:sz w:val="30"/>
          <w:szCs w:val="22"/>
          <w:lang w:val="en-US" w:eastAsia="zh-CN" w:bidi="ar-SA"/>
        </w:rPr>
        <w:t>11</w:t>
      </w:r>
      <w:r>
        <w:rPr>
          <w:rFonts w:ascii="Times New Roman" w:hAnsi="Times New Roman" w:eastAsia="宋体" w:cs="Times New Roman"/>
          <w:b/>
          <w:color w:val="auto"/>
          <w:kern w:val="2"/>
          <w:sz w:val="30"/>
          <w:szCs w:val="22"/>
          <w:lang w:val="en-US" w:eastAsia="zh-CN" w:bidi="ar-SA"/>
        </w:rPr>
        <w:t>.3</w:t>
      </w:r>
      <w:r>
        <w:rPr>
          <w:rFonts w:hint="eastAsia" w:ascii="Times New Roman" w:hAnsi="Times New Roman" w:eastAsia="宋体" w:cs="Times New Roman"/>
          <w:b/>
          <w:color w:val="auto"/>
          <w:kern w:val="2"/>
          <w:sz w:val="30"/>
          <w:szCs w:val="22"/>
          <w:lang w:val="en-US" w:eastAsia="zh-CN" w:bidi="ar-SA"/>
        </w:rPr>
        <w:t>环境监测计划</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可委托当地有资质的环境监测机构进行监测。</w:t>
      </w:r>
    </w:p>
    <w:p>
      <w:pPr>
        <w:keepNext/>
        <w:keepLines/>
        <w:widowControl w:val="0"/>
        <w:bidi w:val="0"/>
        <w:spacing w:before="260" w:beforeLines="0" w:beforeAutospacing="0" w:after="260" w:afterLines="0" w:afterAutospacing="0" w:line="360" w:lineRule="auto"/>
        <w:jc w:val="both"/>
        <w:outlineLvl w:val="2"/>
        <w:rPr>
          <w:rFonts w:ascii="Times New Roman" w:hAnsi="Times New Roman" w:eastAsia="宋体" w:cs="Times New Roman"/>
          <w:b/>
          <w:color w:val="auto"/>
          <w:kern w:val="2"/>
          <w:sz w:val="28"/>
          <w:szCs w:val="22"/>
          <w:lang w:val="en-US" w:eastAsia="zh-CN" w:bidi="ar-SA"/>
        </w:rPr>
      </w:pPr>
      <w:bookmarkStart w:id="467" w:name="_Toc23642"/>
      <w:r>
        <w:rPr>
          <w:rFonts w:hint="eastAsia" w:ascii="Times New Roman" w:hAnsi="Times New Roman" w:eastAsia="宋体" w:cs="Times New Roman"/>
          <w:b/>
          <w:color w:val="auto"/>
          <w:kern w:val="2"/>
          <w:sz w:val="28"/>
          <w:szCs w:val="22"/>
          <w:lang w:val="en-US" w:eastAsia="zh-CN" w:bidi="ar-SA"/>
        </w:rPr>
        <w:t>11</w:t>
      </w:r>
      <w:r>
        <w:rPr>
          <w:rFonts w:ascii="Times New Roman" w:hAnsi="Times New Roman" w:eastAsia="宋体" w:cs="Times New Roman"/>
          <w:b/>
          <w:color w:val="auto"/>
          <w:kern w:val="2"/>
          <w:sz w:val="28"/>
          <w:szCs w:val="22"/>
          <w:lang w:val="en-US" w:eastAsia="zh-CN" w:bidi="ar-SA"/>
        </w:rPr>
        <w:t>.3.1</w:t>
      </w:r>
      <w:r>
        <w:rPr>
          <w:rFonts w:hint="eastAsia" w:ascii="Times New Roman" w:hAnsi="Times New Roman" w:eastAsia="宋体" w:cs="Times New Roman"/>
          <w:b/>
          <w:color w:val="auto"/>
          <w:kern w:val="2"/>
          <w:sz w:val="28"/>
          <w:szCs w:val="22"/>
          <w:lang w:val="en-US" w:eastAsia="zh-CN" w:bidi="ar-SA"/>
        </w:rPr>
        <w:t>污染源监测计划</w:t>
      </w:r>
      <w:bookmarkEnd w:id="467"/>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主要对项目产生废水、废气、噪声进行监测。监测类别、监测位置、监测污染物及监测频率详见表11</w:t>
      </w:r>
      <w:r>
        <w:rPr>
          <w:rFonts w:ascii="Times New Roman" w:hAnsi="Times New Roman" w:eastAsia="宋体" w:cs="Times New Roman"/>
          <w:color w:val="auto"/>
          <w:kern w:val="2"/>
          <w:sz w:val="24"/>
          <w:szCs w:val="20"/>
          <w:lang w:val="en-US" w:eastAsia="zh-CN" w:bidi="ar-SA"/>
        </w:rPr>
        <w:t>.3-1</w:t>
      </w:r>
      <w:r>
        <w:rPr>
          <w:rFonts w:hint="eastAsia" w:ascii="Times New Roman" w:hAnsi="Times New Roman" w:eastAsia="宋体" w:cs="Times New Roman"/>
          <w:color w:val="auto"/>
          <w:kern w:val="2"/>
          <w:sz w:val="24"/>
          <w:szCs w:val="20"/>
          <w:lang w:val="en-US" w:eastAsia="zh-CN" w:bidi="ar-SA"/>
        </w:rPr>
        <w:t>。</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1</w:t>
      </w:r>
      <w:r>
        <w:rPr>
          <w:rFonts w:hint="eastAsia" w:ascii="Times New Roman" w:hAnsi="Times New Roman" w:eastAsia="宋体" w:cs="Times New Roman"/>
          <w:color w:val="auto"/>
          <w:kern w:val="2"/>
          <w:sz w:val="24"/>
          <w:szCs w:val="20"/>
          <w:lang w:val="en-US" w:eastAsia="zh-CN" w:bidi="ar-SA"/>
        </w:rPr>
        <w:t>）根据园区排污环保要求，凌峰公司需在总排水口安装污水流量计和</w:t>
      </w:r>
      <w:r>
        <w:rPr>
          <w:rFonts w:ascii="Times New Roman" w:hAnsi="Times New Roman" w:eastAsia="宋体" w:cs="Times New Roman"/>
          <w:color w:val="auto"/>
          <w:kern w:val="2"/>
          <w:sz w:val="24"/>
          <w:szCs w:val="20"/>
          <w:lang w:val="en-US" w:eastAsia="zh-CN" w:bidi="ar-SA"/>
        </w:rPr>
        <w:t>COD</w:t>
      </w:r>
      <w:r>
        <w:rPr>
          <w:rFonts w:hint="eastAsia" w:ascii="Times New Roman" w:hAnsi="Times New Roman" w:eastAsia="宋体" w:cs="Times New Roman"/>
          <w:color w:val="auto"/>
          <w:kern w:val="2"/>
          <w:sz w:val="24"/>
          <w:szCs w:val="20"/>
          <w:lang w:val="en-US" w:eastAsia="zh-CN" w:bidi="ar-SA"/>
        </w:rPr>
        <w:t>在线监测仪及超标自动切断阀。</w:t>
      </w:r>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w:t>
      </w:r>
      <w:r>
        <w:rPr>
          <w:rFonts w:ascii="Times New Roman" w:hAnsi="Times New Roman" w:eastAsia="宋体" w:cs="Times New Roman"/>
          <w:color w:val="auto"/>
          <w:kern w:val="2"/>
          <w:sz w:val="24"/>
          <w:szCs w:val="20"/>
          <w:lang w:val="en-US" w:eastAsia="zh-CN" w:bidi="ar-SA"/>
        </w:rPr>
        <w:t>2</w:t>
      </w:r>
      <w:r>
        <w:rPr>
          <w:rFonts w:hint="eastAsia" w:ascii="Times New Roman" w:hAnsi="Times New Roman" w:eastAsia="宋体" w:cs="Times New Roman"/>
          <w:color w:val="auto"/>
          <w:kern w:val="2"/>
          <w:sz w:val="24"/>
          <w:szCs w:val="20"/>
          <w:lang w:val="en-US" w:eastAsia="zh-CN" w:bidi="ar-SA"/>
        </w:rPr>
        <w:t>）废气排放筒设直径不小于</w:t>
      </w:r>
      <w:r>
        <w:rPr>
          <w:rFonts w:ascii="Times New Roman" w:hAnsi="Times New Roman" w:eastAsia="宋体" w:cs="Times New Roman"/>
          <w:color w:val="auto"/>
          <w:kern w:val="2"/>
          <w:sz w:val="24"/>
          <w:szCs w:val="20"/>
          <w:lang w:val="en-US" w:eastAsia="zh-CN" w:bidi="ar-SA"/>
        </w:rPr>
        <w:t>75mm</w:t>
      </w:r>
      <w:r>
        <w:rPr>
          <w:rFonts w:hint="eastAsia" w:ascii="Times New Roman" w:hAnsi="Times New Roman" w:eastAsia="宋体" w:cs="Times New Roman"/>
          <w:color w:val="auto"/>
          <w:kern w:val="2"/>
          <w:sz w:val="24"/>
          <w:szCs w:val="20"/>
          <w:lang w:val="en-US" w:eastAsia="zh-CN" w:bidi="ar-SA"/>
        </w:rPr>
        <w:t>的采样口，不监测时用管帽、盖板等封闭。</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表11</w:t>
      </w:r>
      <w:r>
        <w:rPr>
          <w:rFonts w:ascii="Times New Roman" w:hAnsi="Times New Roman" w:eastAsia="宋体" w:cs="Times New Roman"/>
          <w:b/>
          <w:color w:val="auto"/>
          <w:kern w:val="2"/>
          <w:sz w:val="24"/>
          <w:szCs w:val="24"/>
          <w:lang w:val="en-US" w:eastAsia="zh-CN" w:bidi="ar-SA"/>
        </w:rPr>
        <w:t>.3-1</w:t>
      </w:r>
      <w:r>
        <w:rPr>
          <w:rFonts w:hint="eastAsia" w:ascii="Times New Roman" w:hAnsi="Times New Roman" w:cs="Times New Roman"/>
          <w:b/>
          <w:color w:val="auto"/>
          <w:kern w:val="2"/>
          <w:sz w:val="24"/>
          <w:szCs w:val="24"/>
          <w:lang w:val="en-US" w:eastAsia="zh-CN" w:bidi="ar-SA"/>
        </w:rPr>
        <w:t xml:space="preserve">  </w:t>
      </w:r>
      <w:r>
        <w:rPr>
          <w:rFonts w:hint="eastAsia" w:ascii="Times New Roman" w:hAnsi="Times New Roman" w:eastAsia="宋体" w:cs="Times New Roman"/>
          <w:b/>
          <w:color w:val="auto"/>
          <w:kern w:val="2"/>
          <w:sz w:val="24"/>
          <w:szCs w:val="24"/>
          <w:lang w:val="en-US" w:eastAsia="zh-CN" w:bidi="ar-SA"/>
        </w:rPr>
        <w:t>污染源监测计划</w:t>
      </w:r>
    </w:p>
    <w:tbl>
      <w:tblPr>
        <w:tblStyle w:val="27"/>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2"/>
        <w:gridCol w:w="852"/>
        <w:gridCol w:w="2"/>
        <w:gridCol w:w="2578"/>
        <w:gridCol w:w="2"/>
        <w:gridCol w:w="3774"/>
        <w:gridCol w:w="2"/>
        <w:gridCol w:w="1441"/>
        <w:gridCol w:w="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45" w:type="pct"/>
            <w:gridSpan w:val="2"/>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工程</w:t>
            </w:r>
          </w:p>
        </w:tc>
        <w:tc>
          <w:tcPr>
            <w:tcW w:w="449"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类别</w:t>
            </w: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监测位置</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监测因子</w:t>
            </w:r>
          </w:p>
        </w:tc>
        <w:tc>
          <w:tcPr>
            <w:tcW w:w="761"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45" w:type="pct"/>
            <w:gridSpan w:val="2"/>
            <w:vMerge w:val="restar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现有一期工程</w:t>
            </w:r>
          </w:p>
        </w:tc>
        <w:tc>
          <w:tcPr>
            <w:tcW w:w="449"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废水</w:t>
            </w: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厂区总排口</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pH、CODcr、BOD</w:t>
            </w:r>
            <w:r>
              <w:rPr>
                <w:rFonts w:hint="eastAsia" w:ascii="Times New Roman" w:hAnsi="Times New Roman" w:eastAsia="宋体" w:cs="Times New Roman"/>
                <w:color w:val="auto"/>
                <w:kern w:val="2"/>
                <w:sz w:val="21"/>
                <w:szCs w:val="21"/>
                <w:u w:val="single"/>
                <w:vertAlign w:val="subscript"/>
                <w:lang w:val="en-US" w:eastAsia="zh-CN" w:bidi="ar-SA"/>
              </w:rPr>
              <w:t>5</w:t>
            </w:r>
            <w:r>
              <w:rPr>
                <w:rFonts w:hint="eastAsia" w:ascii="Times New Roman" w:hAnsi="Times New Roman" w:eastAsia="宋体" w:cs="Times New Roman"/>
                <w:color w:val="auto"/>
                <w:kern w:val="2"/>
                <w:sz w:val="21"/>
                <w:szCs w:val="21"/>
                <w:u w:val="single"/>
                <w:lang w:val="en-US" w:eastAsia="zh-CN" w:bidi="ar-SA"/>
              </w:rPr>
              <w:t>、SS、NH</w:t>
            </w:r>
            <w:r>
              <w:rPr>
                <w:rFonts w:hint="eastAsia" w:ascii="Times New Roman" w:hAnsi="Times New Roman" w:eastAsia="宋体" w:cs="Times New Roman"/>
                <w:color w:val="auto"/>
                <w:kern w:val="2"/>
                <w:sz w:val="21"/>
                <w:szCs w:val="21"/>
                <w:u w:val="single"/>
                <w:vertAlign w:val="subscript"/>
                <w:lang w:val="en-US" w:eastAsia="zh-CN" w:bidi="ar-SA"/>
              </w:rPr>
              <w:t>3</w:t>
            </w:r>
            <w:r>
              <w:rPr>
                <w:rFonts w:hint="eastAsia" w:ascii="Times New Roman" w:hAnsi="Times New Roman" w:eastAsia="宋体" w:cs="Times New Roman"/>
                <w:color w:val="auto"/>
                <w:kern w:val="2"/>
                <w:sz w:val="21"/>
                <w:szCs w:val="21"/>
                <w:u w:val="single"/>
                <w:lang w:val="en-US" w:eastAsia="zh-CN" w:bidi="ar-SA"/>
              </w:rPr>
              <w:t>-N、石油类、排水量。</w:t>
            </w:r>
          </w:p>
        </w:tc>
        <w:tc>
          <w:tcPr>
            <w:tcW w:w="761"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一年一次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44" w:hRule="atLeast"/>
          <w:jc w:val="center"/>
        </w:trPr>
        <w:tc>
          <w:tcPr>
            <w:tcW w:w="445"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废气</w:t>
            </w: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20m排气筒</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color w:val="auto"/>
                <w:kern w:val="24"/>
                <w:sz w:val="21"/>
                <w:szCs w:val="21"/>
                <w:u w:val="single"/>
              </w:rPr>
              <w:t>非甲烷总烃、苯乙烯。</w:t>
            </w:r>
          </w:p>
        </w:tc>
        <w:tc>
          <w:tcPr>
            <w:tcW w:w="761" w:type="pct"/>
            <w:gridSpan w:val="2"/>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45"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厂界</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color w:val="auto"/>
                <w:kern w:val="24"/>
                <w:sz w:val="21"/>
                <w:szCs w:val="21"/>
                <w:u w:val="single"/>
              </w:rPr>
              <w:t>非甲烷总烃</w:t>
            </w:r>
            <w:r>
              <w:rPr>
                <w:rStyle w:val="26"/>
                <w:color w:val="auto"/>
                <w:sz w:val="21"/>
                <w:szCs w:val="21"/>
                <w:u w:val="single"/>
              </w:rPr>
              <w:t>、苯乙烯。</w:t>
            </w:r>
          </w:p>
        </w:tc>
        <w:tc>
          <w:tcPr>
            <w:tcW w:w="761"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45"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噪声</w:t>
            </w: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厂界</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aps w:val="0"/>
                <w:smallCaps w:val="0"/>
                <w:color w:val="auto"/>
                <w:u w:val="single"/>
              </w:rPr>
              <w:t>昼、夜</w:t>
            </w:r>
            <w:r>
              <w:rPr>
                <w:rFonts w:hint="eastAsia" w:ascii="Times New Roman" w:hAnsi="Times New Roman" w:eastAsia="宋体" w:cs="Times New Roman"/>
                <w:color w:val="auto"/>
                <w:kern w:val="2"/>
                <w:sz w:val="21"/>
                <w:szCs w:val="21"/>
                <w:u w:val="single"/>
                <w:lang w:val="en-US" w:eastAsia="zh-CN" w:bidi="ar-SA"/>
              </w:rPr>
              <w:t>等效A声级</w:t>
            </w:r>
          </w:p>
        </w:tc>
        <w:tc>
          <w:tcPr>
            <w:tcW w:w="761"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45" w:type="pct"/>
            <w:gridSpan w:val="2"/>
            <w:vMerge w:val="restar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现有二期工程</w:t>
            </w:r>
          </w:p>
        </w:tc>
        <w:tc>
          <w:tcPr>
            <w:tcW w:w="449" w:type="pct"/>
            <w:gridSpan w:val="2"/>
            <w:tcBorders>
              <w:tl2br w:val="nil"/>
              <w:tr2bl w:val="nil"/>
            </w:tcBorders>
            <w:noWrap w:val="0"/>
            <w:vAlign w:val="center"/>
          </w:tcPr>
          <w:p>
            <w:pPr>
              <w:spacing w:line="360" w:lineRule="exact"/>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aps w:val="0"/>
                <w:smallCaps w:val="0"/>
                <w:color w:val="auto"/>
                <w:u w:val="single"/>
              </w:rPr>
              <w:t>废水</w:t>
            </w:r>
          </w:p>
        </w:tc>
        <w:tc>
          <w:tcPr>
            <w:tcW w:w="1357" w:type="pct"/>
            <w:gridSpan w:val="2"/>
            <w:tcBorders>
              <w:tl2br w:val="nil"/>
              <w:tr2bl w:val="nil"/>
            </w:tcBorders>
            <w:noWrap w:val="0"/>
            <w:vAlign w:val="center"/>
          </w:tcPr>
          <w:p>
            <w:pPr>
              <w:spacing w:line="360" w:lineRule="exact"/>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aps w:val="0"/>
                <w:smallCaps w:val="0"/>
                <w:color w:val="auto"/>
                <w:u w:val="single"/>
              </w:rPr>
              <w:t>厂区总排口</w:t>
            </w:r>
          </w:p>
        </w:tc>
        <w:tc>
          <w:tcPr>
            <w:tcW w:w="1986" w:type="pct"/>
            <w:gridSpan w:val="2"/>
            <w:tcBorders>
              <w:tl2br w:val="nil"/>
              <w:tr2bl w:val="nil"/>
            </w:tcBorders>
            <w:noWrap w:val="0"/>
            <w:vAlign w:val="center"/>
          </w:tcPr>
          <w:p>
            <w:pPr>
              <w:spacing w:line="360" w:lineRule="exact"/>
              <w:jc w:val="center"/>
              <w:rPr>
                <w:rFonts w:hint="eastAsia" w:ascii="Times New Roman" w:hAnsi="Times New Roman" w:eastAsia="宋体" w:cs="Times New Roman"/>
                <w:color w:val="auto"/>
                <w:kern w:val="2"/>
                <w:sz w:val="21"/>
                <w:szCs w:val="21"/>
                <w:u w:val="single"/>
                <w:lang w:val="en-US" w:eastAsia="zh-CN" w:bidi="ar-SA"/>
              </w:rPr>
            </w:pPr>
            <w:r>
              <w:rPr>
                <w:rFonts w:ascii="Times New Roman" w:hAnsi="Times New Roman"/>
                <w:caps w:val="0"/>
                <w:smallCaps w:val="0"/>
                <w:color w:val="auto"/>
                <w:u w:val="single"/>
              </w:rPr>
              <w:t>pH</w:t>
            </w:r>
            <w:r>
              <w:rPr>
                <w:rFonts w:hint="eastAsia" w:ascii="Times New Roman" w:hAnsi="Times New Roman"/>
                <w:caps w:val="0"/>
                <w:smallCaps w:val="0"/>
                <w:color w:val="auto"/>
                <w:u w:val="single"/>
              </w:rPr>
              <w:t>、</w:t>
            </w:r>
            <w:r>
              <w:rPr>
                <w:rFonts w:ascii="Times New Roman" w:hAnsi="Times New Roman"/>
                <w:caps w:val="0"/>
                <w:smallCaps w:val="0"/>
                <w:color w:val="auto"/>
                <w:u w:val="single"/>
              </w:rPr>
              <w:t>COD</w:t>
            </w:r>
            <w:r>
              <w:rPr>
                <w:rFonts w:hint="eastAsia" w:ascii="Times New Roman" w:hAnsi="Times New Roman"/>
                <w:caps w:val="0"/>
                <w:smallCaps w:val="0"/>
                <w:color w:val="auto"/>
                <w:u w:val="single"/>
              </w:rPr>
              <w:t>、</w:t>
            </w:r>
            <w:r>
              <w:rPr>
                <w:rFonts w:ascii="Times New Roman" w:hAnsi="Times New Roman"/>
                <w:caps w:val="0"/>
                <w:smallCaps w:val="0"/>
                <w:color w:val="auto"/>
                <w:u w:val="single"/>
              </w:rPr>
              <w:t>BOD</w:t>
            </w:r>
            <w:r>
              <w:rPr>
                <w:rFonts w:ascii="Times New Roman" w:hAnsi="Times New Roman"/>
                <w:caps w:val="0"/>
                <w:smallCaps w:val="0"/>
                <w:color w:val="auto"/>
                <w:u w:val="single"/>
                <w:vertAlign w:val="subscript"/>
              </w:rPr>
              <w:t>5</w:t>
            </w:r>
            <w:r>
              <w:rPr>
                <w:rFonts w:hint="eastAsia" w:ascii="Times New Roman" w:hAnsi="Times New Roman"/>
                <w:caps w:val="0"/>
                <w:smallCaps w:val="0"/>
                <w:color w:val="auto"/>
                <w:u w:val="single"/>
              </w:rPr>
              <w:t>、挥发酚、石油类、SS、氨氮、AOX</w:t>
            </w:r>
          </w:p>
        </w:tc>
        <w:tc>
          <w:tcPr>
            <w:tcW w:w="761" w:type="pct"/>
            <w:gridSpan w:val="2"/>
            <w:tcBorders>
              <w:tl2br w:val="nil"/>
              <w:tr2bl w:val="nil"/>
            </w:tcBorders>
            <w:noWrap w:val="0"/>
            <w:vAlign w:val="center"/>
          </w:tcPr>
          <w:p>
            <w:pPr>
              <w:spacing w:line="360" w:lineRule="exact"/>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一年一次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45"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vMerge w:val="restart"/>
            <w:tcBorders>
              <w:tl2br w:val="nil"/>
              <w:tr2bl w:val="nil"/>
            </w:tcBorders>
            <w:noWrap w:val="0"/>
            <w:vAlign w:val="center"/>
          </w:tcPr>
          <w:p>
            <w:pPr>
              <w:spacing w:line="360" w:lineRule="exact"/>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aps w:val="0"/>
                <w:smallCaps w:val="0"/>
                <w:color w:val="auto"/>
                <w:u w:val="single"/>
              </w:rPr>
              <w:t>废气</w:t>
            </w:r>
          </w:p>
        </w:tc>
        <w:tc>
          <w:tcPr>
            <w:tcW w:w="1357" w:type="pct"/>
            <w:gridSpan w:val="2"/>
            <w:tcBorders>
              <w:tl2br w:val="nil"/>
              <w:tr2bl w:val="nil"/>
            </w:tcBorders>
            <w:noWrap w:val="0"/>
            <w:vAlign w:val="center"/>
          </w:tcPr>
          <w:p>
            <w:pPr>
              <w:spacing w:line="360" w:lineRule="exact"/>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aps w:val="0"/>
                <w:smallCaps w:val="0"/>
                <w:color w:val="auto"/>
                <w:u w:val="single"/>
              </w:rPr>
              <w:t>厂界</w:t>
            </w:r>
          </w:p>
        </w:tc>
        <w:tc>
          <w:tcPr>
            <w:tcW w:w="1986" w:type="pct"/>
            <w:gridSpan w:val="2"/>
            <w:tcBorders>
              <w:tl2br w:val="nil"/>
              <w:tr2bl w:val="nil"/>
            </w:tcBorders>
            <w:noWrap w:val="0"/>
            <w:vAlign w:val="center"/>
          </w:tcPr>
          <w:p>
            <w:pPr>
              <w:spacing w:line="360" w:lineRule="exact"/>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aps w:val="0"/>
                <w:smallCaps w:val="0"/>
                <w:color w:val="auto"/>
                <w:u w:val="single"/>
              </w:rPr>
              <w:t>氯化氢、臭气浓度、非甲烷总烃、二甲苯、颗粒物</w:t>
            </w:r>
          </w:p>
        </w:tc>
        <w:tc>
          <w:tcPr>
            <w:tcW w:w="761" w:type="pct"/>
            <w:gridSpan w:val="2"/>
            <w:vMerge w:val="restart"/>
            <w:tcBorders>
              <w:tl2br w:val="nil"/>
              <w:tr2bl w:val="nil"/>
            </w:tcBorders>
            <w:noWrap w:val="0"/>
            <w:vAlign w:val="center"/>
          </w:tcPr>
          <w:p>
            <w:pPr>
              <w:spacing w:line="360" w:lineRule="exact"/>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45"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vMerge w:val="continue"/>
            <w:tcBorders>
              <w:tl2br w:val="nil"/>
              <w:tr2bl w:val="nil"/>
            </w:tcBorders>
            <w:noWrap w:val="0"/>
            <w:vAlign w:val="center"/>
          </w:tcPr>
          <w:p>
            <w:pPr>
              <w:widowControl/>
              <w:jc w:val="center"/>
              <w:rPr>
                <w:rFonts w:hint="eastAsia" w:ascii="Times New Roman" w:hAnsi="Times New Roman" w:cs="Times New Roman"/>
                <w:color w:val="auto"/>
                <w:kern w:val="2"/>
                <w:sz w:val="21"/>
                <w:szCs w:val="21"/>
                <w:u w:val="single"/>
                <w:lang w:val="en-US" w:eastAsia="zh-CN" w:bidi="ar-SA"/>
              </w:rPr>
            </w:pPr>
          </w:p>
        </w:tc>
        <w:tc>
          <w:tcPr>
            <w:tcW w:w="1357" w:type="pct"/>
            <w:gridSpan w:val="2"/>
            <w:tcBorders>
              <w:tl2br w:val="nil"/>
              <w:tr2bl w:val="nil"/>
            </w:tcBorders>
            <w:noWrap w:val="0"/>
            <w:vAlign w:val="center"/>
          </w:tcPr>
          <w:p>
            <w:pPr>
              <w:spacing w:line="360" w:lineRule="exact"/>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aps w:val="0"/>
                <w:smallCaps w:val="0"/>
                <w:color w:val="auto"/>
                <w:u w:val="single"/>
                <w:lang w:eastAsia="zh-CN"/>
              </w:rPr>
              <w:t>一期建设</w:t>
            </w:r>
            <w:r>
              <w:rPr>
                <w:rFonts w:hint="eastAsia" w:ascii="Times New Roman" w:hAnsi="Times New Roman"/>
                <w:caps w:val="0"/>
                <w:smallCaps w:val="0"/>
                <w:color w:val="auto"/>
                <w:u w:val="single"/>
                <w:lang w:val="en-US" w:eastAsia="zh-CN"/>
              </w:rPr>
              <w:t>20m高</w:t>
            </w:r>
            <w:r>
              <w:rPr>
                <w:rFonts w:hint="eastAsia" w:ascii="Times New Roman" w:hAnsi="Times New Roman"/>
                <w:caps w:val="0"/>
                <w:smallCaps w:val="0"/>
                <w:color w:val="auto"/>
                <w:u w:val="single"/>
                <w:lang w:eastAsia="zh-CN"/>
              </w:rPr>
              <w:t>排气筒</w:t>
            </w:r>
          </w:p>
        </w:tc>
        <w:tc>
          <w:tcPr>
            <w:tcW w:w="1986" w:type="pct"/>
            <w:gridSpan w:val="2"/>
            <w:tcBorders>
              <w:tl2br w:val="nil"/>
              <w:tr2bl w:val="nil"/>
            </w:tcBorders>
            <w:noWrap w:val="0"/>
            <w:vAlign w:val="center"/>
          </w:tcPr>
          <w:p>
            <w:pPr>
              <w:spacing w:line="360" w:lineRule="exact"/>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aps w:val="0"/>
                <w:smallCaps w:val="0"/>
                <w:color w:val="auto"/>
                <w:u w:val="single"/>
                <w:lang w:val="en-US" w:eastAsia="zh-CN"/>
              </w:rPr>
              <w:t>1，2二氯丙烷、</w:t>
            </w:r>
            <w:r>
              <w:rPr>
                <w:rFonts w:hint="eastAsia" w:ascii="Times New Roman" w:hAnsi="Times New Roman"/>
                <w:caps w:val="0"/>
                <w:smallCaps w:val="0"/>
                <w:color w:val="auto"/>
                <w:u w:val="single"/>
              </w:rPr>
              <w:t>氯化氢、非甲烷总烃</w:t>
            </w:r>
            <w:r>
              <w:rPr>
                <w:rFonts w:hint="eastAsia" w:ascii="Times New Roman" w:hAnsi="Times New Roman"/>
                <w:caps w:val="0"/>
                <w:smallCaps w:val="0"/>
                <w:color w:val="auto"/>
                <w:u w:val="single"/>
                <w:lang w:eastAsia="zh-CN"/>
              </w:rPr>
              <w:t>、</w:t>
            </w:r>
            <w:r>
              <w:rPr>
                <w:rFonts w:hint="eastAsia" w:ascii="Times New Roman" w:hAnsi="Times New Roman"/>
                <w:caps w:val="0"/>
                <w:smallCaps w:val="0"/>
                <w:color w:val="auto"/>
                <w:u w:val="single"/>
              </w:rPr>
              <w:t>甲醇、甲醛、酚</w:t>
            </w:r>
          </w:p>
        </w:tc>
        <w:tc>
          <w:tcPr>
            <w:tcW w:w="761" w:type="pct"/>
            <w:gridSpan w:val="2"/>
            <w:vMerge w:val="continue"/>
            <w:tcBorders>
              <w:tl2br w:val="nil"/>
              <w:tr2bl w:val="nil"/>
            </w:tcBorders>
            <w:noWrap w:val="0"/>
            <w:vAlign w:val="center"/>
          </w:tcPr>
          <w:p>
            <w:pPr>
              <w:spacing w:line="360" w:lineRule="exact"/>
              <w:jc w:val="center"/>
              <w:rPr>
                <w:rFonts w:hint="eastAsia" w:ascii="Times New Roman" w:hAnsi="Times New Roman" w:cs="Times New Roman"/>
                <w:color w:val="auto"/>
                <w:kern w:val="2"/>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45"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vMerge w:val="continue"/>
            <w:tcBorders>
              <w:tl2br w:val="nil"/>
              <w:tr2bl w:val="nil"/>
            </w:tcBorders>
            <w:noWrap w:val="0"/>
            <w:vAlign w:val="center"/>
          </w:tcPr>
          <w:p>
            <w:pPr>
              <w:widowControl/>
              <w:jc w:val="center"/>
              <w:rPr>
                <w:rFonts w:hint="eastAsia" w:ascii="Times New Roman" w:hAnsi="Times New Roman" w:cs="Times New Roman"/>
                <w:color w:val="auto"/>
                <w:kern w:val="2"/>
                <w:sz w:val="21"/>
                <w:szCs w:val="21"/>
                <w:u w:val="single"/>
                <w:lang w:val="en-US" w:eastAsia="zh-CN" w:bidi="ar-SA"/>
              </w:rPr>
            </w:pPr>
          </w:p>
        </w:tc>
        <w:tc>
          <w:tcPr>
            <w:tcW w:w="1357" w:type="pct"/>
            <w:gridSpan w:val="2"/>
            <w:tcBorders>
              <w:tl2br w:val="nil"/>
              <w:tr2bl w:val="nil"/>
            </w:tcBorders>
            <w:noWrap w:val="0"/>
            <w:vAlign w:val="center"/>
          </w:tcPr>
          <w:p>
            <w:pPr>
              <w:spacing w:line="360" w:lineRule="exact"/>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aps w:val="0"/>
                <w:smallCaps w:val="0"/>
                <w:color w:val="auto"/>
                <w:u w:val="single"/>
                <w:lang w:val="en-US" w:eastAsia="zh-CN"/>
              </w:rPr>
              <w:t>二期建设15m高排气筒</w:t>
            </w:r>
          </w:p>
        </w:tc>
        <w:tc>
          <w:tcPr>
            <w:tcW w:w="1986" w:type="pct"/>
            <w:gridSpan w:val="2"/>
            <w:tcBorders>
              <w:tl2br w:val="nil"/>
              <w:tr2bl w:val="nil"/>
            </w:tcBorders>
            <w:noWrap w:val="0"/>
            <w:vAlign w:val="center"/>
          </w:tcPr>
          <w:p>
            <w:pPr>
              <w:spacing w:line="360" w:lineRule="exact"/>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aps w:val="0"/>
                <w:smallCaps w:val="0"/>
                <w:color w:val="auto"/>
                <w:u w:val="single"/>
              </w:rPr>
              <w:t>二甲苯、</w:t>
            </w:r>
            <w:r>
              <w:rPr>
                <w:rFonts w:hint="eastAsia" w:ascii="Times New Roman" w:hAnsi="Times New Roman"/>
                <w:caps w:val="0"/>
                <w:smallCaps w:val="0"/>
                <w:color w:val="auto"/>
                <w:u w:val="single"/>
                <w:lang w:eastAsia="zh-CN"/>
              </w:rPr>
              <w:t>非甲烷总烃</w:t>
            </w:r>
            <w:r>
              <w:rPr>
                <w:rFonts w:hint="eastAsia" w:ascii="Times New Roman" w:hAnsi="Times New Roman"/>
                <w:caps w:val="0"/>
                <w:smallCaps w:val="0"/>
                <w:color w:val="auto"/>
                <w:u w:val="single"/>
              </w:rPr>
              <w:t>、</w:t>
            </w:r>
            <w:r>
              <w:rPr>
                <w:rFonts w:hint="eastAsia" w:ascii="Times New Roman" w:hAnsi="Times New Roman"/>
                <w:caps w:val="0"/>
                <w:smallCaps w:val="0"/>
                <w:color w:val="auto"/>
                <w:u w:val="single"/>
                <w:lang w:eastAsia="zh-CN"/>
              </w:rPr>
              <w:t>丙烯酸、甲基丙烯酸甲酯、</w:t>
            </w:r>
            <w:r>
              <w:rPr>
                <w:rFonts w:hint="eastAsia" w:ascii="Times New Roman" w:hAnsi="Times New Roman"/>
                <w:caps w:val="0"/>
                <w:smallCaps w:val="0"/>
                <w:color w:val="auto"/>
                <w:u w:val="single"/>
              </w:rPr>
              <w:t>颗粒物</w:t>
            </w:r>
          </w:p>
        </w:tc>
        <w:tc>
          <w:tcPr>
            <w:tcW w:w="761" w:type="pct"/>
            <w:gridSpan w:val="2"/>
            <w:vMerge w:val="continue"/>
            <w:tcBorders>
              <w:tl2br w:val="nil"/>
              <w:tr2bl w:val="nil"/>
            </w:tcBorders>
            <w:noWrap w:val="0"/>
            <w:vAlign w:val="center"/>
          </w:tcPr>
          <w:p>
            <w:pPr>
              <w:spacing w:line="360" w:lineRule="exact"/>
              <w:jc w:val="center"/>
              <w:rPr>
                <w:rFonts w:hint="eastAsia" w:ascii="Times New Roman" w:hAnsi="Times New Roman" w:cs="Times New Roman"/>
                <w:color w:val="auto"/>
                <w:kern w:val="2"/>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45"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tcBorders>
              <w:tl2br w:val="nil"/>
              <w:tr2bl w:val="nil"/>
            </w:tcBorders>
            <w:noWrap w:val="0"/>
            <w:vAlign w:val="center"/>
          </w:tcPr>
          <w:p>
            <w:pPr>
              <w:spacing w:line="360" w:lineRule="exact"/>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aps w:val="0"/>
                <w:smallCaps w:val="0"/>
                <w:color w:val="auto"/>
                <w:u w:val="single"/>
              </w:rPr>
              <w:t>噪声</w:t>
            </w:r>
          </w:p>
        </w:tc>
        <w:tc>
          <w:tcPr>
            <w:tcW w:w="1357" w:type="pct"/>
            <w:gridSpan w:val="2"/>
            <w:tcBorders>
              <w:tl2br w:val="nil"/>
              <w:tr2bl w:val="nil"/>
            </w:tcBorders>
            <w:noWrap w:val="0"/>
            <w:vAlign w:val="center"/>
          </w:tcPr>
          <w:p>
            <w:pPr>
              <w:spacing w:line="360" w:lineRule="exact"/>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aps w:val="0"/>
                <w:smallCaps w:val="0"/>
                <w:color w:val="auto"/>
                <w:u w:val="single"/>
              </w:rPr>
              <w:t>厂界</w:t>
            </w:r>
          </w:p>
        </w:tc>
        <w:tc>
          <w:tcPr>
            <w:tcW w:w="1986" w:type="pct"/>
            <w:gridSpan w:val="2"/>
            <w:tcBorders>
              <w:tl2br w:val="nil"/>
              <w:tr2bl w:val="nil"/>
            </w:tcBorders>
            <w:noWrap w:val="0"/>
            <w:vAlign w:val="center"/>
          </w:tcPr>
          <w:p>
            <w:pPr>
              <w:spacing w:line="360" w:lineRule="exact"/>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aps w:val="0"/>
                <w:smallCaps w:val="0"/>
                <w:color w:val="auto"/>
                <w:u w:val="single"/>
              </w:rPr>
              <w:t>昼、夜等效</w:t>
            </w:r>
            <w:r>
              <w:rPr>
                <w:rFonts w:ascii="Times New Roman" w:hAnsi="Times New Roman"/>
                <w:caps w:val="0"/>
                <w:smallCaps w:val="0"/>
                <w:color w:val="auto"/>
                <w:u w:val="single"/>
              </w:rPr>
              <w:t>A</w:t>
            </w:r>
            <w:r>
              <w:rPr>
                <w:rFonts w:hint="eastAsia" w:ascii="Times New Roman" w:hAnsi="Times New Roman"/>
                <w:caps w:val="0"/>
                <w:smallCaps w:val="0"/>
                <w:color w:val="auto"/>
                <w:u w:val="single"/>
              </w:rPr>
              <w:t>声级</w:t>
            </w:r>
          </w:p>
        </w:tc>
        <w:tc>
          <w:tcPr>
            <w:tcW w:w="761" w:type="pct"/>
            <w:gridSpan w:val="2"/>
            <w:tcBorders>
              <w:tl2br w:val="nil"/>
              <w:tr2bl w:val="nil"/>
            </w:tcBorders>
            <w:noWrap w:val="0"/>
            <w:vAlign w:val="center"/>
          </w:tcPr>
          <w:p>
            <w:pPr>
              <w:spacing w:line="360" w:lineRule="exact"/>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3" w:type="pct"/>
          <w:trHeight w:val="345" w:hRule="atLeast"/>
          <w:jc w:val="center"/>
        </w:trPr>
        <w:tc>
          <w:tcPr>
            <w:tcW w:w="444" w:type="pct"/>
            <w:vMerge w:val="restar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bookmarkStart w:id="468" w:name="_Toc31814"/>
            <w:r>
              <w:rPr>
                <w:rFonts w:hint="eastAsia" w:ascii="Times New Roman" w:hAnsi="Times New Roman" w:cs="Times New Roman"/>
                <w:color w:val="auto"/>
                <w:kern w:val="2"/>
                <w:sz w:val="21"/>
                <w:szCs w:val="21"/>
                <w:u w:val="single"/>
                <w:lang w:val="en-US" w:eastAsia="zh-CN" w:bidi="ar-SA"/>
              </w:rPr>
              <w:t>本次新增</w:t>
            </w:r>
          </w:p>
        </w:tc>
        <w:tc>
          <w:tcPr>
            <w:tcW w:w="449"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废水</w:t>
            </w: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厂区总排口</w:t>
            </w:r>
          </w:p>
        </w:tc>
        <w:tc>
          <w:tcPr>
            <w:tcW w:w="1986" w:type="pct"/>
            <w:gridSpan w:val="2"/>
            <w:tcBorders>
              <w:tl2br w:val="nil"/>
              <w:tr2bl w:val="nil"/>
            </w:tcBorders>
            <w:noWrap w:val="0"/>
            <w:vAlign w:val="center"/>
          </w:tcPr>
          <w:p>
            <w:pPr>
              <w:spacing w:line="360" w:lineRule="exact"/>
              <w:jc w:val="center"/>
              <w:rPr>
                <w:rFonts w:hint="eastAsia" w:ascii="Times New Roman" w:hAnsi="Times New Roman" w:eastAsia="宋体" w:cs="Times New Roman"/>
                <w:caps w:val="0"/>
                <w:smallCaps w:val="0"/>
                <w:color w:val="auto"/>
                <w:kern w:val="2"/>
                <w:sz w:val="21"/>
                <w:szCs w:val="21"/>
                <w:u w:val="single"/>
                <w:lang w:val="en-US" w:eastAsia="zh-CN" w:bidi="ar-SA"/>
              </w:rPr>
            </w:pPr>
            <w:r>
              <w:rPr>
                <w:rFonts w:ascii="Times New Roman" w:hAnsi="Times New Roman" w:eastAsia="宋体"/>
                <w:caps w:val="0"/>
                <w:smallCaps w:val="0"/>
                <w:color w:val="auto"/>
                <w:sz w:val="21"/>
                <w:szCs w:val="21"/>
                <w:u w:val="single"/>
              </w:rPr>
              <w:t>pH</w:t>
            </w:r>
            <w:r>
              <w:rPr>
                <w:rFonts w:hint="eastAsia" w:ascii="Times New Roman" w:hAnsi="Times New Roman" w:eastAsia="宋体"/>
                <w:caps w:val="0"/>
                <w:smallCaps w:val="0"/>
                <w:color w:val="auto"/>
                <w:sz w:val="21"/>
                <w:szCs w:val="21"/>
                <w:u w:val="single"/>
              </w:rPr>
              <w:t>、</w:t>
            </w:r>
            <w:r>
              <w:rPr>
                <w:rFonts w:ascii="Times New Roman" w:hAnsi="Times New Roman" w:eastAsia="宋体"/>
                <w:caps w:val="0"/>
                <w:smallCaps w:val="0"/>
                <w:color w:val="auto"/>
                <w:sz w:val="21"/>
                <w:szCs w:val="21"/>
                <w:u w:val="single"/>
              </w:rPr>
              <w:t>COD</w:t>
            </w:r>
            <w:r>
              <w:rPr>
                <w:rFonts w:hint="eastAsia" w:ascii="Times New Roman" w:hAnsi="Times New Roman" w:eastAsia="宋体"/>
                <w:caps w:val="0"/>
                <w:smallCaps w:val="0"/>
                <w:color w:val="auto"/>
                <w:sz w:val="21"/>
                <w:szCs w:val="21"/>
                <w:u w:val="single"/>
              </w:rPr>
              <w:t>、</w:t>
            </w:r>
            <w:r>
              <w:rPr>
                <w:rFonts w:hint="eastAsia" w:ascii="Times New Roman" w:hAnsi="Times New Roman"/>
                <w:caps w:val="0"/>
                <w:smallCaps w:val="0"/>
                <w:color w:val="auto"/>
                <w:sz w:val="21"/>
                <w:szCs w:val="21"/>
                <w:u w:val="single"/>
                <w:lang w:eastAsia="zh-CN"/>
              </w:rPr>
              <w:t>总磷、</w:t>
            </w:r>
            <w:r>
              <w:rPr>
                <w:rFonts w:hint="eastAsia" w:ascii="Times New Roman" w:hAnsi="Times New Roman"/>
                <w:caps w:val="0"/>
                <w:smallCaps w:val="0"/>
                <w:color w:val="auto"/>
                <w:sz w:val="21"/>
                <w:szCs w:val="21"/>
                <w:u w:val="single"/>
                <w:lang w:val="en-US" w:eastAsia="zh-CN"/>
              </w:rPr>
              <w:t>TOC、</w:t>
            </w:r>
            <w:r>
              <w:rPr>
                <w:rFonts w:ascii="Times New Roman" w:hAnsi="Times New Roman" w:eastAsia="宋体"/>
                <w:caps w:val="0"/>
                <w:smallCaps w:val="0"/>
                <w:color w:val="auto"/>
                <w:sz w:val="21"/>
                <w:szCs w:val="21"/>
                <w:u w:val="single"/>
              </w:rPr>
              <w:t>BOD</w:t>
            </w:r>
            <w:r>
              <w:rPr>
                <w:rFonts w:ascii="Times New Roman" w:hAnsi="Times New Roman" w:eastAsia="宋体"/>
                <w:caps w:val="0"/>
                <w:smallCaps w:val="0"/>
                <w:color w:val="auto"/>
                <w:sz w:val="21"/>
                <w:szCs w:val="21"/>
                <w:u w:val="single"/>
                <w:vertAlign w:val="subscript"/>
              </w:rPr>
              <w:t>5</w:t>
            </w:r>
            <w:r>
              <w:rPr>
                <w:rFonts w:hint="eastAsia" w:ascii="Times New Roman" w:hAnsi="Times New Roman" w:eastAsia="宋体"/>
                <w:caps w:val="0"/>
                <w:smallCaps w:val="0"/>
                <w:color w:val="auto"/>
                <w:sz w:val="21"/>
                <w:szCs w:val="21"/>
                <w:u w:val="single"/>
              </w:rPr>
              <w:t>、石油类、SS、氨氮、AOX</w:t>
            </w:r>
            <w:r>
              <w:rPr>
                <w:rFonts w:hint="eastAsia" w:ascii="Times New Roman" w:hAnsi="Times New Roman"/>
                <w:caps w:val="0"/>
                <w:smallCaps w:val="0"/>
                <w:color w:val="auto"/>
                <w:sz w:val="21"/>
                <w:szCs w:val="21"/>
                <w:u w:val="single"/>
                <w:lang w:eastAsia="zh-CN"/>
              </w:rPr>
              <w:t>、动植物油</w:t>
            </w:r>
          </w:p>
        </w:tc>
        <w:tc>
          <w:tcPr>
            <w:tcW w:w="759"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一年一次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3" w:type="pct"/>
          <w:jc w:val="center"/>
        </w:trPr>
        <w:tc>
          <w:tcPr>
            <w:tcW w:w="444"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废气</w:t>
            </w: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厂界</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VOCs</w:t>
            </w:r>
            <w:r>
              <w:rPr>
                <w:rFonts w:hint="eastAsia" w:ascii="Times New Roman" w:hAnsi="Times New Roman" w:eastAsia="宋体" w:cs="Times New Roman"/>
                <w:caps w:val="0"/>
                <w:smallCaps w:val="0"/>
                <w:color w:val="auto"/>
                <w:kern w:val="2"/>
                <w:sz w:val="21"/>
                <w:szCs w:val="21"/>
                <w:u w:val="single"/>
                <w:lang w:val="en-US" w:eastAsia="zh-CN" w:bidi="ar-SA"/>
              </w:rPr>
              <w:t>、</w:t>
            </w:r>
            <w:r>
              <w:rPr>
                <w:rFonts w:hint="eastAsia" w:ascii="Times New Roman" w:hAnsi="Times New Roman" w:cs="Times New Roman"/>
                <w:caps w:val="0"/>
                <w:smallCaps w:val="0"/>
                <w:color w:val="auto"/>
                <w:kern w:val="2"/>
                <w:sz w:val="21"/>
                <w:szCs w:val="21"/>
                <w:u w:val="single"/>
                <w:lang w:val="en-US" w:eastAsia="zh-CN" w:bidi="ar-SA"/>
              </w:rPr>
              <w:t>甲醇、非甲烷总烃</w:t>
            </w:r>
          </w:p>
        </w:tc>
        <w:tc>
          <w:tcPr>
            <w:tcW w:w="759" w:type="pct"/>
            <w:gridSpan w:val="2"/>
            <w:vMerge w:val="restar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3" w:type="pct"/>
          <w:trHeight w:val="141" w:hRule="atLeast"/>
          <w:jc w:val="center"/>
        </w:trPr>
        <w:tc>
          <w:tcPr>
            <w:tcW w:w="444"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p>
        </w:tc>
        <w:tc>
          <w:tcPr>
            <w:tcW w:w="449"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一期建设</w:t>
            </w:r>
            <w:r>
              <w:rPr>
                <w:rFonts w:hint="eastAsia" w:ascii="Times New Roman" w:hAnsi="Times New Roman" w:eastAsia="宋体" w:cs="Times New Roman"/>
                <w:color w:val="auto"/>
                <w:kern w:val="2"/>
                <w:sz w:val="21"/>
                <w:szCs w:val="21"/>
                <w:u w:val="single"/>
                <w:lang w:val="en-US" w:eastAsia="zh-CN" w:bidi="ar-SA"/>
              </w:rPr>
              <w:t>20m</w:t>
            </w:r>
            <w:r>
              <w:rPr>
                <w:rFonts w:hint="eastAsia" w:ascii="Times New Roman" w:hAnsi="Times New Roman" w:cs="Times New Roman"/>
                <w:color w:val="auto"/>
                <w:kern w:val="2"/>
                <w:sz w:val="21"/>
                <w:szCs w:val="21"/>
                <w:u w:val="single"/>
                <w:lang w:val="en-US" w:eastAsia="zh-CN" w:bidi="ar-SA"/>
              </w:rPr>
              <w:t>高</w:t>
            </w:r>
            <w:r>
              <w:rPr>
                <w:rFonts w:hint="eastAsia" w:ascii="Times New Roman" w:hAnsi="Times New Roman" w:eastAsia="宋体" w:cs="Times New Roman"/>
                <w:color w:val="auto"/>
                <w:kern w:val="2"/>
                <w:sz w:val="21"/>
                <w:szCs w:val="21"/>
                <w:u w:val="single"/>
                <w:lang w:val="en-US" w:eastAsia="zh-CN" w:bidi="ar-SA"/>
              </w:rPr>
              <w:t>排气筒</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VOCs</w:t>
            </w:r>
            <w:r>
              <w:rPr>
                <w:rFonts w:hint="eastAsia" w:ascii="Times New Roman" w:hAnsi="Times New Roman" w:eastAsia="宋体" w:cs="Times New Roman"/>
                <w:caps w:val="0"/>
                <w:smallCaps w:val="0"/>
                <w:color w:val="auto"/>
                <w:kern w:val="2"/>
                <w:sz w:val="21"/>
                <w:szCs w:val="21"/>
                <w:u w:val="single"/>
                <w:lang w:val="en-US" w:eastAsia="zh-CN" w:bidi="ar-SA"/>
              </w:rPr>
              <w:t>、非甲烷总烃、甲醇</w:t>
            </w:r>
          </w:p>
        </w:tc>
        <w:tc>
          <w:tcPr>
            <w:tcW w:w="759"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3" w:type="pct"/>
          <w:trHeight w:val="141" w:hRule="atLeast"/>
          <w:jc w:val="center"/>
        </w:trPr>
        <w:tc>
          <w:tcPr>
            <w:tcW w:w="444" w:type="pct"/>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p>
        </w:tc>
        <w:tc>
          <w:tcPr>
            <w:tcW w:w="449"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本期环评新建15m</w:t>
            </w:r>
            <w:r>
              <w:rPr>
                <w:rFonts w:hint="eastAsia" w:ascii="Times New Roman" w:hAnsi="Times New Roman" w:eastAsia="宋体" w:cs="Times New Roman"/>
                <w:color w:val="auto"/>
                <w:kern w:val="2"/>
                <w:sz w:val="21"/>
                <w:szCs w:val="21"/>
                <w:u w:val="single"/>
                <w:lang w:val="en-US" w:eastAsia="zh-CN" w:bidi="ar-SA"/>
              </w:rPr>
              <w:t>排气筒</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VOCs</w:t>
            </w:r>
            <w:r>
              <w:rPr>
                <w:rFonts w:hint="eastAsia" w:ascii="Times New Roman" w:hAnsi="Times New Roman" w:eastAsia="宋体" w:cs="Times New Roman"/>
                <w:caps w:val="0"/>
                <w:smallCaps w:val="0"/>
                <w:color w:val="auto"/>
                <w:kern w:val="2"/>
                <w:sz w:val="21"/>
                <w:szCs w:val="21"/>
                <w:u w:val="single"/>
                <w:lang w:val="en-US" w:eastAsia="zh-CN" w:bidi="ar-SA"/>
              </w:rPr>
              <w:t>、</w:t>
            </w:r>
            <w:r>
              <w:rPr>
                <w:rFonts w:hint="eastAsia" w:ascii="Times New Roman" w:hAnsi="Times New Roman" w:cs="Times New Roman"/>
                <w:caps w:val="0"/>
                <w:smallCaps w:val="0"/>
                <w:color w:val="auto"/>
                <w:kern w:val="2"/>
                <w:sz w:val="21"/>
                <w:szCs w:val="21"/>
                <w:u w:val="single"/>
                <w:lang w:val="en-US" w:eastAsia="zh-CN" w:bidi="ar-SA"/>
              </w:rPr>
              <w:t>甲醇</w:t>
            </w:r>
          </w:p>
        </w:tc>
        <w:tc>
          <w:tcPr>
            <w:tcW w:w="759"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3" w:type="pct"/>
          <w:jc w:val="center"/>
        </w:trPr>
        <w:tc>
          <w:tcPr>
            <w:tcW w:w="444"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噪声</w:t>
            </w: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厂界</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昼、夜等效</w:t>
            </w:r>
            <w:r>
              <w:rPr>
                <w:rFonts w:ascii="Times New Roman" w:hAnsi="Times New Roman" w:eastAsia="宋体" w:cs="Times New Roman"/>
                <w:color w:val="auto"/>
                <w:kern w:val="2"/>
                <w:sz w:val="21"/>
                <w:szCs w:val="21"/>
                <w:u w:val="single"/>
                <w:lang w:val="en-US" w:eastAsia="zh-CN" w:bidi="ar-SA"/>
              </w:rPr>
              <w:t>A</w:t>
            </w:r>
            <w:r>
              <w:rPr>
                <w:rFonts w:hint="eastAsia" w:ascii="Times New Roman" w:hAnsi="Times New Roman" w:eastAsia="宋体" w:cs="Times New Roman"/>
                <w:color w:val="auto"/>
                <w:kern w:val="2"/>
                <w:sz w:val="21"/>
                <w:szCs w:val="21"/>
                <w:u w:val="single"/>
                <w:lang w:val="en-US" w:eastAsia="zh-CN" w:bidi="ar-SA"/>
              </w:rPr>
              <w:t>声级</w:t>
            </w:r>
          </w:p>
        </w:tc>
        <w:tc>
          <w:tcPr>
            <w:tcW w:w="759" w:type="pct"/>
            <w:gridSpan w:val="2"/>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3" w:type="pct"/>
          <w:jc w:val="center"/>
        </w:trPr>
        <w:tc>
          <w:tcPr>
            <w:tcW w:w="444" w:type="pct"/>
            <w:vMerge w:val="restar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技改后全厂</w:t>
            </w:r>
          </w:p>
        </w:tc>
        <w:tc>
          <w:tcPr>
            <w:tcW w:w="449"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废水</w:t>
            </w: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厂区总排口</w:t>
            </w:r>
          </w:p>
        </w:tc>
        <w:tc>
          <w:tcPr>
            <w:tcW w:w="1986" w:type="pct"/>
            <w:gridSpan w:val="2"/>
            <w:tcBorders>
              <w:tl2br w:val="nil"/>
              <w:tr2bl w:val="nil"/>
            </w:tcBorders>
            <w:noWrap w:val="0"/>
            <w:vAlign w:val="center"/>
          </w:tcPr>
          <w:p>
            <w:pPr>
              <w:spacing w:line="360" w:lineRule="exact"/>
              <w:jc w:val="center"/>
              <w:rPr>
                <w:rFonts w:hint="eastAsia" w:ascii="Times New Roman" w:hAnsi="Times New Roman" w:eastAsia="宋体" w:cs="Times New Roman"/>
                <w:color w:val="auto"/>
                <w:kern w:val="2"/>
                <w:sz w:val="21"/>
                <w:szCs w:val="21"/>
                <w:u w:val="single"/>
                <w:lang w:val="en-US" w:eastAsia="zh-CN" w:bidi="ar-SA"/>
              </w:rPr>
            </w:pPr>
            <w:r>
              <w:rPr>
                <w:rFonts w:ascii="Times New Roman" w:hAnsi="Times New Roman" w:eastAsia="宋体"/>
                <w:caps w:val="0"/>
                <w:smallCaps w:val="0"/>
                <w:color w:val="auto"/>
                <w:sz w:val="21"/>
                <w:szCs w:val="21"/>
                <w:u w:val="single"/>
              </w:rPr>
              <w:t>pH</w:t>
            </w:r>
            <w:r>
              <w:rPr>
                <w:rFonts w:hint="eastAsia" w:ascii="Times New Roman" w:hAnsi="Times New Roman" w:eastAsia="宋体"/>
                <w:caps w:val="0"/>
                <w:smallCaps w:val="0"/>
                <w:color w:val="auto"/>
                <w:sz w:val="21"/>
                <w:szCs w:val="21"/>
                <w:u w:val="single"/>
              </w:rPr>
              <w:t>、</w:t>
            </w:r>
            <w:r>
              <w:rPr>
                <w:rFonts w:ascii="Times New Roman" w:hAnsi="Times New Roman" w:eastAsia="宋体"/>
                <w:caps w:val="0"/>
                <w:smallCaps w:val="0"/>
                <w:color w:val="auto"/>
                <w:sz w:val="21"/>
                <w:szCs w:val="21"/>
                <w:u w:val="single"/>
              </w:rPr>
              <w:t>COD</w:t>
            </w:r>
            <w:r>
              <w:rPr>
                <w:rFonts w:hint="eastAsia" w:ascii="Times New Roman" w:hAnsi="Times New Roman" w:eastAsia="宋体"/>
                <w:caps w:val="0"/>
                <w:smallCaps w:val="0"/>
                <w:color w:val="auto"/>
                <w:sz w:val="21"/>
                <w:szCs w:val="21"/>
                <w:u w:val="single"/>
              </w:rPr>
              <w:t>、</w:t>
            </w:r>
            <w:r>
              <w:rPr>
                <w:rFonts w:hint="eastAsia" w:ascii="Times New Roman" w:hAnsi="Times New Roman"/>
                <w:caps w:val="0"/>
                <w:smallCaps w:val="0"/>
                <w:color w:val="auto"/>
                <w:sz w:val="21"/>
                <w:szCs w:val="21"/>
                <w:u w:val="single"/>
                <w:lang w:eastAsia="zh-CN"/>
              </w:rPr>
              <w:t>总磷、</w:t>
            </w:r>
            <w:r>
              <w:rPr>
                <w:rFonts w:hint="eastAsia" w:ascii="Times New Roman" w:hAnsi="Times New Roman"/>
                <w:caps w:val="0"/>
                <w:smallCaps w:val="0"/>
                <w:color w:val="auto"/>
                <w:sz w:val="21"/>
                <w:szCs w:val="21"/>
                <w:u w:val="single"/>
                <w:lang w:val="en-US" w:eastAsia="zh-CN"/>
              </w:rPr>
              <w:t>TOC、</w:t>
            </w:r>
            <w:r>
              <w:rPr>
                <w:rFonts w:ascii="Times New Roman" w:hAnsi="Times New Roman" w:eastAsia="宋体"/>
                <w:caps w:val="0"/>
                <w:smallCaps w:val="0"/>
                <w:color w:val="auto"/>
                <w:sz w:val="21"/>
                <w:szCs w:val="21"/>
                <w:u w:val="single"/>
              </w:rPr>
              <w:t>BOD</w:t>
            </w:r>
            <w:r>
              <w:rPr>
                <w:rFonts w:ascii="Times New Roman" w:hAnsi="Times New Roman" w:eastAsia="宋体"/>
                <w:caps w:val="0"/>
                <w:smallCaps w:val="0"/>
                <w:color w:val="auto"/>
                <w:sz w:val="21"/>
                <w:szCs w:val="21"/>
                <w:u w:val="single"/>
                <w:vertAlign w:val="subscript"/>
              </w:rPr>
              <w:t>5</w:t>
            </w:r>
            <w:r>
              <w:rPr>
                <w:rFonts w:hint="eastAsia" w:ascii="Times New Roman" w:hAnsi="Times New Roman" w:eastAsia="宋体"/>
                <w:caps w:val="0"/>
                <w:smallCaps w:val="0"/>
                <w:color w:val="auto"/>
                <w:sz w:val="21"/>
                <w:szCs w:val="21"/>
                <w:u w:val="single"/>
              </w:rPr>
              <w:t>、石油类、SS、氨氮、AOX</w:t>
            </w:r>
            <w:r>
              <w:rPr>
                <w:rFonts w:hint="eastAsia" w:ascii="Times New Roman" w:hAnsi="Times New Roman"/>
                <w:caps w:val="0"/>
                <w:smallCaps w:val="0"/>
                <w:color w:val="auto"/>
                <w:sz w:val="21"/>
                <w:szCs w:val="21"/>
                <w:u w:val="single"/>
                <w:lang w:eastAsia="zh-CN"/>
              </w:rPr>
              <w:t>、动植物油</w:t>
            </w:r>
          </w:p>
        </w:tc>
        <w:tc>
          <w:tcPr>
            <w:tcW w:w="759"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一年一次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3" w:type="pct"/>
          <w:jc w:val="center"/>
        </w:trPr>
        <w:tc>
          <w:tcPr>
            <w:tcW w:w="444"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vMerge w:val="restar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废气</w:t>
            </w: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厂界</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aps w:val="0"/>
                <w:smallCaps w:val="0"/>
                <w:color w:val="auto"/>
                <w:u w:val="single"/>
              </w:rPr>
              <w:t>氯化氢、臭气浓度、二甲苯、颗粒物</w:t>
            </w:r>
            <w:r>
              <w:rPr>
                <w:rFonts w:hint="eastAsia" w:ascii="Times New Roman" w:hAnsi="Times New Roman" w:eastAsia="宋体" w:cs="Times New Roman"/>
                <w:color w:val="auto"/>
                <w:kern w:val="2"/>
                <w:sz w:val="21"/>
                <w:szCs w:val="21"/>
                <w:u w:val="single"/>
                <w:lang w:val="en-US" w:eastAsia="zh-CN" w:bidi="ar-SA"/>
              </w:rPr>
              <w:t>VOCs</w:t>
            </w:r>
            <w:r>
              <w:rPr>
                <w:rFonts w:hint="eastAsia" w:ascii="Times New Roman" w:hAnsi="Times New Roman" w:eastAsia="宋体" w:cs="Times New Roman"/>
                <w:caps w:val="0"/>
                <w:smallCaps w:val="0"/>
                <w:color w:val="auto"/>
                <w:kern w:val="2"/>
                <w:sz w:val="21"/>
                <w:szCs w:val="21"/>
                <w:u w:val="single"/>
                <w:lang w:val="en-US" w:eastAsia="zh-CN" w:bidi="ar-SA"/>
              </w:rPr>
              <w:t>、</w:t>
            </w:r>
            <w:r>
              <w:rPr>
                <w:color w:val="auto"/>
                <w:kern w:val="24"/>
                <w:sz w:val="21"/>
                <w:szCs w:val="21"/>
                <w:u w:val="single"/>
              </w:rPr>
              <w:t>非甲烷总烃</w:t>
            </w:r>
            <w:r>
              <w:rPr>
                <w:rStyle w:val="26"/>
                <w:color w:val="auto"/>
                <w:sz w:val="21"/>
                <w:szCs w:val="21"/>
                <w:u w:val="single"/>
              </w:rPr>
              <w:t>、苯乙烯</w:t>
            </w:r>
            <w:r>
              <w:rPr>
                <w:rStyle w:val="26"/>
                <w:rFonts w:hint="eastAsia"/>
                <w:color w:val="auto"/>
                <w:sz w:val="21"/>
                <w:szCs w:val="21"/>
                <w:u w:val="single"/>
                <w:lang w:eastAsia="zh-CN"/>
              </w:rPr>
              <w:t>、</w:t>
            </w:r>
            <w:r>
              <w:rPr>
                <w:rFonts w:hint="eastAsia" w:ascii="Times New Roman" w:hAnsi="Times New Roman" w:cs="Times New Roman"/>
                <w:caps w:val="0"/>
                <w:smallCaps w:val="0"/>
                <w:color w:val="auto"/>
                <w:kern w:val="2"/>
                <w:sz w:val="21"/>
                <w:szCs w:val="21"/>
                <w:u w:val="single"/>
                <w:lang w:val="en-US" w:eastAsia="zh-CN" w:bidi="ar-SA"/>
              </w:rPr>
              <w:t>甲醇</w:t>
            </w:r>
          </w:p>
        </w:tc>
        <w:tc>
          <w:tcPr>
            <w:tcW w:w="759"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3" w:type="pct"/>
          <w:jc w:val="center"/>
        </w:trPr>
        <w:tc>
          <w:tcPr>
            <w:tcW w:w="444"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一期建设</w:t>
            </w:r>
            <w:r>
              <w:rPr>
                <w:rFonts w:hint="eastAsia" w:ascii="Times New Roman" w:hAnsi="Times New Roman" w:eastAsia="宋体" w:cs="Times New Roman"/>
                <w:color w:val="auto"/>
                <w:kern w:val="2"/>
                <w:sz w:val="21"/>
                <w:szCs w:val="21"/>
                <w:u w:val="single"/>
                <w:lang w:val="en-US" w:eastAsia="zh-CN" w:bidi="ar-SA"/>
              </w:rPr>
              <w:t>20m</w:t>
            </w:r>
            <w:r>
              <w:rPr>
                <w:rFonts w:hint="eastAsia" w:ascii="Times New Roman" w:hAnsi="Times New Roman" w:cs="Times New Roman"/>
                <w:color w:val="auto"/>
                <w:kern w:val="2"/>
                <w:sz w:val="21"/>
                <w:szCs w:val="21"/>
                <w:u w:val="single"/>
                <w:lang w:val="en-US" w:eastAsia="zh-CN" w:bidi="ar-SA"/>
              </w:rPr>
              <w:t>高</w:t>
            </w:r>
            <w:r>
              <w:rPr>
                <w:rFonts w:hint="eastAsia" w:ascii="Times New Roman" w:hAnsi="Times New Roman" w:eastAsia="宋体" w:cs="Times New Roman"/>
                <w:color w:val="auto"/>
                <w:kern w:val="2"/>
                <w:sz w:val="21"/>
                <w:szCs w:val="21"/>
                <w:u w:val="single"/>
                <w:lang w:val="en-US" w:eastAsia="zh-CN" w:bidi="ar-SA"/>
              </w:rPr>
              <w:t>排气筒</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color w:val="auto"/>
                <w:kern w:val="24"/>
                <w:sz w:val="21"/>
                <w:szCs w:val="21"/>
                <w:u w:val="single"/>
              </w:rPr>
              <w:t>非甲烷总烃、</w:t>
            </w:r>
            <w:r>
              <w:rPr>
                <w:rFonts w:hint="eastAsia" w:ascii="Times New Roman" w:hAnsi="Times New Roman"/>
                <w:caps w:val="0"/>
                <w:smallCaps w:val="0"/>
                <w:color w:val="auto"/>
                <w:u w:val="single"/>
                <w:lang w:val="en-US" w:eastAsia="zh-CN"/>
              </w:rPr>
              <w:t>1，2二氯丙烷、</w:t>
            </w:r>
            <w:r>
              <w:rPr>
                <w:rFonts w:hint="eastAsia" w:ascii="Times New Roman" w:hAnsi="Times New Roman"/>
                <w:caps w:val="0"/>
                <w:smallCaps w:val="0"/>
                <w:color w:val="auto"/>
                <w:u w:val="single"/>
              </w:rPr>
              <w:t>氯化氢、甲醇、甲醛、酚</w:t>
            </w:r>
            <w:r>
              <w:rPr>
                <w:rFonts w:hint="eastAsia" w:ascii="Times New Roman" w:hAnsi="Times New Roman"/>
                <w:caps w:val="0"/>
                <w:smallCaps w:val="0"/>
                <w:color w:val="auto"/>
                <w:u w:val="single"/>
                <w:lang w:eastAsia="zh-CN"/>
              </w:rPr>
              <w:t>、</w:t>
            </w:r>
            <w:r>
              <w:rPr>
                <w:color w:val="auto"/>
                <w:kern w:val="24"/>
                <w:sz w:val="21"/>
                <w:szCs w:val="21"/>
                <w:u w:val="single"/>
              </w:rPr>
              <w:t>苯乙烯</w:t>
            </w:r>
            <w:r>
              <w:rPr>
                <w:rFonts w:hint="eastAsia"/>
                <w:color w:val="auto"/>
                <w:kern w:val="24"/>
                <w:sz w:val="21"/>
                <w:szCs w:val="21"/>
                <w:u w:val="single"/>
                <w:lang w:eastAsia="zh-CN"/>
              </w:rPr>
              <w:t>、</w:t>
            </w:r>
            <w:r>
              <w:rPr>
                <w:rFonts w:hint="eastAsia" w:ascii="Times New Roman" w:hAnsi="Times New Roman" w:eastAsia="宋体" w:cs="Times New Roman"/>
                <w:color w:val="auto"/>
                <w:kern w:val="2"/>
                <w:sz w:val="21"/>
                <w:szCs w:val="21"/>
                <w:u w:val="single"/>
                <w:lang w:val="en-US" w:eastAsia="zh-CN" w:bidi="ar-SA"/>
              </w:rPr>
              <w:t>VOCs</w:t>
            </w:r>
            <w:r>
              <w:rPr>
                <w:rFonts w:hint="eastAsia" w:ascii="Times New Roman" w:hAnsi="Times New Roman" w:eastAsia="宋体" w:cs="Times New Roman"/>
                <w:caps w:val="0"/>
                <w:smallCaps w:val="0"/>
                <w:color w:val="auto"/>
                <w:kern w:val="2"/>
                <w:sz w:val="21"/>
                <w:szCs w:val="21"/>
                <w:u w:val="single"/>
                <w:lang w:val="en-US" w:eastAsia="zh-CN" w:bidi="ar-SA"/>
              </w:rPr>
              <w:t>、甲醇</w:t>
            </w:r>
          </w:p>
        </w:tc>
        <w:tc>
          <w:tcPr>
            <w:tcW w:w="759"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3" w:type="pct"/>
          <w:jc w:val="center"/>
        </w:trPr>
        <w:tc>
          <w:tcPr>
            <w:tcW w:w="444"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二期设15</w:t>
            </w:r>
            <w:r>
              <w:rPr>
                <w:rFonts w:hint="eastAsia" w:ascii="Times New Roman" w:hAnsi="Times New Roman" w:eastAsia="宋体" w:cs="Times New Roman"/>
                <w:color w:val="auto"/>
                <w:kern w:val="2"/>
                <w:sz w:val="21"/>
                <w:szCs w:val="21"/>
                <w:u w:val="single"/>
                <w:lang w:val="en-US" w:eastAsia="zh-CN" w:bidi="ar-SA"/>
              </w:rPr>
              <w:t>m</w:t>
            </w:r>
            <w:r>
              <w:rPr>
                <w:rFonts w:hint="eastAsia" w:ascii="Times New Roman" w:hAnsi="Times New Roman" w:cs="Times New Roman"/>
                <w:color w:val="auto"/>
                <w:kern w:val="2"/>
                <w:sz w:val="21"/>
                <w:szCs w:val="21"/>
                <w:u w:val="single"/>
                <w:lang w:val="en-US" w:eastAsia="zh-CN" w:bidi="ar-SA"/>
              </w:rPr>
              <w:t>高</w:t>
            </w:r>
            <w:r>
              <w:rPr>
                <w:rFonts w:hint="eastAsia" w:ascii="Times New Roman" w:hAnsi="Times New Roman" w:eastAsia="宋体" w:cs="Times New Roman"/>
                <w:color w:val="auto"/>
                <w:kern w:val="2"/>
                <w:sz w:val="21"/>
                <w:szCs w:val="21"/>
                <w:u w:val="single"/>
                <w:lang w:val="en-US" w:eastAsia="zh-CN" w:bidi="ar-SA"/>
              </w:rPr>
              <w:t>排气筒</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aps w:val="0"/>
                <w:smallCaps w:val="0"/>
                <w:color w:val="auto"/>
                <w:u w:val="single"/>
              </w:rPr>
              <w:t>二甲苯、</w:t>
            </w:r>
            <w:r>
              <w:rPr>
                <w:rFonts w:hint="eastAsia" w:ascii="Times New Roman" w:hAnsi="Times New Roman"/>
                <w:caps w:val="0"/>
                <w:smallCaps w:val="0"/>
                <w:color w:val="auto"/>
                <w:u w:val="single"/>
                <w:lang w:eastAsia="zh-CN"/>
              </w:rPr>
              <w:t>非甲烷总烃</w:t>
            </w:r>
            <w:r>
              <w:rPr>
                <w:rFonts w:hint="eastAsia" w:ascii="Times New Roman" w:hAnsi="Times New Roman"/>
                <w:caps w:val="0"/>
                <w:smallCaps w:val="0"/>
                <w:color w:val="auto"/>
                <w:u w:val="single"/>
              </w:rPr>
              <w:t>、</w:t>
            </w:r>
            <w:r>
              <w:rPr>
                <w:rFonts w:hint="eastAsia" w:ascii="Times New Roman" w:hAnsi="Times New Roman"/>
                <w:caps w:val="0"/>
                <w:smallCaps w:val="0"/>
                <w:color w:val="auto"/>
                <w:u w:val="single"/>
                <w:lang w:eastAsia="zh-CN"/>
              </w:rPr>
              <w:t>丙烯酸、甲基丙烯酸甲酯、</w:t>
            </w:r>
            <w:r>
              <w:rPr>
                <w:rFonts w:hint="eastAsia" w:ascii="Times New Roman" w:hAnsi="Times New Roman"/>
                <w:caps w:val="0"/>
                <w:smallCaps w:val="0"/>
                <w:color w:val="auto"/>
                <w:u w:val="single"/>
              </w:rPr>
              <w:t>颗粒物</w:t>
            </w:r>
          </w:p>
        </w:tc>
        <w:tc>
          <w:tcPr>
            <w:tcW w:w="759"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3" w:type="pct"/>
          <w:jc w:val="center"/>
        </w:trPr>
        <w:tc>
          <w:tcPr>
            <w:tcW w:w="444"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本期环评新建15m</w:t>
            </w:r>
            <w:r>
              <w:rPr>
                <w:rFonts w:hint="eastAsia" w:ascii="Times New Roman" w:hAnsi="Times New Roman" w:eastAsia="宋体" w:cs="Times New Roman"/>
                <w:color w:val="auto"/>
                <w:kern w:val="2"/>
                <w:sz w:val="21"/>
                <w:szCs w:val="21"/>
                <w:u w:val="single"/>
                <w:lang w:val="en-US" w:eastAsia="zh-CN" w:bidi="ar-SA"/>
              </w:rPr>
              <w:t>排气筒</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VOCs</w:t>
            </w:r>
            <w:r>
              <w:rPr>
                <w:rFonts w:hint="eastAsia" w:ascii="Times New Roman" w:hAnsi="Times New Roman" w:eastAsia="宋体" w:cs="Times New Roman"/>
                <w:caps w:val="0"/>
                <w:smallCaps w:val="0"/>
                <w:color w:val="auto"/>
                <w:kern w:val="2"/>
                <w:sz w:val="21"/>
                <w:szCs w:val="21"/>
                <w:u w:val="single"/>
                <w:lang w:val="en-US" w:eastAsia="zh-CN" w:bidi="ar-SA"/>
              </w:rPr>
              <w:t>、</w:t>
            </w:r>
            <w:r>
              <w:rPr>
                <w:rFonts w:hint="eastAsia" w:ascii="Times New Roman" w:hAnsi="Times New Roman" w:cs="Times New Roman"/>
                <w:caps w:val="0"/>
                <w:smallCaps w:val="0"/>
                <w:color w:val="auto"/>
                <w:kern w:val="2"/>
                <w:sz w:val="21"/>
                <w:szCs w:val="21"/>
                <w:u w:val="single"/>
                <w:lang w:val="en-US" w:eastAsia="zh-CN" w:bidi="ar-SA"/>
              </w:rPr>
              <w:t>甲醇</w:t>
            </w:r>
          </w:p>
        </w:tc>
        <w:tc>
          <w:tcPr>
            <w:tcW w:w="759"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3" w:type="pct"/>
          <w:jc w:val="center"/>
        </w:trPr>
        <w:tc>
          <w:tcPr>
            <w:tcW w:w="444" w:type="pct"/>
            <w:vMerge w:val="continue"/>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449" w:type="pct"/>
            <w:gridSpan w:val="2"/>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噪声</w:t>
            </w:r>
          </w:p>
        </w:tc>
        <w:tc>
          <w:tcPr>
            <w:tcW w:w="1357"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厂界</w:t>
            </w:r>
          </w:p>
        </w:tc>
        <w:tc>
          <w:tcPr>
            <w:tcW w:w="1986"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昼、夜等效</w:t>
            </w:r>
            <w:r>
              <w:rPr>
                <w:rFonts w:ascii="Times New Roman" w:hAnsi="Times New Roman" w:eastAsia="宋体" w:cs="Times New Roman"/>
                <w:color w:val="auto"/>
                <w:kern w:val="2"/>
                <w:sz w:val="21"/>
                <w:szCs w:val="21"/>
                <w:u w:val="single"/>
                <w:lang w:val="en-US" w:eastAsia="zh-CN" w:bidi="ar-SA"/>
              </w:rPr>
              <w:t>A</w:t>
            </w:r>
            <w:r>
              <w:rPr>
                <w:rFonts w:hint="eastAsia" w:ascii="Times New Roman" w:hAnsi="Times New Roman" w:eastAsia="宋体" w:cs="Times New Roman"/>
                <w:color w:val="auto"/>
                <w:kern w:val="2"/>
                <w:sz w:val="21"/>
                <w:szCs w:val="21"/>
                <w:u w:val="single"/>
                <w:lang w:val="en-US" w:eastAsia="zh-CN" w:bidi="ar-SA"/>
              </w:rPr>
              <w:t>声级</w:t>
            </w:r>
          </w:p>
        </w:tc>
        <w:tc>
          <w:tcPr>
            <w:tcW w:w="759" w:type="pct"/>
            <w:gridSpan w:val="2"/>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半年一次</w:t>
            </w:r>
          </w:p>
        </w:tc>
      </w:tr>
    </w:tbl>
    <w:p>
      <w:pPr>
        <w:keepNext/>
        <w:keepLines/>
        <w:widowControl w:val="0"/>
        <w:bidi w:val="0"/>
        <w:spacing w:before="260" w:beforeLines="0" w:beforeAutospacing="0" w:after="260" w:afterLines="0" w:afterAutospacing="0" w:line="360" w:lineRule="auto"/>
        <w:jc w:val="both"/>
        <w:outlineLvl w:val="2"/>
        <w:rPr>
          <w:rFonts w:ascii="Times New Roman" w:hAnsi="Times New Roman" w:eastAsia="宋体" w:cs="Times New Roman"/>
          <w:b/>
          <w:color w:val="auto"/>
          <w:kern w:val="2"/>
          <w:sz w:val="28"/>
          <w:szCs w:val="22"/>
          <w:lang w:val="en-US" w:eastAsia="zh-CN" w:bidi="ar-SA"/>
        </w:rPr>
      </w:pPr>
      <w:r>
        <w:rPr>
          <w:rFonts w:hint="eastAsia" w:ascii="Times New Roman" w:hAnsi="Times New Roman" w:eastAsia="宋体" w:cs="Times New Roman"/>
          <w:b/>
          <w:color w:val="auto"/>
          <w:kern w:val="2"/>
          <w:sz w:val="28"/>
          <w:szCs w:val="22"/>
          <w:lang w:val="en-US" w:eastAsia="zh-CN" w:bidi="ar-SA"/>
        </w:rPr>
        <w:t>11</w:t>
      </w:r>
      <w:r>
        <w:rPr>
          <w:rFonts w:ascii="Times New Roman" w:hAnsi="Times New Roman" w:eastAsia="宋体" w:cs="Times New Roman"/>
          <w:b/>
          <w:color w:val="auto"/>
          <w:kern w:val="2"/>
          <w:sz w:val="28"/>
          <w:szCs w:val="22"/>
          <w:lang w:val="en-US" w:eastAsia="zh-CN" w:bidi="ar-SA"/>
        </w:rPr>
        <w:t>.3.2</w:t>
      </w:r>
      <w:r>
        <w:rPr>
          <w:rFonts w:hint="eastAsia" w:ascii="Times New Roman" w:hAnsi="Times New Roman" w:eastAsia="宋体" w:cs="Times New Roman"/>
          <w:b/>
          <w:color w:val="auto"/>
          <w:kern w:val="2"/>
          <w:sz w:val="28"/>
          <w:szCs w:val="22"/>
          <w:lang w:val="en-US" w:eastAsia="zh-CN" w:bidi="ar-SA"/>
        </w:rPr>
        <w:t>环境质量监测计划</w:t>
      </w:r>
      <w:bookmarkEnd w:id="468"/>
    </w:p>
    <w:p>
      <w:pPr>
        <w:widowControl w:val="0"/>
        <w:bidi w:val="0"/>
        <w:spacing w:before="20"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主要对项目所在地大气环境进行监测。监测类别、监测位置、监测污染物及监测频率详见表11</w:t>
      </w:r>
      <w:r>
        <w:rPr>
          <w:rFonts w:ascii="Times New Roman" w:hAnsi="Times New Roman" w:eastAsia="宋体" w:cs="Times New Roman"/>
          <w:color w:val="auto"/>
          <w:kern w:val="2"/>
          <w:sz w:val="24"/>
          <w:szCs w:val="20"/>
          <w:lang w:val="en-US" w:eastAsia="zh-CN" w:bidi="ar-SA"/>
        </w:rPr>
        <w:t>.3-</w:t>
      </w:r>
      <w:r>
        <w:rPr>
          <w:rFonts w:hint="eastAsia" w:ascii="Times New Roman" w:hAnsi="Times New Roman" w:eastAsia="宋体" w:cs="Times New Roman"/>
          <w:color w:val="auto"/>
          <w:kern w:val="2"/>
          <w:sz w:val="24"/>
          <w:szCs w:val="20"/>
          <w:lang w:val="en-US" w:eastAsia="zh-CN" w:bidi="ar-SA"/>
        </w:rPr>
        <w:t>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表11</w:t>
      </w:r>
      <w:r>
        <w:rPr>
          <w:rFonts w:ascii="Times New Roman" w:hAnsi="Times New Roman" w:eastAsia="宋体" w:cs="Times New Roman"/>
          <w:b/>
          <w:color w:val="auto"/>
          <w:kern w:val="2"/>
          <w:sz w:val="24"/>
          <w:szCs w:val="24"/>
          <w:lang w:val="en-US" w:eastAsia="zh-CN" w:bidi="ar-SA"/>
        </w:rPr>
        <w:t>.3-</w:t>
      </w:r>
      <w:r>
        <w:rPr>
          <w:rFonts w:hint="eastAsia" w:ascii="Times New Roman" w:hAnsi="Times New Roman" w:eastAsia="宋体" w:cs="Times New Roman"/>
          <w:b/>
          <w:color w:val="auto"/>
          <w:kern w:val="2"/>
          <w:sz w:val="24"/>
          <w:szCs w:val="24"/>
          <w:lang w:val="en-US" w:eastAsia="zh-CN" w:bidi="ar-SA"/>
        </w:rPr>
        <w:t>2</w:t>
      </w:r>
      <w:r>
        <w:rPr>
          <w:rFonts w:hint="eastAsia" w:ascii="Times New Roman" w:hAnsi="Times New Roman" w:cs="Times New Roman"/>
          <w:b/>
          <w:color w:val="auto"/>
          <w:kern w:val="2"/>
          <w:sz w:val="24"/>
          <w:szCs w:val="24"/>
          <w:lang w:val="en-US" w:eastAsia="zh-CN" w:bidi="ar-SA"/>
        </w:rPr>
        <w:t xml:space="preserve">  </w:t>
      </w:r>
      <w:r>
        <w:rPr>
          <w:rFonts w:hint="eastAsia" w:ascii="Times New Roman" w:hAnsi="Times New Roman" w:eastAsia="宋体" w:cs="Times New Roman"/>
          <w:b/>
          <w:color w:val="auto"/>
          <w:kern w:val="2"/>
          <w:sz w:val="24"/>
          <w:szCs w:val="24"/>
          <w:lang w:val="en-US" w:eastAsia="zh-CN" w:bidi="ar-SA"/>
        </w:rPr>
        <w:t>环境质量监测计划</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124"/>
        <w:gridCol w:w="1530"/>
        <w:gridCol w:w="3908"/>
        <w:gridCol w:w="18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9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p>
        </w:tc>
        <w:tc>
          <w:tcPr>
            <w:tcW w:w="591"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类别</w:t>
            </w:r>
          </w:p>
        </w:tc>
        <w:tc>
          <w:tcPr>
            <w:tcW w:w="80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监测位置</w:t>
            </w:r>
          </w:p>
        </w:tc>
        <w:tc>
          <w:tcPr>
            <w:tcW w:w="2054"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监测因子</w:t>
            </w:r>
          </w:p>
        </w:tc>
        <w:tc>
          <w:tcPr>
            <w:tcW w:w="958" w:type="pct"/>
            <w:tcBorders>
              <w:tl2br w:val="nil"/>
              <w:tr2bl w:val="nil"/>
            </w:tcBorders>
            <w:noWrap w:val="0"/>
            <w:vAlign w:val="center"/>
          </w:tcPr>
          <w:p>
            <w:pPr>
              <w:widowControl w:val="0"/>
              <w:bidi w:val="0"/>
              <w:spacing w:before="20" w:line="240" w:lineRule="auto"/>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9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现有一期环评</w:t>
            </w:r>
          </w:p>
        </w:tc>
        <w:tc>
          <w:tcPr>
            <w:tcW w:w="59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大气环境</w:t>
            </w:r>
          </w:p>
        </w:tc>
        <w:tc>
          <w:tcPr>
            <w:tcW w:w="80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color w:val="auto"/>
                <w:kern w:val="24"/>
                <w:sz w:val="21"/>
                <w:szCs w:val="20"/>
                <w:u w:val="single"/>
              </w:rPr>
              <w:t>胜利村</w:t>
            </w:r>
          </w:p>
        </w:tc>
        <w:tc>
          <w:tcPr>
            <w:tcW w:w="205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SO</w:t>
            </w:r>
            <w:r>
              <w:rPr>
                <w:rFonts w:hint="eastAsia" w:ascii="Times New Roman" w:hAnsi="Times New Roman" w:eastAsia="宋体" w:cs="Times New Roman"/>
                <w:color w:val="auto"/>
                <w:kern w:val="2"/>
                <w:sz w:val="21"/>
                <w:szCs w:val="21"/>
                <w:u w:val="single"/>
                <w:vertAlign w:val="subscript"/>
                <w:lang w:val="en-US" w:eastAsia="zh-CN" w:bidi="ar-SA"/>
              </w:rPr>
              <w:t>2</w:t>
            </w:r>
            <w:r>
              <w:rPr>
                <w:rFonts w:hint="eastAsia" w:ascii="Times New Roman" w:hAnsi="Times New Roman" w:eastAsia="宋体" w:cs="Times New Roman"/>
                <w:color w:val="auto"/>
                <w:kern w:val="2"/>
                <w:sz w:val="21"/>
                <w:szCs w:val="21"/>
                <w:u w:val="single"/>
                <w:lang w:val="en-US" w:eastAsia="zh-CN" w:bidi="ar-SA"/>
              </w:rPr>
              <w:t>、PM</w:t>
            </w:r>
            <w:r>
              <w:rPr>
                <w:rFonts w:hint="eastAsia" w:ascii="Times New Roman" w:hAnsi="Times New Roman" w:eastAsia="宋体" w:cs="Times New Roman"/>
                <w:color w:val="auto"/>
                <w:kern w:val="2"/>
                <w:sz w:val="21"/>
                <w:szCs w:val="21"/>
                <w:u w:val="single"/>
                <w:vertAlign w:val="subscript"/>
                <w:lang w:val="en-US" w:eastAsia="zh-CN" w:bidi="ar-SA"/>
              </w:rPr>
              <w:t>10</w:t>
            </w:r>
            <w:r>
              <w:rPr>
                <w:rFonts w:hint="eastAsia" w:ascii="Times New Roman" w:hAnsi="Times New Roman" w:eastAsia="宋体" w:cs="Times New Roman"/>
                <w:color w:val="auto"/>
                <w:kern w:val="2"/>
                <w:sz w:val="21"/>
                <w:szCs w:val="21"/>
                <w:u w:val="single"/>
                <w:lang w:val="en-US" w:eastAsia="zh-CN" w:bidi="ar-SA"/>
              </w:rPr>
              <w:t>、NO</w:t>
            </w:r>
            <w:r>
              <w:rPr>
                <w:rFonts w:hint="eastAsia" w:ascii="Times New Roman" w:hAnsi="Times New Roman" w:eastAsia="宋体" w:cs="Times New Roman"/>
                <w:color w:val="auto"/>
                <w:kern w:val="2"/>
                <w:sz w:val="21"/>
                <w:szCs w:val="21"/>
                <w:u w:val="single"/>
                <w:vertAlign w:val="subscript"/>
                <w:lang w:val="en-US" w:eastAsia="zh-CN" w:bidi="ar-SA"/>
              </w:rPr>
              <w:t>2</w:t>
            </w:r>
            <w:r>
              <w:rPr>
                <w:rFonts w:hint="eastAsia" w:ascii="Times New Roman" w:hAnsi="Times New Roman" w:eastAsia="宋体" w:cs="Times New Roman"/>
                <w:color w:val="auto"/>
                <w:kern w:val="2"/>
                <w:sz w:val="21"/>
                <w:szCs w:val="21"/>
                <w:u w:val="single"/>
                <w:lang w:val="en-US" w:eastAsia="zh-CN" w:bidi="ar-SA"/>
              </w:rPr>
              <w:t>、非甲烷总烃、苯乙烯</w:t>
            </w:r>
          </w:p>
        </w:tc>
        <w:tc>
          <w:tcPr>
            <w:tcW w:w="958"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aps w:val="0"/>
                <w:smallCaps w:val="0"/>
                <w:color w:val="auto"/>
                <w:u w:val="single"/>
              </w:rPr>
              <w:t>2次</w:t>
            </w:r>
            <w:r>
              <w:rPr>
                <w:rFonts w:ascii="Times New Roman" w:hAnsi="Times New Roman"/>
                <w:caps w:val="0"/>
                <w:smallCaps w:val="0"/>
                <w:color w:val="auto"/>
                <w:u w:val="single"/>
              </w:rPr>
              <w:t>/</w:t>
            </w:r>
            <w:r>
              <w:rPr>
                <w:rFonts w:hint="eastAsia" w:ascii="Times New Roman" w:hAnsi="Times New Roman"/>
                <w:caps w:val="0"/>
                <w:smallCaps w:val="0"/>
                <w:color w:val="auto"/>
                <w:u w:val="single"/>
              </w:rPr>
              <w:t>年，夏季、冬季各监测一次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9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现有二期环评</w:t>
            </w:r>
          </w:p>
        </w:tc>
        <w:tc>
          <w:tcPr>
            <w:tcW w:w="59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aps w:val="0"/>
                <w:smallCaps w:val="0"/>
                <w:color w:val="auto"/>
                <w:u w:val="single"/>
              </w:rPr>
              <w:t>大气环境</w:t>
            </w:r>
          </w:p>
        </w:tc>
        <w:tc>
          <w:tcPr>
            <w:tcW w:w="804"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aps w:val="0"/>
                <w:smallCaps w:val="0"/>
                <w:color w:val="auto"/>
                <w:u w:val="single"/>
              </w:rPr>
              <w:t>基隆村方家咀</w:t>
            </w:r>
          </w:p>
        </w:tc>
        <w:tc>
          <w:tcPr>
            <w:tcW w:w="2054"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aps w:val="0"/>
                <w:smallCaps w:val="0"/>
                <w:color w:val="auto"/>
                <w:u w:val="single"/>
              </w:rPr>
              <w:t>氯化氢、非甲烷总烃、颗粒物、二甲苯、臭气浓度</w:t>
            </w:r>
          </w:p>
        </w:tc>
        <w:tc>
          <w:tcPr>
            <w:tcW w:w="958"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aps w:val="0"/>
                <w:smallCaps w:val="0"/>
                <w:color w:val="auto"/>
                <w:u w:val="single"/>
              </w:rPr>
              <w:t>2次</w:t>
            </w:r>
            <w:r>
              <w:rPr>
                <w:rFonts w:ascii="Times New Roman" w:hAnsi="Times New Roman"/>
                <w:caps w:val="0"/>
                <w:smallCaps w:val="0"/>
                <w:color w:val="auto"/>
                <w:u w:val="single"/>
              </w:rPr>
              <w:t>/</w:t>
            </w:r>
            <w:r>
              <w:rPr>
                <w:rFonts w:hint="eastAsia" w:ascii="Times New Roman" w:hAnsi="Times New Roman"/>
                <w:caps w:val="0"/>
                <w:smallCaps w:val="0"/>
                <w:color w:val="auto"/>
                <w:u w:val="single"/>
              </w:rPr>
              <w:t>年，夏季、冬季各监测一次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9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本次环评</w:t>
            </w:r>
          </w:p>
        </w:tc>
        <w:tc>
          <w:tcPr>
            <w:tcW w:w="591"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aps w:val="0"/>
                <w:smallCaps w:val="0"/>
                <w:color w:val="auto"/>
                <w:u w:val="single"/>
              </w:rPr>
            </w:pPr>
            <w:r>
              <w:rPr>
                <w:rFonts w:hint="eastAsia" w:ascii="Times New Roman" w:hAnsi="Times New Roman" w:eastAsia="宋体" w:cs="Times New Roman"/>
                <w:color w:val="auto"/>
                <w:kern w:val="2"/>
                <w:sz w:val="21"/>
                <w:szCs w:val="21"/>
                <w:u w:val="single"/>
                <w:lang w:val="en-US" w:eastAsia="zh-CN" w:bidi="ar-SA"/>
              </w:rPr>
              <w:t>大气环境</w:t>
            </w:r>
          </w:p>
        </w:tc>
        <w:tc>
          <w:tcPr>
            <w:tcW w:w="80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aps w:val="0"/>
                <w:smallCaps w:val="0"/>
                <w:color w:val="auto"/>
                <w:u w:val="single"/>
              </w:rPr>
            </w:pPr>
            <w:r>
              <w:rPr>
                <w:rFonts w:hint="eastAsia" w:ascii="Times New Roman" w:hAnsi="Times New Roman" w:eastAsia="宋体" w:cs="Times New Roman"/>
                <w:color w:val="auto"/>
                <w:kern w:val="2"/>
                <w:sz w:val="21"/>
                <w:szCs w:val="21"/>
                <w:u w:val="single"/>
                <w:lang w:val="en-US" w:eastAsia="zh-CN" w:bidi="ar-SA"/>
              </w:rPr>
              <w:t>基隆村方家咀</w:t>
            </w:r>
          </w:p>
        </w:tc>
        <w:tc>
          <w:tcPr>
            <w:tcW w:w="2054"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aps w:val="0"/>
                <w:smallCaps w:val="0"/>
                <w:color w:val="auto"/>
                <w:u w:val="single"/>
              </w:rPr>
            </w:pPr>
            <w:r>
              <w:rPr>
                <w:rFonts w:hint="eastAsia" w:ascii="Times New Roman" w:hAnsi="Times New Roman" w:eastAsia="宋体" w:cs="Times New Roman"/>
                <w:color w:val="auto"/>
                <w:kern w:val="2"/>
                <w:sz w:val="21"/>
                <w:szCs w:val="21"/>
                <w:u w:val="single"/>
                <w:lang w:val="en-US" w:eastAsia="zh-CN" w:bidi="ar-SA"/>
              </w:rPr>
              <w:t>VOCs</w:t>
            </w:r>
            <w:r>
              <w:rPr>
                <w:rFonts w:hint="eastAsia" w:ascii="Times New Roman" w:hAnsi="Times New Roman" w:eastAsia="宋体" w:cs="Times New Roman"/>
                <w:caps w:val="0"/>
                <w:smallCaps w:val="0"/>
                <w:color w:val="auto"/>
                <w:kern w:val="2"/>
                <w:sz w:val="21"/>
                <w:szCs w:val="21"/>
                <w:u w:val="single"/>
                <w:lang w:val="en-US" w:eastAsia="zh-CN" w:bidi="ar-SA"/>
              </w:rPr>
              <w:t>、非甲烷总烃、甲醇</w:t>
            </w:r>
          </w:p>
        </w:tc>
        <w:tc>
          <w:tcPr>
            <w:tcW w:w="958" w:type="pct"/>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aps w:val="0"/>
                <w:smallCaps w:val="0"/>
                <w:color w:val="auto"/>
                <w:u w:val="single"/>
              </w:rPr>
            </w:pPr>
            <w:r>
              <w:rPr>
                <w:rFonts w:hint="eastAsia" w:ascii="Times New Roman" w:hAnsi="Times New Roman" w:eastAsia="宋体" w:cs="Times New Roman"/>
                <w:color w:val="auto"/>
                <w:kern w:val="2"/>
                <w:sz w:val="21"/>
                <w:szCs w:val="21"/>
                <w:u w:val="single"/>
                <w:lang w:val="en-US" w:eastAsia="zh-CN" w:bidi="ar-SA"/>
              </w:rPr>
              <w:t>2次</w:t>
            </w:r>
            <w:r>
              <w:rPr>
                <w:rFonts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年，夏季、冬季各监测一次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91" w:type="pct"/>
            <w:tcBorders>
              <w:tl2br w:val="nil"/>
              <w:tr2bl w:val="nil"/>
            </w:tcBorders>
            <w:noWrap w:val="0"/>
            <w:vAlign w:val="center"/>
          </w:tcPr>
          <w:p>
            <w:pPr>
              <w:widowControl w:val="0"/>
              <w:bidi w:val="0"/>
              <w:spacing w:before="20" w:line="240" w:lineRule="auto"/>
              <w:ind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技改后全厂</w:t>
            </w:r>
          </w:p>
        </w:tc>
        <w:tc>
          <w:tcPr>
            <w:tcW w:w="1124" w:type="dxa"/>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aps w:val="0"/>
                <w:smallCaps w:val="0"/>
                <w:color w:val="auto"/>
                <w:u w:val="single"/>
              </w:rPr>
            </w:pPr>
            <w:r>
              <w:rPr>
                <w:rFonts w:hint="eastAsia" w:ascii="Times New Roman" w:hAnsi="Times New Roman" w:eastAsia="宋体" w:cs="Times New Roman"/>
                <w:color w:val="auto"/>
                <w:kern w:val="2"/>
                <w:sz w:val="21"/>
                <w:szCs w:val="21"/>
                <w:u w:val="single"/>
                <w:lang w:val="en-US" w:eastAsia="zh-CN" w:bidi="ar-SA"/>
              </w:rPr>
              <w:t>大气环境</w:t>
            </w:r>
          </w:p>
        </w:tc>
        <w:tc>
          <w:tcPr>
            <w:tcW w:w="1530" w:type="dxa"/>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aps w:val="0"/>
                <w:smallCaps w:val="0"/>
                <w:color w:val="auto"/>
                <w:u w:val="single"/>
              </w:rPr>
            </w:pPr>
            <w:r>
              <w:rPr>
                <w:rFonts w:hint="eastAsia" w:ascii="Times New Roman" w:hAnsi="Times New Roman" w:eastAsia="宋体" w:cs="Times New Roman"/>
                <w:color w:val="auto"/>
                <w:kern w:val="2"/>
                <w:sz w:val="21"/>
                <w:szCs w:val="21"/>
                <w:u w:val="single"/>
                <w:lang w:val="en-US" w:eastAsia="zh-CN" w:bidi="ar-SA"/>
              </w:rPr>
              <w:t>基隆村方家咀</w:t>
            </w:r>
          </w:p>
        </w:tc>
        <w:tc>
          <w:tcPr>
            <w:tcW w:w="3908" w:type="dxa"/>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aps w:val="0"/>
                <w:smallCaps w:val="0"/>
                <w:color w:val="auto"/>
                <w:u w:val="single"/>
              </w:rPr>
            </w:pPr>
            <w:r>
              <w:rPr>
                <w:rFonts w:hint="eastAsia" w:ascii="Times New Roman" w:hAnsi="Times New Roman" w:eastAsia="宋体" w:cs="Times New Roman"/>
                <w:color w:val="auto"/>
                <w:kern w:val="2"/>
                <w:sz w:val="21"/>
                <w:szCs w:val="21"/>
                <w:u w:val="single"/>
                <w:lang w:val="en-US" w:eastAsia="zh-CN" w:bidi="ar-SA"/>
              </w:rPr>
              <w:t>SO</w:t>
            </w:r>
            <w:r>
              <w:rPr>
                <w:rFonts w:hint="eastAsia" w:ascii="Times New Roman" w:hAnsi="Times New Roman" w:eastAsia="宋体" w:cs="Times New Roman"/>
                <w:color w:val="auto"/>
                <w:kern w:val="2"/>
                <w:sz w:val="21"/>
                <w:szCs w:val="21"/>
                <w:u w:val="single"/>
                <w:vertAlign w:val="subscript"/>
                <w:lang w:val="en-US" w:eastAsia="zh-CN" w:bidi="ar-SA"/>
              </w:rPr>
              <w:t>2</w:t>
            </w:r>
            <w:r>
              <w:rPr>
                <w:rFonts w:hint="eastAsia" w:ascii="Times New Roman" w:hAnsi="Times New Roman" w:eastAsia="宋体" w:cs="Times New Roman"/>
                <w:color w:val="auto"/>
                <w:kern w:val="2"/>
                <w:sz w:val="21"/>
                <w:szCs w:val="21"/>
                <w:u w:val="single"/>
                <w:lang w:val="en-US" w:eastAsia="zh-CN" w:bidi="ar-SA"/>
              </w:rPr>
              <w:t>、PM</w:t>
            </w:r>
            <w:r>
              <w:rPr>
                <w:rFonts w:hint="eastAsia" w:ascii="Times New Roman" w:hAnsi="Times New Roman" w:eastAsia="宋体" w:cs="Times New Roman"/>
                <w:color w:val="auto"/>
                <w:kern w:val="2"/>
                <w:sz w:val="21"/>
                <w:szCs w:val="21"/>
                <w:u w:val="single"/>
                <w:vertAlign w:val="subscript"/>
                <w:lang w:val="en-US" w:eastAsia="zh-CN" w:bidi="ar-SA"/>
              </w:rPr>
              <w:t>10</w:t>
            </w:r>
            <w:r>
              <w:rPr>
                <w:rFonts w:hint="eastAsia" w:ascii="Times New Roman" w:hAnsi="Times New Roman" w:eastAsia="宋体" w:cs="Times New Roman"/>
                <w:color w:val="auto"/>
                <w:kern w:val="2"/>
                <w:sz w:val="21"/>
                <w:szCs w:val="21"/>
                <w:u w:val="single"/>
                <w:lang w:val="en-US" w:eastAsia="zh-CN" w:bidi="ar-SA"/>
              </w:rPr>
              <w:t>、NO</w:t>
            </w:r>
            <w:r>
              <w:rPr>
                <w:rFonts w:hint="eastAsia" w:ascii="Times New Roman" w:hAnsi="Times New Roman" w:eastAsia="宋体" w:cs="Times New Roman"/>
                <w:color w:val="auto"/>
                <w:kern w:val="2"/>
                <w:sz w:val="21"/>
                <w:szCs w:val="21"/>
                <w:u w:val="single"/>
                <w:vertAlign w:val="subscript"/>
                <w:lang w:val="en-US" w:eastAsia="zh-CN" w:bidi="ar-SA"/>
              </w:rPr>
              <w:t>2</w:t>
            </w:r>
            <w:r>
              <w:rPr>
                <w:rFonts w:hint="eastAsia" w:ascii="Times New Roman" w:hAnsi="Times New Roman" w:eastAsia="宋体" w:cs="Times New Roman"/>
                <w:color w:val="auto"/>
                <w:kern w:val="2"/>
                <w:sz w:val="21"/>
                <w:szCs w:val="21"/>
                <w:u w:val="single"/>
                <w:lang w:val="en-US" w:eastAsia="zh-CN" w:bidi="ar-SA"/>
              </w:rPr>
              <w:t>、非甲烷总烃、苯乙烯</w:t>
            </w:r>
            <w:r>
              <w:rPr>
                <w:rFonts w:hint="eastAsia" w:ascii="Times New Roman" w:hAnsi="Times New Roman"/>
                <w:caps w:val="0"/>
                <w:smallCaps w:val="0"/>
                <w:color w:val="auto"/>
                <w:u w:val="single"/>
              </w:rPr>
              <w:t>氯化氢、颗粒物、二甲苯、臭气浓度</w:t>
            </w:r>
            <w:r>
              <w:rPr>
                <w:rFonts w:hint="eastAsia" w:ascii="Times New Roman" w:hAnsi="Times New Roman"/>
                <w:caps w:val="0"/>
                <w:smallCaps w:val="0"/>
                <w:color w:val="auto"/>
                <w:u w:val="single"/>
                <w:lang w:eastAsia="zh-CN"/>
              </w:rPr>
              <w:t>、</w:t>
            </w:r>
            <w:r>
              <w:rPr>
                <w:rFonts w:hint="eastAsia" w:ascii="Times New Roman" w:hAnsi="Times New Roman" w:eastAsia="宋体" w:cs="Times New Roman"/>
                <w:color w:val="auto"/>
                <w:kern w:val="2"/>
                <w:sz w:val="21"/>
                <w:szCs w:val="21"/>
                <w:u w:val="single"/>
                <w:lang w:val="en-US" w:eastAsia="zh-CN" w:bidi="ar-SA"/>
              </w:rPr>
              <w:t>VOCs</w:t>
            </w:r>
            <w:r>
              <w:rPr>
                <w:rFonts w:hint="eastAsia" w:ascii="Times New Roman" w:hAnsi="Times New Roman" w:eastAsia="宋体" w:cs="Times New Roman"/>
                <w:caps w:val="0"/>
                <w:smallCaps w:val="0"/>
                <w:color w:val="auto"/>
                <w:kern w:val="2"/>
                <w:sz w:val="21"/>
                <w:szCs w:val="21"/>
                <w:u w:val="single"/>
                <w:lang w:val="en-US" w:eastAsia="zh-CN" w:bidi="ar-SA"/>
              </w:rPr>
              <w:t>、非甲烷总烃、甲醇</w:t>
            </w:r>
          </w:p>
        </w:tc>
        <w:tc>
          <w:tcPr>
            <w:tcW w:w="1822" w:type="dxa"/>
            <w:tcBorders>
              <w:tl2br w:val="nil"/>
              <w:tr2bl w:val="nil"/>
            </w:tcBorders>
            <w:noWrap w:val="0"/>
            <w:vAlign w:val="center"/>
          </w:tcPr>
          <w:p>
            <w:pPr>
              <w:widowControl w:val="0"/>
              <w:bidi w:val="0"/>
              <w:spacing w:before="20" w:line="240" w:lineRule="auto"/>
              <w:ind w:firstLine="0" w:firstLineChars="0"/>
              <w:jc w:val="center"/>
              <w:rPr>
                <w:rFonts w:hint="eastAsia" w:ascii="Times New Roman" w:hAnsi="Times New Roman"/>
                <w:caps w:val="0"/>
                <w:smallCaps w:val="0"/>
                <w:color w:val="auto"/>
                <w:u w:val="single"/>
              </w:rPr>
            </w:pPr>
            <w:r>
              <w:rPr>
                <w:rFonts w:hint="eastAsia" w:ascii="Times New Roman" w:hAnsi="Times New Roman" w:eastAsia="宋体" w:cs="Times New Roman"/>
                <w:color w:val="auto"/>
                <w:kern w:val="2"/>
                <w:sz w:val="21"/>
                <w:szCs w:val="21"/>
                <w:u w:val="single"/>
                <w:lang w:val="en-US" w:eastAsia="zh-CN" w:bidi="ar-SA"/>
              </w:rPr>
              <w:t>2次</w:t>
            </w:r>
            <w:r>
              <w:rPr>
                <w:rFonts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年，夏季、冬季各监测一次</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bookmarkStart w:id="469" w:name="_Toc162858758"/>
      <w:bookmarkStart w:id="470" w:name="_Toc20553"/>
      <w:bookmarkStart w:id="471" w:name="_Toc181686491"/>
      <w:bookmarkStart w:id="472" w:name="_Toc15957"/>
      <w:bookmarkStart w:id="473" w:name="_Toc182638524"/>
      <w:bookmarkStart w:id="474" w:name="_Toc160508037"/>
      <w:bookmarkStart w:id="475" w:name="_Toc351971042"/>
      <w:bookmarkStart w:id="476" w:name="_Toc162857339"/>
      <w:bookmarkStart w:id="477" w:name="_Toc213667825"/>
      <w:bookmarkStart w:id="478" w:name="_Toc162864547"/>
      <w:bookmarkStart w:id="479" w:name="_Toc162859026"/>
      <w:bookmarkStart w:id="480" w:name="_Toc403223326"/>
      <w:bookmarkStart w:id="481" w:name="_Toc160615901"/>
      <w:bookmarkStart w:id="482" w:name="_Toc162858940"/>
      <w:bookmarkStart w:id="483" w:name="_Toc180808323"/>
      <w:bookmarkStart w:id="484" w:name="_Toc161056747"/>
      <w:bookmarkStart w:id="485" w:name="_Toc181015509"/>
      <w:bookmarkStart w:id="486" w:name="_Toc160145980"/>
      <w:bookmarkStart w:id="487" w:name="_Toc164000638"/>
      <w:r>
        <w:rPr>
          <w:rFonts w:hint="eastAsia" w:ascii="Times New Roman" w:hAnsi="Times New Roman" w:eastAsia="宋体" w:cs="Times New Roman"/>
          <w:color w:val="auto"/>
          <w:kern w:val="2"/>
          <w:sz w:val="24"/>
          <w:szCs w:val="20"/>
          <w:lang w:val="en-US" w:eastAsia="zh-CN" w:bidi="ar-SA"/>
        </w:rPr>
        <w:t>当地生态环境主管部门有权对建设单位环境信息公开活动进行监督检查。</w:t>
      </w:r>
    </w:p>
    <w:p>
      <w:pPr>
        <w:keepNext/>
        <w:keepLines/>
        <w:widowControl w:val="0"/>
        <w:bidi w:val="0"/>
        <w:spacing w:before="260" w:beforeLines="0" w:beforeAutospacing="0" w:after="260" w:afterLines="0" w:afterAutospacing="0" w:line="360" w:lineRule="auto"/>
        <w:jc w:val="both"/>
        <w:outlineLvl w:val="1"/>
        <w:rPr>
          <w:rFonts w:hint="eastAsia" w:ascii="Times New Roman" w:hAnsi="Times New Roman" w:eastAsia="宋体" w:cs="Times New Roman"/>
          <w:b/>
          <w:color w:val="auto"/>
          <w:kern w:val="2"/>
          <w:sz w:val="30"/>
          <w:szCs w:val="22"/>
          <w:lang w:val="en-US" w:eastAsia="zh-CN" w:bidi="ar-SA"/>
        </w:rPr>
      </w:pPr>
      <w:bookmarkStart w:id="488" w:name="_Toc24131"/>
      <w:r>
        <w:rPr>
          <w:rFonts w:hint="eastAsia" w:ascii="Times New Roman" w:hAnsi="Times New Roman" w:eastAsia="宋体" w:cs="Times New Roman"/>
          <w:b/>
          <w:color w:val="auto"/>
          <w:kern w:val="2"/>
          <w:sz w:val="30"/>
          <w:szCs w:val="22"/>
          <w:lang w:val="en-US" w:eastAsia="zh-CN" w:bidi="ar-SA"/>
        </w:rPr>
        <w:t>11.4污染物排放总量控制</w:t>
      </w:r>
      <w:bookmarkEnd w:id="488"/>
    </w:p>
    <w:p>
      <w:pPr>
        <w:widowControl w:val="0"/>
        <w:bidi w:val="0"/>
        <w:spacing w:before="20" w:line="360" w:lineRule="auto"/>
        <w:ind w:firstLine="480" w:firstLineChars="200"/>
        <w:jc w:val="both"/>
        <w:rPr>
          <w:rFonts w:hint="eastAsia" w:ascii="Times New Roman" w:hAnsi="Times New Roman" w:eastAsia="宋体" w:cs="Times New Roman"/>
          <w:b/>
          <w:bCs/>
          <w:color w:val="auto"/>
          <w:kern w:val="2"/>
          <w:sz w:val="24"/>
          <w:szCs w:val="20"/>
          <w:lang w:val="en-US" w:eastAsia="zh-CN" w:bidi="ar-SA"/>
        </w:rPr>
      </w:pPr>
      <w:r>
        <w:rPr>
          <w:rFonts w:hint="eastAsia" w:ascii="Times New Roman" w:hAnsi="Times New Roman" w:eastAsia="宋体" w:cs="Times New Roman"/>
          <w:b/>
          <w:bCs/>
          <w:color w:val="auto"/>
          <w:kern w:val="2"/>
          <w:sz w:val="24"/>
          <w:szCs w:val="20"/>
          <w:lang w:val="en-US" w:eastAsia="zh-CN" w:bidi="ar-SA"/>
        </w:rPr>
        <w:t>1、总量控制因子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项目的工程特征和项目所在地的环境特征，国家“十三五”期间规划控制的主要污染物因子分别为废气二氧化硫、氮氧化物、重点区域(特定行业)的烟粉尘、挥发性有机物：废水化学需氧量、氨氮、重点地区的总磷和总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结合现行国家对污染物总量控制因子要求，本次评价建议公司排放的污染物排放总量控制因子为：挥发性有机物(</w:t>
      </w:r>
      <w:r>
        <w:rPr>
          <w:rFonts w:hint="eastAsia" w:ascii="Times New Roman" w:hAnsi="Times New Roman" w:cs="Times New Roman"/>
          <w:color w:val="auto"/>
          <w:kern w:val="2"/>
          <w:sz w:val="24"/>
          <w:szCs w:val="20"/>
          <w:lang w:val="en-US" w:eastAsia="zh-CN" w:bidi="ar-SA"/>
        </w:rPr>
        <w:t>以非甲烷总烃计</w:t>
      </w:r>
      <w:r>
        <w:rPr>
          <w:rFonts w:hint="eastAsia" w:ascii="Times New Roman" w:hAnsi="Times New Roman" w:eastAsia="宋体" w:cs="Times New Roman"/>
          <w:color w:val="auto"/>
          <w:kern w:val="2"/>
          <w:sz w:val="24"/>
          <w:szCs w:val="20"/>
          <w:lang w:val="en-US" w:eastAsia="zh-CN" w:bidi="ar-SA"/>
        </w:rPr>
        <w:t>)；化学需氧量、氨氮。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bCs/>
          <w:color w:val="auto"/>
          <w:kern w:val="2"/>
          <w:sz w:val="24"/>
          <w:szCs w:val="20"/>
          <w:lang w:val="en-US" w:eastAsia="zh-CN" w:bidi="ar-SA"/>
        </w:rPr>
      </w:pPr>
      <w:r>
        <w:rPr>
          <w:rFonts w:hint="eastAsia" w:ascii="Times New Roman" w:hAnsi="Times New Roman" w:eastAsia="宋体" w:cs="Times New Roman"/>
          <w:b/>
          <w:bCs/>
          <w:color w:val="auto"/>
          <w:kern w:val="2"/>
          <w:sz w:val="24"/>
          <w:szCs w:val="20"/>
          <w:lang w:val="en-US" w:eastAsia="zh-CN" w:bidi="ar-SA"/>
        </w:rPr>
        <w:t>2、改扩建项目总量控制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u w:val="single"/>
          <w:shd w:val="clear" w:color="auto" w:fill="auto"/>
          <w:lang w:val="en-US" w:eastAsia="zh-CN" w:bidi="ar-SA"/>
        </w:rPr>
      </w:pPr>
      <w:r>
        <w:rPr>
          <w:rFonts w:hint="eastAsia" w:ascii="Times New Roman" w:hAnsi="Times New Roman"/>
          <w:caps w:val="0"/>
          <w:smallCaps w:val="0"/>
          <w:color w:val="auto"/>
          <w:sz w:val="24"/>
          <w:u w:val="single"/>
        </w:rPr>
        <w:t>改扩建项目实施后全厂总体排放量COD</w:t>
      </w:r>
      <w:r>
        <w:rPr>
          <w:rFonts w:hint="eastAsia" w:ascii="Times New Roman" w:hAnsi="Times New Roman"/>
          <w:caps w:val="0"/>
          <w:smallCaps w:val="0"/>
          <w:color w:val="auto"/>
          <w:sz w:val="24"/>
          <w:u w:val="single"/>
          <w:lang w:eastAsia="zh-CN"/>
        </w:rPr>
        <w:t>：</w:t>
      </w:r>
      <w:r>
        <w:rPr>
          <w:rFonts w:hint="eastAsia" w:ascii="Times New Roman" w:hAnsi="Times New Roman" w:cs="Times New Roman"/>
          <w:color w:val="auto"/>
          <w:kern w:val="2"/>
          <w:sz w:val="24"/>
          <w:szCs w:val="20"/>
          <w:u w:val="single"/>
          <w:shd w:val="clear" w:color="auto" w:fill="auto"/>
          <w:lang w:val="en-US" w:eastAsia="zh-CN" w:bidi="ar-SA"/>
        </w:rPr>
        <w:t>0.423</w:t>
      </w:r>
      <w:r>
        <w:rPr>
          <w:rFonts w:hint="eastAsia" w:ascii="Times New Roman" w:hAnsi="Times New Roman" w:eastAsia="宋体" w:cs="Times New Roman"/>
          <w:color w:val="auto"/>
          <w:kern w:val="2"/>
          <w:sz w:val="24"/>
          <w:szCs w:val="20"/>
          <w:u w:val="single"/>
          <w:shd w:val="clear" w:color="auto" w:fill="auto"/>
          <w:lang w:val="en-US" w:eastAsia="zh-CN" w:bidi="ar-SA"/>
        </w:rPr>
        <w:t>吨/年、氨氮</w:t>
      </w:r>
      <w:r>
        <w:rPr>
          <w:rFonts w:hint="eastAsia" w:ascii="Times New Roman" w:hAnsi="Times New Roman" w:cs="Times New Roman"/>
          <w:color w:val="auto"/>
          <w:kern w:val="2"/>
          <w:sz w:val="24"/>
          <w:szCs w:val="20"/>
          <w:u w:val="single"/>
          <w:shd w:val="clear" w:color="auto" w:fill="auto"/>
          <w:lang w:val="en-US" w:eastAsia="zh-CN" w:bidi="ar-SA"/>
        </w:rPr>
        <w:t>：0.042</w:t>
      </w:r>
      <w:r>
        <w:rPr>
          <w:rFonts w:hint="eastAsia" w:ascii="Times New Roman" w:hAnsi="Times New Roman" w:eastAsia="宋体" w:cs="Times New Roman"/>
          <w:color w:val="auto"/>
          <w:kern w:val="2"/>
          <w:sz w:val="24"/>
          <w:szCs w:val="20"/>
          <w:u w:val="single"/>
          <w:shd w:val="clear" w:color="auto" w:fill="auto"/>
          <w:lang w:val="en-US" w:eastAsia="zh-CN" w:bidi="ar-SA"/>
        </w:rPr>
        <w:t>吨/年</w:t>
      </w:r>
      <w:r>
        <w:rPr>
          <w:rFonts w:hint="eastAsia" w:ascii="Times New Roman" w:hAnsi="Times New Roman" w:cs="Times New Roman"/>
          <w:color w:val="auto"/>
          <w:kern w:val="2"/>
          <w:sz w:val="24"/>
          <w:szCs w:val="20"/>
          <w:u w:val="single"/>
          <w:shd w:val="clear" w:color="auto" w:fill="auto"/>
          <w:lang w:val="en-US" w:eastAsia="zh-CN" w:bidi="ar-SA"/>
        </w:rPr>
        <w:t>、</w:t>
      </w:r>
      <w:r>
        <w:rPr>
          <w:rFonts w:hint="eastAsia" w:ascii="Times New Roman" w:hAnsi="Times New Roman" w:eastAsia="宋体" w:cs="Times New Roman"/>
          <w:color w:val="auto"/>
          <w:kern w:val="2"/>
          <w:sz w:val="24"/>
          <w:szCs w:val="20"/>
          <w:u w:val="single"/>
          <w:shd w:val="clear" w:color="auto" w:fill="auto"/>
          <w:lang w:val="en-US" w:eastAsia="zh-CN" w:bidi="ar-SA"/>
        </w:rPr>
        <w:t>VOCs：</w:t>
      </w:r>
      <w:r>
        <w:rPr>
          <w:rFonts w:hint="eastAsia" w:ascii="Times New Roman" w:hAnsi="Times New Roman" w:cs="Times New Roman"/>
          <w:color w:val="auto"/>
          <w:kern w:val="2"/>
          <w:sz w:val="24"/>
          <w:szCs w:val="20"/>
          <w:u w:val="single"/>
          <w:shd w:val="clear" w:color="auto" w:fill="auto"/>
          <w:lang w:val="en-US" w:eastAsia="zh-CN" w:bidi="ar-SA"/>
        </w:rPr>
        <w:t>2.93</w:t>
      </w:r>
      <w:r>
        <w:rPr>
          <w:rFonts w:hint="eastAsia" w:ascii="Times New Roman" w:hAnsi="Times New Roman" w:eastAsia="宋体" w:cs="Times New Roman"/>
          <w:color w:val="auto"/>
          <w:kern w:val="2"/>
          <w:sz w:val="24"/>
          <w:szCs w:val="20"/>
          <w:u w:val="single"/>
          <w:shd w:val="clear" w:color="auto" w:fill="auto"/>
          <w:lang w:val="en-US" w:eastAsia="zh-CN" w:bidi="ar-SA"/>
        </w:rPr>
        <w:t>吨/年</w:t>
      </w:r>
      <w:r>
        <w:rPr>
          <w:rFonts w:hint="eastAsia" w:ascii="Times New Roman" w:hAnsi="Times New Roman" w:cs="Times New Roman"/>
          <w:color w:val="auto"/>
          <w:kern w:val="2"/>
          <w:sz w:val="24"/>
          <w:szCs w:val="20"/>
          <w:u w:val="single"/>
          <w:shd w:val="clear" w:color="auto" w:fill="auto"/>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kern w:val="2"/>
          <w:sz w:val="24"/>
          <w:szCs w:val="20"/>
          <w:u w:val="single"/>
          <w:shd w:val="clear" w:color="auto" w:fill="auto"/>
          <w:lang w:val="en-US" w:eastAsia="zh-CN" w:bidi="ar-SA"/>
        </w:rPr>
      </w:pPr>
      <w:r>
        <w:rPr>
          <w:rFonts w:hint="eastAsia" w:ascii="Times New Roman" w:hAnsi="Times New Roman" w:cs="Times New Roman"/>
          <w:color w:val="auto"/>
          <w:kern w:val="2"/>
          <w:sz w:val="24"/>
          <w:szCs w:val="20"/>
          <w:u w:val="single"/>
          <w:shd w:val="clear" w:color="auto" w:fill="auto"/>
          <w:lang w:val="en-US" w:eastAsia="zh-CN" w:bidi="ar-SA"/>
        </w:rPr>
        <w:t>根据项目排污许可证和总量交易文件，全厂许可总量指标为：COD：0.5吨/年，氨氮：0.2吨/年；COD和氨氮满足总量控制指标。</w:t>
      </w:r>
      <w:r>
        <w:rPr>
          <w:rFonts w:hint="eastAsia" w:ascii="Times New Roman" w:hAnsi="Times New Roman" w:eastAsia="宋体" w:cs="Times New Roman"/>
          <w:color w:val="auto"/>
          <w:kern w:val="2"/>
          <w:sz w:val="24"/>
          <w:szCs w:val="20"/>
          <w:u w:val="single"/>
          <w:shd w:val="clear" w:color="auto" w:fill="auto"/>
          <w:lang w:val="en-US" w:eastAsia="zh-CN" w:bidi="ar-SA"/>
        </w:rPr>
        <w:t>建议新增</w:t>
      </w:r>
      <w:r>
        <w:rPr>
          <w:rFonts w:hint="eastAsia" w:ascii="Times New Roman" w:hAnsi="Times New Roman" w:cs="Times New Roman"/>
          <w:color w:val="auto"/>
          <w:kern w:val="2"/>
          <w:sz w:val="24"/>
          <w:szCs w:val="20"/>
          <w:u w:val="single"/>
          <w:shd w:val="clear" w:color="auto" w:fill="auto"/>
          <w:lang w:val="en-US" w:eastAsia="zh-CN" w:bidi="ar-SA"/>
        </w:rPr>
        <w:t>全厂</w:t>
      </w:r>
      <w:r>
        <w:rPr>
          <w:rFonts w:hint="eastAsia" w:ascii="Times New Roman" w:hAnsi="Times New Roman" w:eastAsia="宋体" w:cs="Times New Roman"/>
          <w:color w:val="auto"/>
          <w:kern w:val="2"/>
          <w:sz w:val="24"/>
          <w:szCs w:val="20"/>
          <w:u w:val="single"/>
          <w:shd w:val="clear" w:color="auto" w:fill="auto"/>
          <w:lang w:val="en-US" w:eastAsia="zh-CN" w:bidi="ar-SA"/>
        </w:rPr>
        <w:t>总量控制指标废气中VOCs：</w:t>
      </w:r>
      <w:r>
        <w:rPr>
          <w:rFonts w:hint="eastAsia" w:ascii="Times New Roman" w:hAnsi="Times New Roman" w:cs="Times New Roman"/>
          <w:color w:val="auto"/>
          <w:kern w:val="2"/>
          <w:sz w:val="24"/>
          <w:szCs w:val="20"/>
          <w:u w:val="single"/>
          <w:shd w:val="clear" w:color="auto" w:fill="auto"/>
          <w:lang w:val="en-US" w:eastAsia="zh-CN" w:bidi="ar-SA"/>
        </w:rPr>
        <w:t>2.93</w:t>
      </w:r>
      <w:r>
        <w:rPr>
          <w:rFonts w:hint="eastAsia" w:ascii="Times New Roman" w:hAnsi="Times New Roman" w:eastAsia="宋体" w:cs="Times New Roman"/>
          <w:color w:val="auto"/>
          <w:kern w:val="2"/>
          <w:sz w:val="24"/>
          <w:szCs w:val="20"/>
          <w:u w:val="single"/>
          <w:shd w:val="clear" w:color="auto" w:fill="auto"/>
          <w:lang w:val="en-US" w:eastAsia="zh-CN" w:bidi="ar-SA"/>
        </w:rPr>
        <w:t>吨/年</w:t>
      </w:r>
      <w:r>
        <w:rPr>
          <w:rFonts w:hint="eastAsia" w:ascii="Times New Roman" w:hAnsi="Times New Roman" w:cs="Times New Roman"/>
          <w:color w:val="auto"/>
          <w:kern w:val="2"/>
          <w:sz w:val="24"/>
          <w:szCs w:val="20"/>
          <w:u w:val="single"/>
          <w:shd w:val="clear" w:color="auto" w:fill="auto"/>
          <w:lang w:val="en-US" w:eastAsia="zh-CN" w:bidi="ar-SA"/>
        </w:rPr>
        <w:t>。</w:t>
      </w:r>
    </w:p>
    <w:p>
      <w:pPr>
        <w:pStyle w:val="1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b/>
          <w:bCs/>
          <w:color w:val="auto"/>
          <w:u w:val="single"/>
          <w:lang w:val="en-US" w:eastAsia="zh-CN"/>
        </w:rPr>
      </w:pPr>
      <w:r>
        <w:rPr>
          <w:rFonts w:hint="eastAsia" w:cs="Times New Roman"/>
          <w:b/>
          <w:bCs/>
          <w:color w:val="auto"/>
          <w:kern w:val="2"/>
          <w:sz w:val="24"/>
          <w:szCs w:val="20"/>
          <w:u w:val="single"/>
          <w:shd w:val="clear" w:color="auto" w:fill="auto"/>
          <w:lang w:val="en-US" w:eastAsia="zh-CN" w:bidi="ar-SA"/>
        </w:rPr>
        <w:t>表11.4-1  全厂总量变化一览表</w:t>
      </w:r>
    </w:p>
    <w:tbl>
      <w:tblPr>
        <w:tblStyle w:val="27"/>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157"/>
        <w:gridCol w:w="1163"/>
        <w:gridCol w:w="1166"/>
        <w:gridCol w:w="1166"/>
        <w:gridCol w:w="1166"/>
        <w:gridCol w:w="1166"/>
        <w:gridCol w:w="1169"/>
        <w:gridCol w:w="116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blHeader/>
          <w:jc w:val="center"/>
        </w:trPr>
        <w:tc>
          <w:tcPr>
            <w:tcW w:w="620" w:type="pct"/>
            <w:tcBorders>
              <w:tl2br w:val="nil"/>
              <w:tr2bl w:val="nil"/>
            </w:tcBorders>
            <w:noWrap w:val="0"/>
            <w:vAlign w:val="center"/>
          </w:tcPr>
          <w:p>
            <w:pPr>
              <w:pStyle w:val="35"/>
              <w:bidi w:val="0"/>
              <w:rPr>
                <w:rFonts w:hint="default"/>
                <w:b w:val="0"/>
                <w:bCs/>
                <w:color w:val="auto"/>
                <w:u w:val="single"/>
              </w:rPr>
            </w:pPr>
            <w:r>
              <w:rPr>
                <w:rFonts w:hint="default"/>
                <w:b w:val="0"/>
                <w:bCs/>
                <w:color w:val="auto"/>
                <w:u w:val="single"/>
                <w:lang w:val="en-US" w:eastAsia="zh-CN"/>
              </w:rPr>
              <w:t>类型</w:t>
            </w:r>
          </w:p>
        </w:tc>
        <w:tc>
          <w:tcPr>
            <w:tcW w:w="623" w:type="pct"/>
            <w:tcBorders>
              <w:tl2br w:val="nil"/>
              <w:tr2bl w:val="nil"/>
            </w:tcBorders>
            <w:noWrap w:val="0"/>
            <w:vAlign w:val="center"/>
          </w:tcPr>
          <w:p>
            <w:pPr>
              <w:pStyle w:val="35"/>
              <w:bidi w:val="0"/>
              <w:rPr>
                <w:rFonts w:hint="default"/>
                <w:b w:val="0"/>
                <w:bCs/>
                <w:color w:val="auto"/>
                <w:u w:val="single"/>
              </w:rPr>
            </w:pPr>
            <w:r>
              <w:rPr>
                <w:rFonts w:hint="default"/>
                <w:b w:val="0"/>
                <w:bCs/>
                <w:color w:val="auto"/>
                <w:u w:val="single"/>
                <w:lang w:val="en-US" w:eastAsia="zh-CN"/>
              </w:rPr>
              <w:t>污染物名称</w:t>
            </w:r>
          </w:p>
        </w:tc>
        <w:tc>
          <w:tcPr>
            <w:tcW w:w="625" w:type="pct"/>
            <w:tcBorders>
              <w:tl2br w:val="nil"/>
              <w:tr2bl w:val="nil"/>
            </w:tcBorders>
            <w:noWrap w:val="0"/>
            <w:vAlign w:val="center"/>
          </w:tcPr>
          <w:p>
            <w:pPr>
              <w:pStyle w:val="35"/>
              <w:bidi w:val="0"/>
              <w:rPr>
                <w:rFonts w:hint="eastAsia"/>
                <w:b w:val="0"/>
                <w:bCs/>
                <w:color w:val="auto"/>
                <w:u w:val="single"/>
                <w:lang w:val="en-US" w:eastAsia="zh-CN"/>
              </w:rPr>
            </w:pPr>
            <w:r>
              <w:rPr>
                <w:rFonts w:hint="eastAsia"/>
                <w:b w:val="0"/>
                <w:bCs/>
                <w:color w:val="auto"/>
                <w:u w:val="single"/>
                <w:lang w:val="en-US" w:eastAsia="zh-CN"/>
              </w:rPr>
              <w:t>全厂现有总量</w:t>
            </w:r>
          </w:p>
          <w:p>
            <w:pPr>
              <w:pStyle w:val="35"/>
              <w:bidi w:val="0"/>
              <w:rPr>
                <w:rFonts w:hint="default"/>
                <w:b w:val="0"/>
                <w:bCs/>
                <w:color w:val="auto"/>
                <w:u w:val="single"/>
              </w:rPr>
            </w:pPr>
            <w:r>
              <w:rPr>
                <w:rFonts w:hint="eastAsia"/>
                <w:b w:val="0"/>
                <w:bCs/>
                <w:color w:val="auto"/>
                <w:u w:val="single"/>
                <w:lang w:val="en-US" w:eastAsia="zh-CN"/>
              </w:rPr>
              <w:t>（t/a）</w:t>
            </w:r>
          </w:p>
        </w:tc>
        <w:tc>
          <w:tcPr>
            <w:tcW w:w="625" w:type="pct"/>
            <w:tcBorders>
              <w:tl2br w:val="nil"/>
              <w:tr2bl w:val="nil"/>
            </w:tcBorders>
            <w:noWrap w:val="0"/>
            <w:vAlign w:val="center"/>
          </w:tcPr>
          <w:p>
            <w:pPr>
              <w:pStyle w:val="35"/>
              <w:bidi w:val="0"/>
              <w:rPr>
                <w:rFonts w:hint="eastAsia" w:eastAsia="宋体"/>
                <w:b w:val="0"/>
                <w:bCs/>
                <w:color w:val="auto"/>
                <w:u w:val="single"/>
                <w:lang w:eastAsia="zh-CN"/>
              </w:rPr>
            </w:pPr>
            <w:r>
              <w:rPr>
                <w:rFonts w:hint="eastAsia"/>
                <w:b w:val="0"/>
                <w:bCs/>
                <w:color w:val="auto"/>
                <w:u w:val="single"/>
                <w:lang w:val="en-US" w:eastAsia="zh-CN"/>
              </w:rPr>
              <w:t>扩建后增加总</w:t>
            </w:r>
            <w:r>
              <w:rPr>
                <w:rFonts w:hint="default"/>
                <w:b w:val="0"/>
                <w:bCs/>
                <w:color w:val="auto"/>
                <w:u w:val="single"/>
                <w:lang w:val="en-US" w:eastAsia="zh-CN"/>
              </w:rPr>
              <w:t>量</w:t>
            </w:r>
            <w:r>
              <w:rPr>
                <w:rFonts w:hint="eastAsia"/>
                <w:b w:val="0"/>
                <w:bCs/>
                <w:color w:val="auto"/>
                <w:u w:val="single"/>
                <w:lang w:val="en-US" w:eastAsia="zh-CN"/>
              </w:rPr>
              <w:t>（t/a）</w:t>
            </w:r>
          </w:p>
        </w:tc>
        <w:tc>
          <w:tcPr>
            <w:tcW w:w="625" w:type="pct"/>
            <w:tcBorders>
              <w:tl2br w:val="nil"/>
              <w:tr2bl w:val="nil"/>
            </w:tcBorders>
            <w:noWrap w:val="0"/>
            <w:vAlign w:val="center"/>
          </w:tcPr>
          <w:p>
            <w:pPr>
              <w:pStyle w:val="35"/>
              <w:bidi w:val="0"/>
              <w:rPr>
                <w:rFonts w:hint="eastAsia"/>
                <w:b w:val="0"/>
                <w:bCs/>
                <w:color w:val="auto"/>
                <w:u w:val="single"/>
              </w:rPr>
            </w:pPr>
            <w:r>
              <w:rPr>
                <w:rFonts w:hint="eastAsia"/>
                <w:b w:val="0"/>
                <w:bCs/>
                <w:color w:val="auto"/>
                <w:u w:val="single"/>
                <w:lang w:eastAsia="zh-CN"/>
              </w:rPr>
              <w:t>以新带老</w:t>
            </w:r>
            <w:r>
              <w:rPr>
                <w:rFonts w:hint="default"/>
                <w:b w:val="0"/>
                <w:bCs/>
                <w:color w:val="auto"/>
                <w:u w:val="single"/>
                <w:lang w:val="en-US" w:eastAsia="zh-CN"/>
              </w:rPr>
              <w:t>消减量</w:t>
            </w:r>
            <w:r>
              <w:rPr>
                <w:rFonts w:hint="eastAsia"/>
                <w:b w:val="0"/>
                <w:bCs/>
                <w:color w:val="auto"/>
                <w:u w:val="single"/>
                <w:lang w:val="en-US" w:eastAsia="zh-CN"/>
              </w:rPr>
              <w:t>（t/a）</w:t>
            </w:r>
          </w:p>
        </w:tc>
        <w:tc>
          <w:tcPr>
            <w:tcW w:w="625" w:type="pct"/>
            <w:tcBorders>
              <w:tl2br w:val="nil"/>
              <w:tr2bl w:val="nil"/>
            </w:tcBorders>
            <w:noWrap w:val="0"/>
            <w:vAlign w:val="center"/>
          </w:tcPr>
          <w:p>
            <w:pPr>
              <w:pStyle w:val="35"/>
              <w:bidi w:val="0"/>
              <w:rPr>
                <w:rFonts w:hint="default"/>
                <w:b w:val="0"/>
                <w:bCs/>
                <w:color w:val="auto"/>
                <w:u w:val="single"/>
              </w:rPr>
            </w:pPr>
            <w:r>
              <w:rPr>
                <w:rFonts w:hint="eastAsia"/>
                <w:b w:val="0"/>
                <w:bCs/>
                <w:color w:val="auto"/>
                <w:u w:val="single"/>
                <w:lang w:val="en-US" w:eastAsia="zh-CN"/>
              </w:rPr>
              <w:t>扩建后全厂总量（t/a）</w:t>
            </w:r>
          </w:p>
        </w:tc>
        <w:tc>
          <w:tcPr>
            <w:tcW w:w="626" w:type="pct"/>
            <w:tcBorders>
              <w:tl2br w:val="nil"/>
              <w:tr2bl w:val="nil"/>
            </w:tcBorders>
            <w:noWrap w:val="0"/>
            <w:vAlign w:val="center"/>
          </w:tcPr>
          <w:p>
            <w:pPr>
              <w:pStyle w:val="35"/>
              <w:bidi w:val="0"/>
              <w:rPr>
                <w:rFonts w:hint="eastAsia"/>
                <w:b w:val="0"/>
                <w:bCs/>
                <w:color w:val="auto"/>
                <w:u w:val="single"/>
                <w:lang w:val="en-US" w:eastAsia="zh-CN"/>
              </w:rPr>
            </w:pPr>
            <w:r>
              <w:rPr>
                <w:rFonts w:hint="eastAsia"/>
                <w:b w:val="0"/>
                <w:bCs/>
                <w:color w:val="auto"/>
                <w:u w:val="single"/>
                <w:lang w:val="en-US" w:eastAsia="zh-CN"/>
              </w:rPr>
              <w:t>许可总量</w:t>
            </w:r>
          </w:p>
          <w:p>
            <w:pPr>
              <w:pStyle w:val="35"/>
              <w:bidi w:val="0"/>
              <w:rPr>
                <w:rFonts w:hint="default"/>
                <w:b w:val="0"/>
                <w:bCs/>
                <w:color w:val="auto"/>
                <w:u w:val="single"/>
                <w:lang w:val="en-US" w:eastAsia="zh-CN"/>
              </w:rPr>
            </w:pPr>
            <w:r>
              <w:rPr>
                <w:rFonts w:hint="eastAsia"/>
                <w:b w:val="0"/>
                <w:bCs/>
                <w:color w:val="auto"/>
                <w:u w:val="single"/>
                <w:lang w:val="en-US" w:eastAsia="zh-CN"/>
              </w:rPr>
              <w:t>（t/a）</w:t>
            </w:r>
          </w:p>
        </w:tc>
        <w:tc>
          <w:tcPr>
            <w:tcW w:w="626" w:type="pct"/>
            <w:tcBorders>
              <w:tl2br w:val="nil"/>
              <w:tr2bl w:val="nil"/>
            </w:tcBorders>
            <w:noWrap w:val="0"/>
            <w:vAlign w:val="center"/>
          </w:tcPr>
          <w:p>
            <w:pPr>
              <w:pStyle w:val="35"/>
              <w:bidi w:val="0"/>
              <w:rPr>
                <w:rFonts w:hint="eastAsia"/>
                <w:b w:val="0"/>
                <w:bCs/>
                <w:color w:val="auto"/>
                <w:u w:val="single"/>
                <w:lang w:val="en-US" w:eastAsia="zh-CN"/>
              </w:rPr>
            </w:pPr>
            <w:r>
              <w:rPr>
                <w:rFonts w:hint="eastAsia"/>
                <w:b w:val="0"/>
                <w:bCs/>
                <w:color w:val="auto"/>
                <w:u w:val="single"/>
                <w:lang w:val="en-US" w:eastAsia="zh-CN"/>
              </w:rPr>
              <w:t>建议新增总量（t/a）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620" w:type="pct"/>
            <w:tcBorders>
              <w:tl2br w:val="nil"/>
              <w:tr2bl w:val="nil"/>
            </w:tcBorders>
            <w:noWrap w:val="0"/>
            <w:vAlign w:val="center"/>
          </w:tcPr>
          <w:p>
            <w:pPr>
              <w:pStyle w:val="35"/>
              <w:bidi w:val="0"/>
              <w:rPr>
                <w:rFonts w:hint="default"/>
                <w:color w:val="auto"/>
                <w:u w:val="single"/>
              </w:rPr>
            </w:pPr>
            <w:r>
              <w:rPr>
                <w:rFonts w:hint="default"/>
                <w:color w:val="auto"/>
                <w:u w:val="single"/>
                <w:lang w:val="en-US" w:eastAsia="zh-CN"/>
              </w:rPr>
              <w:t>废气</w:t>
            </w:r>
          </w:p>
        </w:tc>
        <w:tc>
          <w:tcPr>
            <w:tcW w:w="623"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VOCs</w:t>
            </w:r>
          </w:p>
        </w:tc>
        <w:tc>
          <w:tcPr>
            <w:tcW w:w="625" w:type="pct"/>
            <w:tcBorders>
              <w:tl2br w:val="nil"/>
              <w:tr2bl w:val="nil"/>
            </w:tcBorders>
            <w:noWrap w:val="0"/>
            <w:vAlign w:val="center"/>
          </w:tcPr>
          <w:p>
            <w:pPr>
              <w:pStyle w:val="35"/>
              <w:bidi w:val="0"/>
              <w:rPr>
                <w:rFonts w:hint="eastAsia" w:eastAsia="宋体"/>
                <w:color w:val="auto"/>
                <w:u w:val="single"/>
                <w:lang w:val="en-US" w:eastAsia="zh-CN"/>
              </w:rPr>
            </w:pPr>
            <w:r>
              <w:rPr>
                <w:rFonts w:hint="eastAsia"/>
                <w:color w:val="auto"/>
                <w:u w:val="single"/>
                <w:lang w:val="en-US" w:eastAsia="zh-CN"/>
              </w:rPr>
              <w:t>1.236</w:t>
            </w:r>
          </w:p>
        </w:tc>
        <w:tc>
          <w:tcPr>
            <w:tcW w:w="625" w:type="pct"/>
            <w:tcBorders>
              <w:tl2br w:val="nil"/>
              <w:tr2bl w:val="nil"/>
            </w:tcBorders>
            <w:noWrap w:val="0"/>
            <w:vAlign w:val="center"/>
          </w:tcPr>
          <w:p>
            <w:pPr>
              <w:pStyle w:val="35"/>
              <w:bidi w:val="0"/>
              <w:rPr>
                <w:rFonts w:hint="eastAsia"/>
                <w:color w:val="auto"/>
                <w:u w:val="single"/>
              </w:rPr>
            </w:pPr>
            <w:r>
              <w:rPr>
                <w:rFonts w:hint="eastAsia"/>
                <w:color w:val="auto"/>
                <w:u w:val="single"/>
                <w:lang w:val="en-US" w:eastAsia="zh-CN"/>
              </w:rPr>
              <w:t>1.88</w:t>
            </w:r>
          </w:p>
        </w:tc>
        <w:tc>
          <w:tcPr>
            <w:tcW w:w="625" w:type="pct"/>
            <w:tcBorders>
              <w:tl2br w:val="nil"/>
              <w:tr2bl w:val="nil"/>
            </w:tcBorders>
            <w:noWrap w:val="0"/>
            <w:vAlign w:val="center"/>
          </w:tcPr>
          <w:p>
            <w:pPr>
              <w:pStyle w:val="35"/>
              <w:bidi w:val="0"/>
              <w:rPr>
                <w:rFonts w:hint="default"/>
                <w:color w:val="auto"/>
                <w:u w:val="single"/>
                <w:lang w:val="en-US"/>
              </w:rPr>
            </w:pPr>
            <w:r>
              <w:rPr>
                <w:rFonts w:hint="eastAsia"/>
                <w:color w:val="auto"/>
                <w:u w:val="single"/>
                <w:lang w:val="en-US" w:eastAsia="zh-CN"/>
              </w:rPr>
              <w:t>0.186</w:t>
            </w:r>
          </w:p>
        </w:tc>
        <w:tc>
          <w:tcPr>
            <w:tcW w:w="625"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2.93</w:t>
            </w:r>
          </w:p>
        </w:tc>
        <w:tc>
          <w:tcPr>
            <w:tcW w:w="626" w:type="pct"/>
            <w:tcBorders>
              <w:tl2br w:val="nil"/>
              <w:tr2bl w:val="nil"/>
            </w:tcBorders>
            <w:noWrap w:val="0"/>
            <w:vAlign w:val="center"/>
          </w:tcPr>
          <w:p>
            <w:pPr>
              <w:pStyle w:val="35"/>
              <w:bidi w:val="0"/>
              <w:rPr>
                <w:rFonts w:hint="eastAsia" w:eastAsia="宋体"/>
                <w:color w:val="auto"/>
                <w:u w:val="single"/>
                <w:lang w:val="en-US" w:eastAsia="zh-CN"/>
              </w:rPr>
            </w:pPr>
            <w:r>
              <w:rPr>
                <w:rFonts w:hint="eastAsia"/>
                <w:color w:val="auto"/>
                <w:u w:val="single"/>
                <w:lang w:val="en-US" w:eastAsia="zh-CN"/>
              </w:rPr>
              <w:t>0</w:t>
            </w:r>
          </w:p>
        </w:tc>
        <w:tc>
          <w:tcPr>
            <w:tcW w:w="626"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2.93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620" w:type="pct"/>
            <w:vMerge w:val="restart"/>
            <w:tcBorders>
              <w:tl2br w:val="nil"/>
              <w:tr2bl w:val="nil"/>
            </w:tcBorders>
            <w:noWrap w:val="0"/>
            <w:vAlign w:val="center"/>
          </w:tcPr>
          <w:p>
            <w:pPr>
              <w:pStyle w:val="35"/>
              <w:bidi w:val="0"/>
              <w:rPr>
                <w:rFonts w:hint="default"/>
                <w:color w:val="auto"/>
                <w:u w:val="single"/>
              </w:rPr>
            </w:pPr>
            <w:r>
              <w:rPr>
                <w:rFonts w:hint="default"/>
                <w:color w:val="auto"/>
                <w:u w:val="single"/>
                <w:lang w:val="en-US" w:eastAsia="zh-CN"/>
              </w:rPr>
              <w:t>废水</w:t>
            </w:r>
          </w:p>
        </w:tc>
        <w:tc>
          <w:tcPr>
            <w:tcW w:w="623" w:type="pct"/>
            <w:tcBorders>
              <w:tl2br w:val="nil"/>
              <w:tr2bl w:val="nil"/>
            </w:tcBorders>
            <w:noWrap w:val="0"/>
            <w:vAlign w:val="center"/>
          </w:tcPr>
          <w:p>
            <w:pPr>
              <w:pStyle w:val="35"/>
              <w:bidi w:val="0"/>
              <w:rPr>
                <w:rFonts w:hint="default"/>
                <w:color w:val="auto"/>
                <w:u w:val="single"/>
              </w:rPr>
            </w:pPr>
            <w:r>
              <w:rPr>
                <w:rFonts w:hint="default"/>
                <w:color w:val="auto"/>
                <w:u w:val="single"/>
                <w:lang w:val="en-US" w:eastAsia="zh-CN"/>
              </w:rPr>
              <w:t>COD</w:t>
            </w:r>
          </w:p>
        </w:tc>
        <w:tc>
          <w:tcPr>
            <w:tcW w:w="625"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0.244</w:t>
            </w:r>
          </w:p>
        </w:tc>
        <w:tc>
          <w:tcPr>
            <w:tcW w:w="625"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0.185</w:t>
            </w:r>
          </w:p>
        </w:tc>
        <w:tc>
          <w:tcPr>
            <w:tcW w:w="625"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0</w:t>
            </w:r>
          </w:p>
        </w:tc>
        <w:tc>
          <w:tcPr>
            <w:tcW w:w="625" w:type="pct"/>
            <w:tcBorders>
              <w:tl2br w:val="nil"/>
              <w:tr2bl w:val="nil"/>
            </w:tcBorders>
            <w:noWrap w:val="0"/>
            <w:vAlign w:val="center"/>
          </w:tcPr>
          <w:p>
            <w:pPr>
              <w:pStyle w:val="35"/>
              <w:bidi w:val="0"/>
              <w:ind w:firstLine="0" w:firstLineChars="0"/>
              <w:rPr>
                <w:rFonts w:hint="default"/>
                <w:color w:val="auto"/>
                <w:u w:val="single"/>
                <w:lang w:val="en-US"/>
              </w:rPr>
            </w:pPr>
            <w:r>
              <w:rPr>
                <w:rFonts w:hint="eastAsia"/>
                <w:color w:val="auto"/>
                <w:u w:val="single"/>
                <w:lang w:val="en-US" w:eastAsia="zh-CN"/>
              </w:rPr>
              <w:t>0.429</w:t>
            </w:r>
          </w:p>
        </w:tc>
        <w:tc>
          <w:tcPr>
            <w:tcW w:w="626"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0.5</w:t>
            </w:r>
          </w:p>
        </w:tc>
        <w:tc>
          <w:tcPr>
            <w:tcW w:w="626"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620" w:type="pct"/>
            <w:vMerge w:val="continue"/>
            <w:tcBorders>
              <w:tl2br w:val="nil"/>
              <w:tr2bl w:val="nil"/>
            </w:tcBorders>
            <w:noWrap w:val="0"/>
            <w:vAlign w:val="center"/>
          </w:tcPr>
          <w:p>
            <w:pPr>
              <w:pStyle w:val="35"/>
              <w:bidi w:val="0"/>
              <w:rPr>
                <w:rFonts w:hint="default"/>
                <w:color w:val="auto"/>
                <w:u w:val="single"/>
              </w:rPr>
            </w:pPr>
          </w:p>
        </w:tc>
        <w:tc>
          <w:tcPr>
            <w:tcW w:w="623" w:type="pct"/>
            <w:tcBorders>
              <w:tl2br w:val="nil"/>
              <w:tr2bl w:val="nil"/>
            </w:tcBorders>
            <w:noWrap w:val="0"/>
            <w:vAlign w:val="center"/>
          </w:tcPr>
          <w:p>
            <w:pPr>
              <w:pStyle w:val="35"/>
              <w:bidi w:val="0"/>
              <w:rPr>
                <w:rFonts w:hint="default"/>
                <w:color w:val="auto"/>
                <w:u w:val="single"/>
              </w:rPr>
            </w:pPr>
            <w:r>
              <w:rPr>
                <w:rFonts w:hint="default"/>
                <w:color w:val="auto"/>
                <w:u w:val="single"/>
                <w:lang w:val="en-US" w:eastAsia="zh-CN"/>
              </w:rPr>
              <w:t>氨氮</w:t>
            </w:r>
          </w:p>
        </w:tc>
        <w:tc>
          <w:tcPr>
            <w:tcW w:w="625"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0.024</w:t>
            </w:r>
          </w:p>
        </w:tc>
        <w:tc>
          <w:tcPr>
            <w:tcW w:w="625"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0.019</w:t>
            </w:r>
          </w:p>
        </w:tc>
        <w:tc>
          <w:tcPr>
            <w:tcW w:w="625"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0</w:t>
            </w:r>
          </w:p>
        </w:tc>
        <w:tc>
          <w:tcPr>
            <w:tcW w:w="625" w:type="pct"/>
            <w:tcBorders>
              <w:tl2br w:val="nil"/>
              <w:tr2bl w:val="nil"/>
            </w:tcBorders>
            <w:noWrap w:val="0"/>
            <w:vAlign w:val="center"/>
          </w:tcPr>
          <w:p>
            <w:pPr>
              <w:pStyle w:val="35"/>
              <w:bidi w:val="0"/>
              <w:ind w:firstLine="0" w:firstLineChars="0"/>
              <w:rPr>
                <w:rFonts w:hint="default" w:ascii="Times New Roman" w:hAnsi="Times New Roman" w:eastAsia="宋体" w:cs="Times New Roman"/>
                <w:color w:val="auto"/>
                <w:kern w:val="2"/>
                <w:sz w:val="21"/>
                <w:szCs w:val="22"/>
                <w:u w:val="single"/>
                <w:lang w:val="en-US" w:eastAsia="zh-CN" w:bidi="ar-SA"/>
              </w:rPr>
            </w:pPr>
            <w:r>
              <w:rPr>
                <w:rFonts w:hint="eastAsia"/>
                <w:color w:val="auto"/>
                <w:u w:val="single"/>
                <w:lang w:val="en-US" w:eastAsia="zh-CN"/>
              </w:rPr>
              <w:t>0.043</w:t>
            </w:r>
          </w:p>
        </w:tc>
        <w:tc>
          <w:tcPr>
            <w:tcW w:w="626" w:type="pct"/>
            <w:tcBorders>
              <w:tl2br w:val="nil"/>
              <w:tr2bl w:val="nil"/>
            </w:tcBorders>
            <w:noWrap w:val="0"/>
            <w:vAlign w:val="center"/>
          </w:tcPr>
          <w:p>
            <w:pPr>
              <w:pStyle w:val="35"/>
              <w:bidi w:val="0"/>
              <w:rPr>
                <w:rFonts w:hint="default" w:eastAsia="宋体"/>
                <w:color w:val="auto"/>
                <w:u w:val="single"/>
                <w:lang w:val="en-US" w:eastAsia="zh-CN"/>
              </w:rPr>
            </w:pPr>
            <w:r>
              <w:rPr>
                <w:rFonts w:hint="eastAsia"/>
                <w:color w:val="auto"/>
                <w:u w:val="single"/>
                <w:lang w:val="en-US" w:eastAsia="zh-CN"/>
              </w:rPr>
              <w:t>0.2</w:t>
            </w:r>
          </w:p>
        </w:tc>
        <w:tc>
          <w:tcPr>
            <w:tcW w:w="626" w:type="pct"/>
            <w:tcBorders>
              <w:tl2br w:val="nil"/>
              <w:tr2bl w:val="nil"/>
            </w:tcBorders>
            <w:noWrap w:val="0"/>
            <w:vAlign w:val="center"/>
          </w:tcPr>
          <w:p>
            <w:pPr>
              <w:pStyle w:val="35"/>
              <w:bidi w:val="0"/>
              <w:rPr>
                <w:rFonts w:hint="default"/>
                <w:color w:val="auto"/>
                <w:u w:val="single"/>
                <w:lang w:val="en-US" w:eastAsia="zh-CN"/>
              </w:rPr>
            </w:pPr>
            <w:r>
              <w:rPr>
                <w:rFonts w:hint="eastAsia"/>
                <w:color w:val="auto"/>
                <w:u w:val="single"/>
                <w:lang w:val="en-US" w:eastAsia="zh-CN"/>
              </w:rPr>
              <w:t>/</w:t>
            </w:r>
          </w:p>
        </w:tc>
      </w:tr>
    </w:tbl>
    <w:p>
      <w:pPr>
        <w:keepNext/>
        <w:keepLines/>
        <w:widowControl w:val="0"/>
        <w:bidi w:val="0"/>
        <w:spacing w:before="260" w:beforeLines="0" w:beforeAutospacing="0" w:after="260" w:afterLines="0" w:afterAutospacing="0" w:line="240" w:lineRule="auto"/>
        <w:jc w:val="both"/>
        <w:outlineLvl w:val="9"/>
        <w:rPr>
          <w:rFonts w:hint="eastAsia" w:ascii="Times New Roman" w:hAnsi="Times New Roman" w:eastAsia="宋体" w:cs="Times New Roman"/>
          <w:b/>
          <w:color w:val="auto"/>
          <w:kern w:val="2"/>
          <w:sz w:val="21"/>
          <w:szCs w:val="21"/>
          <w:lang w:val="en-US" w:eastAsia="zh-CN" w:bidi="ar-SA"/>
        </w:rPr>
      </w:pPr>
      <w:bookmarkStart w:id="489" w:name="_Toc31632"/>
      <w:r>
        <w:rPr>
          <w:rFonts w:hint="eastAsia" w:ascii="Times New Roman" w:hAnsi="Times New Roman" w:eastAsia="宋体" w:cs="Times New Roman"/>
          <w:b/>
          <w:color w:val="auto"/>
          <w:kern w:val="2"/>
          <w:sz w:val="21"/>
          <w:szCs w:val="21"/>
          <w:lang w:val="en-US" w:eastAsia="zh-CN" w:bidi="ar-SA"/>
        </w:rPr>
        <w:t>由于岳阳市凌峰化工有限公司二期工程项目暂未验收，</w:t>
      </w:r>
      <w:r>
        <w:rPr>
          <w:rFonts w:hint="eastAsia" w:ascii="Times New Roman" w:hAnsi="Times New Roman" w:cs="Times New Roman"/>
          <w:b/>
          <w:color w:val="auto"/>
          <w:kern w:val="2"/>
          <w:sz w:val="21"/>
          <w:szCs w:val="21"/>
          <w:lang w:val="en-US" w:eastAsia="zh-CN" w:bidi="ar-SA"/>
        </w:rPr>
        <w:t>全厂</w:t>
      </w:r>
      <w:r>
        <w:rPr>
          <w:rFonts w:hint="eastAsia" w:ascii="Times New Roman" w:hAnsi="Times New Roman" w:eastAsia="宋体" w:cs="Times New Roman"/>
          <w:b/>
          <w:color w:val="auto"/>
          <w:kern w:val="2"/>
          <w:sz w:val="21"/>
          <w:szCs w:val="21"/>
          <w:lang w:val="en-US" w:eastAsia="zh-CN" w:bidi="ar-SA"/>
        </w:rPr>
        <w:t>现有工程总量指标以《岳阳市凌峰化工有限公司二期工程项目环境影响报告书》中废水</w:t>
      </w:r>
      <w:r>
        <w:rPr>
          <w:rFonts w:hint="eastAsia" w:ascii="Times New Roman" w:hAnsi="Times New Roman" w:cs="Times New Roman"/>
          <w:b/>
          <w:color w:val="auto"/>
          <w:kern w:val="2"/>
          <w:sz w:val="21"/>
          <w:szCs w:val="21"/>
          <w:lang w:val="en-US" w:eastAsia="zh-CN" w:bidi="ar-SA"/>
        </w:rPr>
        <w:t>、</w:t>
      </w:r>
      <w:r>
        <w:rPr>
          <w:rFonts w:hint="eastAsia" w:ascii="Times New Roman" w:hAnsi="Times New Roman" w:eastAsia="宋体" w:cs="Times New Roman"/>
          <w:b/>
          <w:color w:val="auto"/>
          <w:kern w:val="2"/>
          <w:sz w:val="21"/>
          <w:szCs w:val="21"/>
          <w:lang w:val="en-US" w:eastAsia="zh-CN" w:bidi="ar-SA"/>
        </w:rPr>
        <w:t>废气产排污计算。</w:t>
      </w:r>
    </w:p>
    <w:p>
      <w:pPr>
        <w:keepNext/>
        <w:keepLines/>
        <w:widowControl w:val="0"/>
        <w:bidi w:val="0"/>
        <w:spacing w:before="260" w:beforeLines="0" w:beforeAutospacing="0" w:after="260" w:afterLines="0" w:afterAutospacing="0" w:line="360" w:lineRule="auto"/>
        <w:jc w:val="both"/>
        <w:outlineLvl w:val="1"/>
        <w:rPr>
          <w:rFonts w:ascii="Times New Roman" w:hAnsi="Times New Roman" w:eastAsia="宋体" w:cs="Times New Roman"/>
          <w:b/>
          <w:color w:val="auto"/>
          <w:kern w:val="2"/>
          <w:sz w:val="30"/>
          <w:szCs w:val="22"/>
          <w:lang w:val="en-US" w:eastAsia="zh-CN" w:bidi="ar-SA"/>
        </w:rPr>
      </w:pPr>
      <w:r>
        <w:rPr>
          <w:rFonts w:hint="eastAsia" w:ascii="Times New Roman" w:hAnsi="Times New Roman" w:eastAsia="宋体" w:cs="Times New Roman"/>
          <w:b/>
          <w:color w:val="auto"/>
          <w:kern w:val="2"/>
          <w:sz w:val="30"/>
          <w:szCs w:val="22"/>
          <w:lang w:val="en-US" w:eastAsia="zh-CN" w:bidi="ar-SA"/>
        </w:rPr>
        <w:t>11</w:t>
      </w:r>
      <w:r>
        <w:rPr>
          <w:rFonts w:ascii="Times New Roman" w:hAnsi="Times New Roman" w:eastAsia="宋体" w:cs="Times New Roman"/>
          <w:b/>
          <w:color w:val="auto"/>
          <w:kern w:val="2"/>
          <w:sz w:val="30"/>
          <w:szCs w:val="22"/>
          <w:lang w:val="en-US" w:eastAsia="zh-CN" w:bidi="ar-SA"/>
        </w:rPr>
        <w:t>.</w:t>
      </w:r>
      <w:r>
        <w:rPr>
          <w:rFonts w:hint="eastAsia" w:ascii="Times New Roman" w:hAnsi="Times New Roman" w:eastAsia="宋体" w:cs="Times New Roman"/>
          <w:b/>
          <w:color w:val="auto"/>
          <w:kern w:val="2"/>
          <w:sz w:val="30"/>
          <w:szCs w:val="22"/>
          <w:lang w:val="en-US" w:eastAsia="zh-CN" w:bidi="ar-SA"/>
        </w:rPr>
        <w:t>5环境保护“三同时”验收</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中华人民共和国环境保护法》、《建设项目竣工环境保护验收管理办法》、《国务院关于修改〈建设项目环境保护管理条例〉的决定》规定，建设项目污染防治设施必须与主体工程同时设计、同时施工、同时投入运行；建设完成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拟建项目竣工环保“三同时”验收一览表见表11.5-1。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eastAsia="宋体" w:cs="Times New Roman"/>
          <w:b/>
          <w:color w:val="auto"/>
          <w:kern w:val="2"/>
          <w:sz w:val="24"/>
          <w:szCs w:val="24"/>
          <w:u w:val="single"/>
          <w:lang w:val="en-US" w:eastAsia="zh-CN" w:bidi="ar-SA"/>
        </w:rPr>
      </w:pPr>
      <w:r>
        <w:rPr>
          <w:rFonts w:hint="eastAsia" w:ascii="Times New Roman" w:hAnsi="Times New Roman" w:eastAsia="宋体" w:cs="Times New Roman"/>
          <w:b/>
          <w:color w:val="auto"/>
          <w:kern w:val="2"/>
          <w:sz w:val="24"/>
          <w:szCs w:val="24"/>
          <w:u w:val="single"/>
          <w:lang w:val="en-US" w:eastAsia="zh-CN" w:bidi="ar-SA"/>
        </w:rPr>
        <w:t>表11</w:t>
      </w:r>
      <w:r>
        <w:rPr>
          <w:rFonts w:ascii="Times New Roman" w:hAnsi="Times New Roman" w:eastAsia="宋体" w:cs="Times New Roman"/>
          <w:b/>
          <w:color w:val="auto"/>
          <w:kern w:val="2"/>
          <w:sz w:val="24"/>
          <w:szCs w:val="24"/>
          <w:u w:val="single"/>
          <w:lang w:val="en-US" w:eastAsia="zh-CN" w:bidi="ar-SA"/>
        </w:rPr>
        <w:t>.</w:t>
      </w:r>
      <w:r>
        <w:rPr>
          <w:rFonts w:hint="eastAsia" w:ascii="Times New Roman" w:hAnsi="Times New Roman" w:eastAsia="宋体" w:cs="Times New Roman"/>
          <w:b/>
          <w:color w:val="auto"/>
          <w:kern w:val="2"/>
          <w:sz w:val="24"/>
          <w:szCs w:val="24"/>
          <w:u w:val="single"/>
          <w:lang w:val="en-US" w:eastAsia="zh-CN" w:bidi="ar-SA"/>
        </w:rPr>
        <w:t>5</w:t>
      </w:r>
      <w:r>
        <w:rPr>
          <w:rFonts w:ascii="Times New Roman" w:hAnsi="Times New Roman" w:eastAsia="宋体" w:cs="Times New Roman"/>
          <w:b/>
          <w:color w:val="auto"/>
          <w:kern w:val="2"/>
          <w:sz w:val="24"/>
          <w:szCs w:val="24"/>
          <w:u w:val="single"/>
          <w:lang w:val="en-US" w:eastAsia="zh-CN" w:bidi="ar-SA"/>
        </w:rPr>
        <w:t>-1</w:t>
      </w:r>
      <w:r>
        <w:rPr>
          <w:rFonts w:hint="eastAsia" w:ascii="Times New Roman" w:hAnsi="Times New Roman" w:eastAsia="宋体" w:cs="Times New Roman"/>
          <w:b/>
          <w:color w:val="auto"/>
          <w:kern w:val="2"/>
          <w:sz w:val="24"/>
          <w:szCs w:val="24"/>
          <w:u w:val="single"/>
          <w:lang w:val="en-US" w:eastAsia="zh-CN" w:bidi="ar-SA"/>
        </w:rPr>
        <w:t>项目环保设施</w:t>
      </w:r>
      <w:r>
        <w:rPr>
          <w:rFonts w:ascii="Times New Roman" w:hAnsi="Times New Roman" w:eastAsia="宋体" w:cs="Times New Roman"/>
          <w:b/>
          <w:color w:val="auto"/>
          <w:kern w:val="2"/>
          <w:sz w:val="24"/>
          <w:szCs w:val="24"/>
          <w:u w:val="single"/>
          <w:lang w:val="en-US" w:eastAsia="zh-CN" w:bidi="ar-SA"/>
        </w:rPr>
        <w:t>“</w:t>
      </w:r>
      <w:r>
        <w:rPr>
          <w:rFonts w:hint="eastAsia" w:ascii="Times New Roman" w:hAnsi="Times New Roman" w:eastAsia="宋体" w:cs="Times New Roman"/>
          <w:b/>
          <w:color w:val="auto"/>
          <w:kern w:val="2"/>
          <w:sz w:val="24"/>
          <w:szCs w:val="24"/>
          <w:u w:val="single"/>
          <w:lang w:val="en-US" w:eastAsia="zh-CN" w:bidi="ar-SA"/>
        </w:rPr>
        <w:t>三同时</w:t>
      </w:r>
      <w:r>
        <w:rPr>
          <w:rFonts w:ascii="Times New Roman" w:hAnsi="Times New Roman" w:eastAsia="宋体" w:cs="Times New Roman"/>
          <w:b/>
          <w:color w:val="auto"/>
          <w:kern w:val="2"/>
          <w:sz w:val="24"/>
          <w:szCs w:val="24"/>
          <w:u w:val="single"/>
          <w:lang w:val="en-US" w:eastAsia="zh-CN" w:bidi="ar-SA"/>
        </w:rPr>
        <w:t>”</w:t>
      </w:r>
      <w:r>
        <w:rPr>
          <w:rFonts w:hint="eastAsia" w:ascii="Times New Roman" w:hAnsi="Times New Roman" w:eastAsia="宋体" w:cs="Times New Roman"/>
          <w:b/>
          <w:color w:val="auto"/>
          <w:kern w:val="2"/>
          <w:sz w:val="24"/>
          <w:szCs w:val="24"/>
          <w:u w:val="single"/>
          <w:lang w:val="en-US" w:eastAsia="zh-CN" w:bidi="ar-SA"/>
        </w:rPr>
        <w:t>验收内容一览表</w:t>
      </w:r>
    </w:p>
    <w:tbl>
      <w:tblPr>
        <w:tblStyle w:val="27"/>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1" w:type="dxa"/>
          <w:bottom w:w="0" w:type="dxa"/>
          <w:right w:w="51" w:type="dxa"/>
        </w:tblCellMar>
      </w:tblPr>
      <w:tblGrid>
        <w:gridCol w:w="404"/>
        <w:gridCol w:w="1402"/>
        <w:gridCol w:w="955"/>
        <w:gridCol w:w="1717"/>
        <w:gridCol w:w="2042"/>
        <w:gridCol w:w="28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 w:hRule="atLeast"/>
          <w:jc w:val="center"/>
        </w:trPr>
        <w:tc>
          <w:tcPr>
            <w:tcW w:w="2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项目</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污染源</w:t>
            </w:r>
          </w:p>
        </w:tc>
        <w:tc>
          <w:tcPr>
            <w:tcW w:w="5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污染物</w:t>
            </w:r>
          </w:p>
        </w:tc>
        <w:tc>
          <w:tcPr>
            <w:tcW w:w="9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治理措施</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验收指标</w:t>
            </w:r>
          </w:p>
        </w:tc>
        <w:tc>
          <w:tcPr>
            <w:tcW w:w="15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78" w:hRule="atLeast"/>
          <w:jc w:val="center"/>
        </w:trPr>
        <w:tc>
          <w:tcPr>
            <w:tcW w:w="21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w:t>
            </w:r>
          </w:p>
        </w:tc>
        <w:tc>
          <w:tcPr>
            <w:tcW w:w="746"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工艺废气</w:t>
            </w:r>
          </w:p>
        </w:tc>
        <w:tc>
          <w:tcPr>
            <w:tcW w:w="5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挥发性有机物（以非甲烷总烃计）</w:t>
            </w:r>
          </w:p>
        </w:tc>
        <w:tc>
          <w:tcPr>
            <w:tcW w:w="91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“新建冷凝回收+活性炭收集+现有冷凝+碱液喷淋+炭吸收”废气处理后经20米高排气筒排放</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去除率≥95%</w:t>
            </w:r>
          </w:p>
        </w:tc>
        <w:tc>
          <w:tcPr>
            <w:tcW w:w="15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《石油化学工业污染物排放标准》（</w:t>
            </w:r>
            <w:r>
              <w:rPr>
                <w:rFonts w:ascii="Times New Roman" w:hAnsi="Times New Roman" w:eastAsia="宋体" w:cs="Times New Roman"/>
                <w:color w:val="auto"/>
                <w:kern w:val="2"/>
                <w:sz w:val="21"/>
                <w:szCs w:val="21"/>
                <w:lang w:val="en-US" w:eastAsia="zh-CN" w:bidi="ar-SA"/>
              </w:rPr>
              <w:t>GB</w:t>
            </w:r>
            <w:r>
              <w:rPr>
                <w:rFonts w:hint="eastAsia" w:ascii="Times New Roman" w:hAnsi="Times New Roman" w:eastAsia="宋体" w:cs="Times New Roman"/>
                <w:color w:val="auto"/>
                <w:kern w:val="2"/>
                <w:sz w:val="21"/>
                <w:szCs w:val="21"/>
                <w:lang w:val="en-US" w:eastAsia="zh-CN" w:bidi="ar-SA"/>
              </w:rPr>
              <w:t>31571-2015）</w:t>
            </w:r>
            <w:r>
              <w:rPr>
                <w:rFonts w:hint="eastAsia" w:ascii="Times New Roman" w:hAnsi="Times New Roman" w:cs="Times New Roman"/>
                <w:color w:val="auto"/>
                <w:kern w:val="2"/>
                <w:sz w:val="21"/>
                <w:szCs w:val="21"/>
                <w:lang w:val="en-US" w:eastAsia="zh-CN" w:bidi="ar-SA"/>
              </w:rPr>
              <w:t>中表4、</w:t>
            </w:r>
            <w:r>
              <w:rPr>
                <w:rFonts w:hint="eastAsia" w:ascii="Times New Roman" w:hAnsi="Times New Roman" w:eastAsia="宋体" w:cs="Times New Roman"/>
                <w:color w:val="auto"/>
                <w:kern w:val="2"/>
                <w:sz w:val="21"/>
                <w:szCs w:val="21"/>
                <w:lang w:val="en-US" w:eastAsia="zh-CN" w:bidi="ar-SA"/>
              </w:rPr>
              <w:t>表6标准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0" w:hRule="atLeast"/>
          <w:jc w:val="center"/>
        </w:trPr>
        <w:tc>
          <w:tcPr>
            <w:tcW w:w="2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c>
          <w:tcPr>
            <w:tcW w:w="746"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c>
          <w:tcPr>
            <w:tcW w:w="5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甲醇</w:t>
            </w:r>
          </w:p>
        </w:tc>
        <w:tc>
          <w:tcPr>
            <w:tcW w:w="91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排放浓度</w:t>
            </w:r>
            <w:r>
              <w:rPr>
                <w:rFonts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5</w:t>
            </w:r>
            <w:r>
              <w:rPr>
                <w:rFonts w:ascii="Times New Roman" w:hAnsi="Times New Roman" w:eastAsia="宋体" w:cs="Times New Roman"/>
                <w:color w:val="auto"/>
                <w:kern w:val="2"/>
                <w:sz w:val="21"/>
                <w:szCs w:val="21"/>
                <w:lang w:val="en-US" w:eastAsia="zh-CN" w:bidi="ar-SA"/>
              </w:rPr>
              <w:t>0mg/m</w:t>
            </w:r>
            <w:r>
              <w:rPr>
                <w:rFonts w:ascii="Times New Roman" w:hAnsi="Times New Roman" w:eastAsia="宋体" w:cs="Times New Roman"/>
                <w:color w:val="auto"/>
                <w:kern w:val="2"/>
                <w:sz w:val="21"/>
                <w:szCs w:val="21"/>
                <w:vertAlign w:val="superscript"/>
                <w:lang w:val="en-US" w:eastAsia="zh-CN" w:bidi="ar-SA"/>
              </w:rPr>
              <w:t>3</w:t>
            </w:r>
          </w:p>
        </w:tc>
        <w:tc>
          <w:tcPr>
            <w:tcW w:w="15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0" w:hRule="atLeast"/>
          <w:jc w:val="center"/>
        </w:trPr>
        <w:tc>
          <w:tcPr>
            <w:tcW w:w="2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储罐区废气</w:t>
            </w:r>
          </w:p>
        </w:tc>
        <w:tc>
          <w:tcPr>
            <w:tcW w:w="5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挥发性有机物（以非甲烷总烃计）</w:t>
            </w:r>
          </w:p>
        </w:tc>
        <w:tc>
          <w:tcPr>
            <w:tcW w:w="9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收集管道+喷淋塔+UV光解+两级活性炭吸附15米排放</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去除率≥95%</w:t>
            </w:r>
          </w:p>
        </w:tc>
        <w:tc>
          <w:tcPr>
            <w:tcW w:w="15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0" w:hRule="atLeast"/>
          <w:jc w:val="center"/>
        </w:trPr>
        <w:tc>
          <w:tcPr>
            <w:tcW w:w="2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无组织废气</w:t>
            </w:r>
          </w:p>
        </w:tc>
        <w:tc>
          <w:tcPr>
            <w:tcW w:w="5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挥发性有机物（以非甲烷总烃计）</w:t>
            </w:r>
          </w:p>
        </w:tc>
        <w:tc>
          <w:tcPr>
            <w:tcW w:w="9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b w:val="0"/>
                <w:bCs w:val="0"/>
                <w:color w:val="auto"/>
                <w:kern w:val="2"/>
                <w:sz w:val="21"/>
                <w:szCs w:val="21"/>
                <w:lang w:val="en-US" w:eastAsia="zh-CN" w:bidi="ar-SA"/>
              </w:rPr>
              <w:t>密闭管道运输，减少物料的泄露和损耗</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监控点处任意一次浓度值＜30</w:t>
            </w:r>
            <w:r>
              <w:rPr>
                <w:rFonts w:ascii="Times New Roman" w:hAnsi="Times New Roman" w:eastAsia="宋体" w:cs="Times New Roman"/>
                <w:color w:val="auto"/>
                <w:kern w:val="2"/>
                <w:sz w:val="21"/>
                <w:szCs w:val="21"/>
                <w:lang w:val="en-US" w:eastAsia="zh-CN" w:bidi="ar-SA"/>
              </w:rPr>
              <w:t>mg/m</w:t>
            </w:r>
            <w:r>
              <w:rPr>
                <w:rFonts w:ascii="Times New Roman" w:hAnsi="Times New Roman" w:eastAsia="宋体" w:cs="Times New Roman"/>
                <w:color w:val="auto"/>
                <w:kern w:val="2"/>
                <w:sz w:val="21"/>
                <w:szCs w:val="21"/>
                <w:vertAlign w:val="superscript"/>
                <w:lang w:val="en-US" w:eastAsia="zh-CN" w:bidi="ar-SA"/>
              </w:rPr>
              <w:t>3</w:t>
            </w:r>
          </w:p>
        </w:tc>
        <w:tc>
          <w:tcPr>
            <w:tcW w:w="15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挥发性有机物无组织排放控制标准(GB27822-2019)</w:t>
            </w:r>
            <w:r>
              <w:rPr>
                <w:rFonts w:hint="eastAsia" w:ascii="Times New Roman" w:hAnsi="Times New Roman" w:cs="Times New Roman"/>
                <w:color w:val="auto"/>
                <w:kern w:val="2"/>
                <w:sz w:val="21"/>
                <w:szCs w:val="21"/>
                <w:lang w:val="en-US" w:eastAsia="zh-CN" w:bidi="ar-SA"/>
              </w:rPr>
              <w:t>表A.1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21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废水</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生产废水</w:t>
            </w:r>
          </w:p>
        </w:tc>
        <w:tc>
          <w:tcPr>
            <w:tcW w:w="142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一套50m</w:t>
            </w:r>
            <w:r>
              <w:rPr>
                <w:rFonts w:hint="eastAsia" w:ascii="Times New Roman" w:hAnsi="Times New Roman" w:eastAsia="宋体" w:cs="Times New Roman"/>
                <w:color w:val="auto"/>
                <w:kern w:val="2"/>
                <w:sz w:val="21"/>
                <w:szCs w:val="21"/>
                <w:vertAlign w:val="superscript"/>
                <w:lang w:val="en-US" w:eastAsia="zh-CN" w:bidi="ar-SA"/>
              </w:rPr>
              <w:t>3</w:t>
            </w:r>
            <w:r>
              <w:rPr>
                <w:rFonts w:hint="eastAsia" w:ascii="Times New Roman" w:hAnsi="Times New Roman" w:eastAsia="宋体" w:cs="Times New Roman"/>
                <w:color w:val="auto"/>
                <w:kern w:val="2"/>
                <w:sz w:val="21"/>
                <w:szCs w:val="21"/>
                <w:lang w:val="en-US" w:eastAsia="zh-CN" w:bidi="ar-SA"/>
              </w:rPr>
              <w:t>/d生化处理装置</w:t>
            </w:r>
          </w:p>
        </w:tc>
        <w:tc>
          <w:tcPr>
            <w:tcW w:w="108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pH</w:t>
            </w: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6</w:t>
            </w: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9</w:t>
            </w:r>
          </w:p>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COD≤</w:t>
            </w:r>
            <w:r>
              <w:rPr>
                <w:rFonts w:hint="eastAsia" w:ascii="Times New Roman" w:hAnsi="Times New Roman" w:eastAsia="宋体" w:cs="Times New Roman"/>
                <w:color w:val="auto"/>
                <w:kern w:val="2"/>
                <w:sz w:val="21"/>
                <w:szCs w:val="21"/>
                <w:lang w:val="en-US" w:eastAsia="zh-CN" w:bidi="ar-SA"/>
              </w:rPr>
              <w:t>10</w:t>
            </w:r>
            <w:r>
              <w:rPr>
                <w:rFonts w:ascii="Times New Roman" w:hAnsi="Times New Roman" w:eastAsia="宋体" w:cs="Times New Roman"/>
                <w:color w:val="auto"/>
                <w:kern w:val="2"/>
                <w:sz w:val="21"/>
                <w:szCs w:val="21"/>
                <w:lang w:val="en-US" w:eastAsia="zh-CN" w:bidi="ar-SA"/>
              </w:rPr>
              <w:t>00mg/L</w:t>
            </w:r>
          </w:p>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BOD5≤</w:t>
            </w:r>
            <w:r>
              <w:rPr>
                <w:rFonts w:hint="eastAsia" w:ascii="Times New Roman" w:hAnsi="Times New Roman" w:eastAsia="宋体" w:cs="Times New Roman"/>
                <w:color w:val="auto"/>
                <w:kern w:val="2"/>
                <w:sz w:val="21"/>
                <w:szCs w:val="21"/>
                <w:lang w:val="en-US" w:eastAsia="zh-CN" w:bidi="ar-SA"/>
              </w:rPr>
              <w:t>30</w:t>
            </w:r>
            <w:r>
              <w:rPr>
                <w:rFonts w:ascii="Times New Roman" w:hAnsi="Times New Roman" w:eastAsia="宋体" w:cs="Times New Roman"/>
                <w:color w:val="auto"/>
                <w:kern w:val="2"/>
                <w:sz w:val="21"/>
                <w:szCs w:val="21"/>
                <w:lang w:val="en-US" w:eastAsia="zh-CN" w:bidi="ar-SA"/>
              </w:rPr>
              <w:t>0mg/L</w:t>
            </w:r>
          </w:p>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SS≤</w:t>
            </w:r>
            <w:r>
              <w:rPr>
                <w:rFonts w:hint="eastAsia" w:ascii="Times New Roman" w:hAnsi="Times New Roman" w:eastAsia="宋体" w:cs="Times New Roman"/>
                <w:color w:val="auto"/>
                <w:kern w:val="2"/>
                <w:sz w:val="21"/>
                <w:szCs w:val="21"/>
                <w:lang w:val="en-US" w:eastAsia="zh-CN" w:bidi="ar-SA"/>
              </w:rPr>
              <w:t>4</w:t>
            </w:r>
            <w:r>
              <w:rPr>
                <w:rFonts w:ascii="Times New Roman" w:hAnsi="Times New Roman" w:eastAsia="宋体" w:cs="Times New Roman"/>
                <w:color w:val="auto"/>
                <w:kern w:val="2"/>
                <w:sz w:val="21"/>
                <w:szCs w:val="21"/>
                <w:lang w:val="en-US" w:eastAsia="zh-CN" w:bidi="ar-SA"/>
              </w:rPr>
              <w:t>00mg/L</w:t>
            </w:r>
          </w:p>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氨氮</w:t>
            </w:r>
            <w:r>
              <w:rPr>
                <w:rFonts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30</w:t>
            </w:r>
            <w:r>
              <w:rPr>
                <w:rFonts w:ascii="Times New Roman" w:hAnsi="Times New Roman" w:eastAsia="宋体" w:cs="Times New Roman"/>
                <w:color w:val="auto"/>
                <w:kern w:val="2"/>
                <w:sz w:val="21"/>
                <w:szCs w:val="21"/>
                <w:lang w:val="en-US" w:eastAsia="zh-CN" w:bidi="ar-SA"/>
              </w:rPr>
              <w:t>mg/L</w:t>
            </w:r>
          </w:p>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石油类</w:t>
            </w:r>
            <w:r>
              <w:rPr>
                <w:rFonts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2</w:t>
            </w:r>
            <w:r>
              <w:rPr>
                <w:rFonts w:ascii="Times New Roman" w:hAnsi="Times New Roman" w:eastAsia="宋体" w:cs="Times New Roman"/>
                <w:color w:val="auto"/>
                <w:kern w:val="2"/>
                <w:sz w:val="21"/>
                <w:szCs w:val="21"/>
                <w:lang w:val="en-US" w:eastAsia="zh-CN" w:bidi="ar-SA"/>
              </w:rPr>
              <w:t>0mg/L</w:t>
            </w:r>
          </w:p>
        </w:tc>
        <w:tc>
          <w:tcPr>
            <w:tcW w:w="15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《石油化学工业污染物排放标准》(GB31571-2015)</w:t>
            </w:r>
            <w:r>
              <w:rPr>
                <w:rFonts w:hint="eastAsia" w:ascii="Times New Roman" w:hAnsi="Times New Roman" w:cs="Times New Roman"/>
                <w:color w:val="auto"/>
                <w:kern w:val="2"/>
                <w:sz w:val="21"/>
                <w:szCs w:val="21"/>
                <w:lang w:val="en-US" w:eastAsia="zh-CN" w:bidi="ar-SA"/>
              </w:rPr>
              <w:t>表1</w:t>
            </w:r>
            <w:r>
              <w:rPr>
                <w:rFonts w:hint="eastAsia" w:ascii="Times New Roman" w:hAnsi="Times New Roman" w:eastAsia="宋体" w:cs="Times New Roman"/>
                <w:color w:val="auto"/>
                <w:kern w:val="2"/>
                <w:sz w:val="21"/>
                <w:szCs w:val="21"/>
                <w:lang w:val="en-US" w:eastAsia="zh-CN" w:bidi="ar-SA"/>
              </w:rPr>
              <w:t>、《合成树脂工业污染物排放标准》(GB31572-2015)标准及云溪区工业污水处理厂进水水质要求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37" w:hRule="atLeast"/>
          <w:jc w:val="center"/>
        </w:trPr>
        <w:tc>
          <w:tcPr>
            <w:tcW w:w="2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车间清洁</w:t>
            </w:r>
            <w:r>
              <w:rPr>
                <w:rFonts w:ascii="Times New Roman" w:hAnsi="Times New Roman" w:eastAsia="宋体" w:cs="Times New Roman"/>
                <w:color w:val="auto"/>
                <w:kern w:val="2"/>
                <w:sz w:val="21"/>
                <w:szCs w:val="21"/>
                <w:lang w:val="en-US" w:eastAsia="zh-CN" w:bidi="ar-SA"/>
              </w:rPr>
              <w:t>废水</w:t>
            </w:r>
          </w:p>
        </w:tc>
        <w:tc>
          <w:tcPr>
            <w:tcW w:w="1422"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化粪池处理</w:t>
            </w:r>
          </w:p>
        </w:tc>
        <w:tc>
          <w:tcPr>
            <w:tcW w:w="10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5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4" w:hRule="atLeast"/>
          <w:jc w:val="center"/>
        </w:trPr>
        <w:tc>
          <w:tcPr>
            <w:tcW w:w="2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生活污水</w:t>
            </w:r>
          </w:p>
        </w:tc>
        <w:tc>
          <w:tcPr>
            <w:tcW w:w="1422"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0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5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 w:hRule="atLeast"/>
          <w:jc w:val="center"/>
        </w:trPr>
        <w:tc>
          <w:tcPr>
            <w:tcW w:w="2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噪声</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混合搅拌罐</w:t>
            </w:r>
          </w:p>
        </w:tc>
        <w:tc>
          <w:tcPr>
            <w:tcW w:w="142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选用低噪声设备、减振基础、室内布置、加装消声器</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昼</w:t>
            </w:r>
            <w:r>
              <w:rPr>
                <w:rFonts w:ascii="Times New Roman" w:hAnsi="Times New Roman" w:eastAsia="宋体" w:cs="Times New Roman"/>
                <w:color w:val="auto"/>
                <w:kern w:val="2"/>
                <w:sz w:val="21"/>
                <w:szCs w:val="21"/>
                <w:lang w:val="en-US" w:eastAsia="zh-CN" w:bidi="ar-SA"/>
              </w:rPr>
              <w:t>≤65dB(A)</w:t>
            </w:r>
            <w:r>
              <w:rPr>
                <w:rFonts w:hint="eastAsia" w:ascii="Times New Roman" w:hAnsi="Times New Roman" w:eastAsia="宋体" w:cs="Times New Roman"/>
                <w:color w:val="auto"/>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夜</w:t>
            </w:r>
            <w:r>
              <w:rPr>
                <w:rFonts w:ascii="Times New Roman" w:hAnsi="Times New Roman" w:eastAsia="宋体" w:cs="Times New Roman"/>
                <w:color w:val="auto"/>
                <w:kern w:val="2"/>
                <w:sz w:val="21"/>
                <w:szCs w:val="21"/>
                <w:lang w:val="en-US" w:eastAsia="zh-CN" w:bidi="ar-SA"/>
              </w:rPr>
              <w:t>≤55dB(A)</w:t>
            </w:r>
          </w:p>
        </w:tc>
        <w:tc>
          <w:tcPr>
            <w:tcW w:w="15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《工业企业厂界环境噪声排放标准》（</w:t>
            </w:r>
            <w:r>
              <w:rPr>
                <w:rFonts w:ascii="Times New Roman" w:hAnsi="Times New Roman" w:eastAsia="宋体" w:cs="Times New Roman"/>
                <w:color w:val="auto"/>
                <w:kern w:val="2"/>
                <w:sz w:val="21"/>
                <w:szCs w:val="21"/>
                <w:lang w:val="en-US" w:eastAsia="zh-CN" w:bidi="ar-SA"/>
              </w:rPr>
              <w:t>GB12348-2008</w:t>
            </w:r>
            <w:r>
              <w:rPr>
                <w:rFonts w:hint="eastAsia" w:ascii="Times New Roman" w:hAnsi="Times New Roman" w:eastAsia="宋体" w:cs="Times New Roman"/>
                <w:color w:val="auto"/>
                <w:kern w:val="2"/>
                <w:sz w:val="21"/>
                <w:szCs w:val="21"/>
                <w:lang w:val="en-US" w:eastAsia="zh-CN" w:bidi="ar-SA"/>
              </w:rPr>
              <w:t>）中的</w:t>
            </w:r>
            <w:r>
              <w:rPr>
                <w:rFonts w:ascii="Times New Roman" w:hAnsi="Times New Roman" w:eastAsia="宋体"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 w:hRule="atLeast"/>
          <w:jc w:val="center"/>
        </w:trPr>
        <w:tc>
          <w:tcPr>
            <w:tcW w:w="2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固废</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等离子树脂再生浸泡</w:t>
            </w:r>
            <w:r>
              <w:rPr>
                <w:rFonts w:hint="eastAsia" w:ascii="Times New Roman" w:hAnsi="Times New Roman" w:eastAsia="宋体" w:cs="Times New Roman"/>
                <w:color w:val="auto"/>
                <w:kern w:val="2"/>
                <w:sz w:val="21"/>
                <w:szCs w:val="21"/>
                <w:lang w:val="en-US" w:eastAsia="zh-CN" w:bidi="ar-SA"/>
              </w:rPr>
              <w:t>、酯化反应、职工生活垃圾</w:t>
            </w:r>
          </w:p>
        </w:tc>
        <w:tc>
          <w:tcPr>
            <w:tcW w:w="142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釜残、</w:t>
            </w:r>
            <w:r>
              <w:rPr>
                <w:rFonts w:hint="eastAsia" w:ascii="Times New Roman" w:hAnsi="Times New Roman" w:cs="Times New Roman"/>
                <w:color w:val="auto"/>
                <w:kern w:val="2"/>
                <w:sz w:val="21"/>
                <w:szCs w:val="21"/>
                <w:lang w:val="en-US" w:eastAsia="zh-CN" w:bidi="ar-SA"/>
              </w:rPr>
              <w:t>废离子交换树脂、</w:t>
            </w:r>
            <w:r>
              <w:rPr>
                <w:rFonts w:hint="eastAsia" w:ascii="Times New Roman" w:hAnsi="Times New Roman" w:cs="Times New Roman"/>
                <w:color w:val="auto"/>
                <w:kern w:val="2"/>
                <w:sz w:val="21"/>
                <w:szCs w:val="21"/>
                <w:lang w:val="en-US" w:eastAsia="zh-Hans" w:bidi="ar-SA"/>
              </w:rPr>
              <w:t>废活性炭</w:t>
            </w:r>
            <w:r>
              <w:rPr>
                <w:rFonts w:hint="eastAsia" w:ascii="Times New Roman" w:hAnsi="Times New Roman" w:eastAsia="宋体" w:cs="Times New Roman"/>
                <w:color w:val="auto"/>
                <w:kern w:val="2"/>
                <w:sz w:val="21"/>
                <w:szCs w:val="21"/>
                <w:lang w:val="en-US" w:eastAsia="zh-CN" w:bidi="ar-SA"/>
              </w:rPr>
              <w:t>属于危险废物，送有资质单位处置；生活垃圾产送环卫部门处理。</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《危险废物贮存污染控制标准》（</w:t>
            </w:r>
            <w:r>
              <w:rPr>
                <w:rFonts w:ascii="Times New Roman" w:hAnsi="Times New Roman" w:eastAsia="宋体" w:cs="Times New Roman"/>
                <w:color w:val="auto"/>
                <w:kern w:val="2"/>
                <w:sz w:val="21"/>
                <w:szCs w:val="21"/>
                <w:lang w:val="en-US" w:eastAsia="zh-CN" w:bidi="ar-SA"/>
              </w:rPr>
              <w:t>GB18597-2001</w:t>
            </w:r>
            <w:r>
              <w:rPr>
                <w:rFonts w:hint="eastAsia" w:ascii="Times New Roman" w:hAnsi="Times New Roman" w:eastAsia="宋体" w:cs="Times New Roman"/>
                <w:color w:val="auto"/>
                <w:kern w:val="2"/>
                <w:sz w:val="21"/>
                <w:szCs w:val="21"/>
                <w:lang w:val="en-US" w:eastAsia="zh-CN" w:bidi="ar-SA"/>
              </w:rPr>
              <w:t>）及修改单</w:t>
            </w:r>
          </w:p>
        </w:tc>
        <w:tc>
          <w:tcPr>
            <w:tcW w:w="15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不外排</w:t>
            </w:r>
          </w:p>
        </w:tc>
      </w:tr>
    </w:tbl>
    <w:p>
      <w:pPr>
        <w:rPr>
          <w:rFonts w:hint="eastAsia"/>
          <w:color w:val="auto"/>
          <w:lang w:val="en-US" w:eastAsia="zh-CN"/>
        </w:rPr>
        <w:sectPr>
          <w:headerReference r:id="rId9" w:type="default"/>
          <w:footerReference r:id="rId10" w:type="default"/>
          <w:pgSz w:w="11906" w:h="16838"/>
          <w:pgMar w:top="1417" w:right="1304" w:bottom="1417" w:left="130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30"/>
        <w:bidi w:val="0"/>
        <w:jc w:val="center"/>
        <w:rPr>
          <w:rFonts w:hint="eastAsia"/>
          <w:color w:val="auto"/>
          <w:lang w:val="en-US" w:eastAsia="zh-CN"/>
        </w:rPr>
      </w:pPr>
      <w:bookmarkStart w:id="490" w:name="_Toc30061"/>
      <w:r>
        <w:rPr>
          <w:rFonts w:hint="eastAsia"/>
          <w:color w:val="auto"/>
          <w:lang w:val="en-US" w:eastAsia="zh-CN"/>
        </w:rPr>
        <w:t>12、环境影响评价结论</w:t>
      </w:r>
      <w:bookmarkEnd w:id="367"/>
      <w:bookmarkEnd w:id="490"/>
    </w:p>
    <w:p>
      <w:pPr>
        <w:pStyle w:val="31"/>
        <w:bidi w:val="0"/>
        <w:rPr>
          <w:rFonts w:hint="default"/>
          <w:color w:val="auto"/>
          <w:lang w:val="en-US" w:eastAsia="zh-CN"/>
        </w:rPr>
      </w:pPr>
      <w:bookmarkStart w:id="491" w:name="_Toc395"/>
      <w:bookmarkStart w:id="492" w:name="_Toc19516"/>
      <w:r>
        <w:rPr>
          <w:rFonts w:hint="default"/>
          <w:color w:val="auto"/>
          <w:lang w:val="en-US" w:eastAsia="zh-CN"/>
        </w:rPr>
        <w:t>1</w:t>
      </w:r>
      <w:r>
        <w:rPr>
          <w:rFonts w:hint="eastAsia"/>
          <w:color w:val="auto"/>
          <w:lang w:val="en-US" w:eastAsia="zh-CN"/>
        </w:rPr>
        <w:t>2</w:t>
      </w:r>
      <w:r>
        <w:rPr>
          <w:rFonts w:hint="default"/>
          <w:color w:val="auto"/>
          <w:lang w:val="en-US" w:eastAsia="zh-CN"/>
        </w:rPr>
        <w:t>.1项目概况</w:t>
      </w:r>
      <w:bookmarkEnd w:id="491"/>
      <w:bookmarkEnd w:id="492"/>
    </w:p>
    <w:p>
      <w:pPr>
        <w:pStyle w:val="33"/>
        <w:bidi w:val="0"/>
        <w:rPr>
          <w:rFonts w:hint="default"/>
          <w:color w:val="auto"/>
          <w:sz w:val="24"/>
          <w:szCs w:val="24"/>
          <w:lang w:val="en-US" w:eastAsia="zh-CN"/>
        </w:rPr>
      </w:pPr>
      <w:r>
        <w:rPr>
          <w:rFonts w:hint="eastAsia"/>
          <w:color w:val="auto"/>
          <w:sz w:val="24"/>
          <w:szCs w:val="24"/>
          <w:lang w:val="en-US" w:eastAsia="zh-CN"/>
        </w:rPr>
        <w:t>岳阳市凌峰化工有限公司拟在原有一期工程上进行技术改造，</w:t>
      </w:r>
      <w:r>
        <w:rPr>
          <w:rFonts w:hint="eastAsia"/>
          <w:color w:val="auto"/>
          <w:sz w:val="24"/>
          <w:szCs w:val="24"/>
        </w:rPr>
        <w:t>项目总投资</w:t>
      </w:r>
      <w:r>
        <w:rPr>
          <w:rFonts w:hint="eastAsia"/>
          <w:color w:val="auto"/>
          <w:sz w:val="24"/>
          <w:szCs w:val="24"/>
          <w:lang w:val="en-US" w:eastAsia="zh-CN"/>
        </w:rPr>
        <w:t>113.5</w:t>
      </w:r>
      <w:r>
        <w:rPr>
          <w:rFonts w:hint="eastAsia"/>
          <w:color w:val="auto"/>
          <w:sz w:val="24"/>
          <w:szCs w:val="24"/>
        </w:rPr>
        <w:t>万元，其中环保投资</w:t>
      </w:r>
      <w:r>
        <w:rPr>
          <w:rFonts w:hint="eastAsia"/>
          <w:color w:val="auto"/>
          <w:sz w:val="24"/>
          <w:szCs w:val="24"/>
          <w:lang w:val="en-US" w:eastAsia="zh-CN"/>
        </w:rPr>
        <w:t>63</w:t>
      </w:r>
      <w:r>
        <w:rPr>
          <w:rFonts w:hint="eastAsia"/>
          <w:color w:val="auto"/>
          <w:sz w:val="24"/>
          <w:szCs w:val="24"/>
        </w:rPr>
        <w:t>万元。</w:t>
      </w:r>
      <w:r>
        <w:rPr>
          <w:rFonts w:hint="eastAsia"/>
          <w:b w:val="0"/>
          <w:bCs w:val="0"/>
          <w:caps w:val="0"/>
          <w:smallCaps w:val="0"/>
          <w:color w:val="auto"/>
          <w:kern w:val="0"/>
          <w:sz w:val="24"/>
          <w:szCs w:val="24"/>
          <w:lang w:val="en-US" w:eastAsia="zh-CN"/>
        </w:rPr>
        <w:t>项目利用一期场地和装置，不新增用地，</w:t>
      </w:r>
      <w:r>
        <w:rPr>
          <w:rFonts w:hint="eastAsia"/>
          <w:color w:val="auto"/>
          <w:sz w:val="24"/>
          <w:szCs w:val="24"/>
        </w:rPr>
        <w:t>主要</w:t>
      </w:r>
      <w:r>
        <w:rPr>
          <w:rFonts w:hint="eastAsia"/>
          <w:color w:val="auto"/>
          <w:sz w:val="24"/>
          <w:szCs w:val="24"/>
          <w:lang w:val="en-US" w:eastAsia="zh-CN"/>
        </w:rPr>
        <w:t>利用一期精馏生产线、储罐和环保等辅助设施，仅新增一套酯化反应装置。利用含甲醇等杂质的碳酸二甲酯粗料，进行预处理、精馏分离得到碳酸二甲酯产品和甲醇，同时利用精馏得到的甲醇加入过量醋酸酯化反应生产醋酸甲酯。设计产能为碳酸二甲酯1.5万吨/年及醋酸甲酯1万吨/年。</w:t>
      </w:r>
    </w:p>
    <w:p>
      <w:pPr>
        <w:pStyle w:val="31"/>
        <w:bidi w:val="0"/>
        <w:rPr>
          <w:rFonts w:hint="eastAsia"/>
          <w:color w:val="auto"/>
          <w:lang w:val="en-US" w:eastAsia="zh-CN"/>
        </w:rPr>
      </w:pPr>
      <w:bookmarkStart w:id="493" w:name="_Toc11193"/>
      <w:bookmarkStart w:id="494" w:name="_Toc3463"/>
      <w:r>
        <w:rPr>
          <w:rFonts w:hint="eastAsia"/>
          <w:color w:val="auto"/>
          <w:lang w:val="en-US" w:eastAsia="zh-CN"/>
        </w:rPr>
        <w:t>12.2环境质量现状</w:t>
      </w:r>
      <w:bookmarkEnd w:id="493"/>
      <w:bookmarkEnd w:id="494"/>
    </w:p>
    <w:p>
      <w:pPr>
        <w:pStyle w:val="33"/>
        <w:bidi w:val="0"/>
        <w:rPr>
          <w:color w:val="auto"/>
        </w:rPr>
      </w:pPr>
      <w:r>
        <w:rPr>
          <w:color w:val="auto"/>
        </w:rPr>
        <w:t>（1）环境空气质量现状</w:t>
      </w:r>
    </w:p>
    <w:p>
      <w:pPr>
        <w:pStyle w:val="33"/>
        <w:bidi w:val="0"/>
        <w:rPr>
          <w:rFonts w:hint="default"/>
          <w:color w:val="auto"/>
          <w:lang w:val="en-US" w:eastAsia="zh-CN"/>
        </w:rPr>
      </w:pPr>
      <w:r>
        <w:rPr>
          <w:rFonts w:hint="eastAsia"/>
          <w:color w:val="auto"/>
          <w:lang w:val="en-US" w:eastAsia="zh-CN"/>
        </w:rPr>
        <w:t>本项目引用</w:t>
      </w:r>
      <w:r>
        <w:rPr>
          <w:rFonts w:hint="eastAsia"/>
          <w:color w:val="auto"/>
        </w:rPr>
        <w:t>《岳阳市二O一</w:t>
      </w:r>
      <w:r>
        <w:rPr>
          <w:rFonts w:hint="eastAsia"/>
          <w:color w:val="auto"/>
          <w:lang w:eastAsia="zh-CN"/>
        </w:rPr>
        <w:t>九</w:t>
      </w:r>
      <w:r>
        <w:rPr>
          <w:rFonts w:hint="eastAsia"/>
          <w:color w:val="auto"/>
        </w:rPr>
        <w:t>年度环境质量公报》项目所在评价区域内的SO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w:t>
      </w:r>
      <w:r>
        <w:rPr>
          <w:rFonts w:hint="eastAsia"/>
          <w:color w:val="auto"/>
          <w:lang w:val="en-US" w:eastAsia="zh-CN"/>
        </w:rPr>
        <w:t>PM</w:t>
      </w:r>
      <w:r>
        <w:rPr>
          <w:rFonts w:hint="eastAsia"/>
          <w:color w:val="auto"/>
          <w:vertAlign w:val="subscript"/>
          <w:lang w:val="en-US" w:eastAsia="zh-CN"/>
        </w:rPr>
        <w:t>2.5</w:t>
      </w:r>
      <w:r>
        <w:rPr>
          <w:rFonts w:hint="eastAsia"/>
          <w:color w:val="auto"/>
          <w:lang w:val="en-US" w:eastAsia="zh-CN"/>
        </w:rPr>
        <w:t>、CO</w:t>
      </w:r>
      <w:r>
        <w:rPr>
          <w:rFonts w:hint="eastAsia"/>
          <w:color w:val="auto"/>
        </w:rPr>
        <w:t>均满足《环境空气质量标准》（GB3095-2012）中</w:t>
      </w:r>
      <w:r>
        <w:rPr>
          <w:rFonts w:hint="eastAsia"/>
          <w:color w:val="auto"/>
          <w:lang w:val="en-US" w:eastAsia="zh-CN"/>
        </w:rPr>
        <w:t>二级要求，PM</w:t>
      </w:r>
      <w:r>
        <w:rPr>
          <w:rFonts w:hint="eastAsia"/>
          <w:color w:val="auto"/>
          <w:vertAlign w:val="subscript"/>
          <w:lang w:val="en-US" w:eastAsia="zh-CN"/>
        </w:rPr>
        <w:t>10</w:t>
      </w:r>
      <w:r>
        <w:rPr>
          <w:rFonts w:hint="eastAsia"/>
          <w:color w:val="auto"/>
          <w:lang w:val="en-US" w:eastAsia="zh-CN"/>
        </w:rPr>
        <w:t>、臭氧超过</w:t>
      </w:r>
      <w:r>
        <w:rPr>
          <w:rFonts w:hint="eastAsia"/>
          <w:color w:val="auto"/>
        </w:rPr>
        <w:t>《环境空气质量标准》（GB3095-2012）中</w:t>
      </w:r>
      <w:r>
        <w:rPr>
          <w:rFonts w:hint="eastAsia"/>
          <w:color w:val="auto"/>
          <w:lang w:val="en-US" w:eastAsia="zh-CN"/>
        </w:rPr>
        <w:t>二级要求，项目所在区域属于不达标区域。甲醇、VOCS满足《环境影响评价技术导则 大气环境》（HJ2.2-2018）中附录D表D.1相关参考限值。</w:t>
      </w:r>
    </w:p>
    <w:p>
      <w:pPr>
        <w:pStyle w:val="33"/>
        <w:bidi w:val="0"/>
        <w:rPr>
          <w:rFonts w:hint="eastAsia"/>
          <w:color w:val="auto"/>
        </w:rPr>
      </w:pPr>
      <w:r>
        <w:rPr>
          <w:rFonts w:hint="eastAsia"/>
          <w:color w:val="auto"/>
          <w:lang w:val="en-US" w:eastAsia="zh-CN"/>
        </w:rPr>
        <w:t>（2）地表水环境质量现状</w:t>
      </w:r>
    </w:p>
    <w:p>
      <w:pPr>
        <w:pStyle w:val="33"/>
        <w:bidi w:val="0"/>
        <w:rPr>
          <w:rFonts w:hint="eastAsia"/>
          <w:color w:val="auto"/>
          <w:lang w:eastAsia="zh-CN"/>
        </w:rPr>
      </w:pPr>
      <w:r>
        <w:rPr>
          <w:rFonts w:hint="eastAsia"/>
          <w:color w:val="auto"/>
        </w:rPr>
        <w:t>本项目引用《</w:t>
      </w:r>
      <w:r>
        <w:rPr>
          <w:rFonts w:hint="eastAsia"/>
          <w:color w:val="auto"/>
          <w:lang w:eastAsia="zh-CN"/>
        </w:rPr>
        <w:t>湖南岳阳绿色化工产业园规划环境影响跟踪评价报告书</w:t>
      </w:r>
      <w:r>
        <w:rPr>
          <w:rFonts w:hint="eastAsia"/>
          <w:color w:val="auto"/>
        </w:rPr>
        <w:t>》</w:t>
      </w:r>
      <w:r>
        <w:rPr>
          <w:rFonts w:hint="eastAsia"/>
          <w:color w:val="auto"/>
          <w:lang w:eastAsia="zh-CN"/>
        </w:rPr>
        <w:t>中</w:t>
      </w:r>
      <w:r>
        <w:rPr>
          <w:rFonts w:hint="eastAsia"/>
          <w:color w:val="auto"/>
        </w:rPr>
        <w:t>的监测数据。松杨湖水域设置的监测断面未达到《地表水环境质量标准》(GB3838-2002)IV类标准，主要污染物为COD、BOD</w:t>
      </w:r>
      <w:r>
        <w:rPr>
          <w:rFonts w:hint="eastAsia"/>
          <w:color w:val="auto"/>
          <w:vertAlign w:val="subscript"/>
          <w:lang w:val="en-US" w:eastAsia="zh-CN"/>
        </w:rPr>
        <w:t>5</w:t>
      </w:r>
      <w:r>
        <w:rPr>
          <w:rFonts w:hint="eastAsia"/>
          <w:color w:val="auto"/>
        </w:rPr>
        <w:t>、TN</w:t>
      </w:r>
      <w:r>
        <w:rPr>
          <w:rFonts w:hint="eastAsia"/>
          <w:color w:val="auto"/>
          <w:lang w:eastAsia="zh-CN"/>
        </w:rPr>
        <w:t>、</w:t>
      </w:r>
      <w:r>
        <w:rPr>
          <w:rFonts w:hint="eastAsia"/>
          <w:color w:val="auto"/>
        </w:rPr>
        <w:t>TP、LAS:长江评价段设置的监测断面均达到《地表水环境质量标准》(GB3838-2002)</w:t>
      </w:r>
      <w:r>
        <w:rPr>
          <w:rFonts w:hint="eastAsia"/>
          <w:color w:val="auto"/>
          <w:lang w:val="en-US" w:eastAsia="zh-CN"/>
        </w:rPr>
        <w:t>Ⅲ</w:t>
      </w:r>
      <w:r>
        <w:rPr>
          <w:rFonts w:hint="eastAsia"/>
          <w:color w:val="auto"/>
        </w:rPr>
        <w:t>类标准。松杨湖超标原因主要为沿湖截污管网不完善，云溪区污水处理厂尾水通长江管网未连通，尾水排入松阳湖所致。</w:t>
      </w:r>
    </w:p>
    <w:p>
      <w:pPr>
        <w:pStyle w:val="33"/>
        <w:bidi w:val="0"/>
        <w:rPr>
          <w:rFonts w:hint="eastAsia"/>
          <w:color w:val="auto"/>
          <w:lang w:eastAsia="zh-CN"/>
        </w:rPr>
      </w:pPr>
      <w:r>
        <w:rPr>
          <w:rFonts w:hint="eastAsia"/>
          <w:color w:val="auto"/>
          <w:lang w:eastAsia="zh-CN"/>
        </w:rPr>
        <w:t>（3）地下水环境质量现状</w:t>
      </w:r>
    </w:p>
    <w:p>
      <w:pPr>
        <w:pStyle w:val="33"/>
        <w:ind w:firstLine="480"/>
        <w:rPr>
          <w:color w:val="auto"/>
        </w:rPr>
      </w:pPr>
      <w:r>
        <w:rPr>
          <w:color w:val="auto"/>
        </w:rPr>
        <w:t>从</w:t>
      </w:r>
      <w:r>
        <w:rPr>
          <w:rFonts w:hint="eastAsia"/>
          <w:color w:val="auto"/>
          <w:lang w:val="en-US" w:eastAsia="zh-CN"/>
        </w:rPr>
        <w:t>第六章</w:t>
      </w:r>
      <w:r>
        <w:rPr>
          <w:color w:val="auto"/>
        </w:rPr>
        <w:t>知，主要为氨氮、高锰酸盐指数、锰、Na、挥发性酚、铁评价指标超过《地下水水质标准》(GB/T14848-2017)中Ⅲ类标准要求，其他监测因子符合《地下水水质标准》(GB/T14848-2017)中Ⅲ类标准要求，评价区地下水质量较差。通过表4.4-9各监测值评价统计后可知，在超标指标中，13眼监测井中1眼井钠离子超标，超标率为7.69%，超标倍数为2.19倍；6 眼井氨氮超标，超标率为46.15%，最大超标倍数为37.4倍；1眼井挥发性酚类超标，超标率为7.69%，最超标倍数为0.15倍；2眼井铁超标，超标率为15.38%，最大超标倍数为8.4倍；6眼井锰超标，超标率为46.15%，最大超标倍数为142.3倍；6眼井高锰酸盐指数超标，超标率为46.15%，最大超标倍数为20倍。</w:t>
      </w:r>
    </w:p>
    <w:p>
      <w:pPr>
        <w:pStyle w:val="33"/>
        <w:bidi w:val="0"/>
        <w:rPr>
          <w:rFonts w:hint="eastAsia"/>
          <w:color w:val="auto"/>
          <w:lang w:eastAsia="zh-CN"/>
        </w:rPr>
      </w:pPr>
      <w:r>
        <w:rPr>
          <w:rFonts w:hint="eastAsia"/>
          <w:color w:val="auto"/>
          <w:lang w:eastAsia="zh-CN"/>
        </w:rPr>
        <w:t>（4）声环境质量现状</w:t>
      </w:r>
    </w:p>
    <w:p>
      <w:pPr>
        <w:widowControl w:val="0"/>
        <w:bidi w:val="0"/>
        <w:spacing w:before="20" w:line="360" w:lineRule="auto"/>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由声环境现状结果结果可知，项目厂界噪声均可达到《声环境质量标准》(GB3096-2008)中3类区标准要求。</w:t>
      </w:r>
    </w:p>
    <w:p>
      <w:pPr>
        <w:pStyle w:val="33"/>
        <w:bidi w:val="0"/>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lang w:val="en-US" w:eastAsia="zh-CN"/>
        </w:rPr>
        <w:t>本项目</w:t>
      </w:r>
      <w:r>
        <w:rPr>
          <w:rFonts w:hint="eastAsia"/>
          <w:color w:val="auto"/>
        </w:rPr>
        <w:t>监测点土壤环境各项监测因子监测值均能达到《土壤环境质量 建设用地土壤污染风险管控标准（试行）》（GB36600-2018）表1中第二类用地的风险筛选值要求。</w:t>
      </w:r>
    </w:p>
    <w:p>
      <w:pPr>
        <w:pStyle w:val="31"/>
        <w:bidi w:val="0"/>
        <w:rPr>
          <w:rFonts w:hint="eastAsia"/>
          <w:color w:val="auto"/>
          <w:lang w:val="en-US" w:eastAsia="zh-CN"/>
        </w:rPr>
      </w:pPr>
      <w:bookmarkStart w:id="495" w:name="_Toc32687"/>
      <w:bookmarkStart w:id="496" w:name="_Toc15905"/>
      <w:r>
        <w:rPr>
          <w:rFonts w:hint="eastAsia"/>
          <w:color w:val="auto"/>
          <w:lang w:val="en-US" w:eastAsia="zh-CN"/>
        </w:rPr>
        <w:t>12.3主要环境影响</w:t>
      </w:r>
      <w:bookmarkEnd w:id="495"/>
      <w:bookmarkEnd w:id="496"/>
    </w:p>
    <w:p>
      <w:pPr>
        <w:pStyle w:val="33"/>
        <w:numPr>
          <w:ilvl w:val="0"/>
          <w:numId w:val="5"/>
        </w:numPr>
        <w:bidi w:val="0"/>
        <w:rPr>
          <w:rFonts w:hint="eastAsia"/>
          <w:color w:val="auto"/>
          <w:lang w:val="en-US" w:eastAsia="zh-CN"/>
        </w:rPr>
      </w:pPr>
      <w:r>
        <w:rPr>
          <w:rFonts w:hint="eastAsia"/>
          <w:color w:val="auto"/>
          <w:lang w:val="en-US" w:eastAsia="zh-CN"/>
        </w:rPr>
        <w:t>水环境影响</w:t>
      </w:r>
    </w:p>
    <w:p>
      <w:pPr>
        <w:pStyle w:val="33"/>
        <w:bidi w:val="0"/>
        <w:rPr>
          <w:rFonts w:hint="default"/>
          <w:color w:val="auto"/>
          <w:lang w:val="en-US" w:eastAsia="zh-CN"/>
        </w:rPr>
      </w:pPr>
      <w:r>
        <w:rPr>
          <w:rFonts w:hint="eastAsia"/>
          <w:color w:val="auto"/>
          <w:lang w:val="en-US" w:eastAsia="zh-CN"/>
        </w:rPr>
        <w:t>本项目改造完成后，</w:t>
      </w:r>
      <w:r>
        <w:rPr>
          <w:rFonts w:hint="eastAsia"/>
          <w:color w:val="auto"/>
          <w:lang w:eastAsia="zh-CN"/>
        </w:rPr>
        <w:t>废水主要为</w:t>
      </w:r>
      <w:r>
        <w:rPr>
          <w:rFonts w:hint="eastAsia"/>
          <w:color w:val="auto"/>
          <w:lang w:val="en-US" w:eastAsia="zh-CN"/>
        </w:rPr>
        <w:t>工艺废水、生活污水、</w:t>
      </w:r>
      <w:r>
        <w:rPr>
          <w:rFonts w:hint="eastAsia"/>
          <w:color w:val="auto"/>
          <w:lang w:eastAsia="zh-CN"/>
        </w:rPr>
        <w:t>设备及</w:t>
      </w:r>
      <w:r>
        <w:rPr>
          <w:rFonts w:hint="eastAsia"/>
          <w:color w:val="auto"/>
          <w:lang w:val="en-US" w:eastAsia="zh-CN"/>
        </w:rPr>
        <w:t>储罐</w:t>
      </w:r>
      <w:r>
        <w:rPr>
          <w:rFonts w:hint="eastAsia"/>
          <w:color w:val="auto"/>
          <w:lang w:eastAsia="zh-CN"/>
        </w:rPr>
        <w:t>清洗等杂用水，均排入厂区内新建污水处理站处理，</w:t>
      </w:r>
      <w:r>
        <w:rPr>
          <w:rFonts w:hint="eastAsia"/>
          <w:color w:val="auto"/>
          <w:lang w:val="en-US" w:eastAsia="zh-CN"/>
        </w:rPr>
        <w:t>经处理达到云溪污水处理厂接收标准后排入云溪污水处理厂进一步处理。</w:t>
      </w:r>
      <w:r>
        <w:rPr>
          <w:rFonts w:hint="eastAsia"/>
          <w:color w:val="auto"/>
          <w:lang w:eastAsia="zh-CN"/>
        </w:rPr>
        <w:t>本项目废水排放量小，不会对云溪区污水处理厂稳定运行产生冲击和不利影响。</w:t>
      </w:r>
    </w:p>
    <w:p>
      <w:pPr>
        <w:pStyle w:val="33"/>
        <w:numPr>
          <w:ilvl w:val="0"/>
          <w:numId w:val="5"/>
        </w:numPr>
        <w:bidi w:val="0"/>
        <w:rPr>
          <w:rFonts w:hint="eastAsia"/>
          <w:color w:val="auto"/>
          <w:lang w:val="en-US" w:eastAsia="zh-CN"/>
        </w:rPr>
      </w:pPr>
      <w:r>
        <w:rPr>
          <w:rFonts w:hint="eastAsia"/>
          <w:color w:val="auto"/>
          <w:lang w:val="en-US" w:eastAsia="zh-CN"/>
        </w:rPr>
        <w:t>大气环境影响</w:t>
      </w:r>
    </w:p>
    <w:p>
      <w:pPr>
        <w:pStyle w:val="33"/>
        <w:ind w:left="0" w:leftChars="0" w:firstLine="480" w:firstLineChars="200"/>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本项目评价基准年为2019年，所在区域基准年为环境空气质量不达标区，超标因子为O</w:t>
      </w:r>
      <w:r>
        <w:rPr>
          <w:rFonts w:ascii="Times New Roman" w:hAnsi="Times New Roman" w:eastAsia="宋体" w:cs="Times New Roman"/>
          <w:color w:val="auto"/>
          <w:kern w:val="0"/>
          <w:sz w:val="24"/>
          <w:highlight w:val="none"/>
          <w:vertAlign w:val="subscript"/>
        </w:rPr>
        <w:t>3</w:t>
      </w:r>
      <w:r>
        <w:rPr>
          <w:rFonts w:ascii="Times New Roman" w:hAnsi="Times New Roman" w:eastAsia="宋体" w:cs="Times New Roman"/>
          <w:color w:val="auto"/>
          <w:kern w:val="0"/>
          <w:sz w:val="24"/>
          <w:highlight w:val="none"/>
        </w:rPr>
        <w:t>和PM</w:t>
      </w:r>
      <w:r>
        <w:rPr>
          <w:rFonts w:ascii="Times New Roman" w:hAnsi="Times New Roman" w:eastAsia="宋体" w:cs="Times New Roman"/>
          <w:color w:val="auto"/>
          <w:kern w:val="0"/>
          <w:sz w:val="24"/>
          <w:highlight w:val="none"/>
          <w:vertAlign w:val="subscript"/>
        </w:rPr>
        <w:t>2.5</w:t>
      </w:r>
      <w:r>
        <w:rPr>
          <w:rFonts w:ascii="Times New Roman" w:hAnsi="Times New Roman" w:eastAsia="宋体" w:cs="Times New Roman"/>
          <w:color w:val="auto"/>
          <w:kern w:val="0"/>
          <w:sz w:val="24"/>
          <w:highlight w:val="none"/>
        </w:rPr>
        <w:t>。</w:t>
      </w:r>
      <w:r>
        <w:rPr>
          <w:rFonts w:hint="eastAsia" w:ascii="宋体" w:hAnsi="宋体" w:eastAsia="宋体" w:cs="宋体"/>
          <w:color w:val="auto"/>
          <w:kern w:val="0"/>
          <w:sz w:val="24"/>
          <w:highlight w:val="none"/>
        </w:rPr>
        <w:t>①</w:t>
      </w:r>
      <w:r>
        <w:rPr>
          <w:rFonts w:ascii="Times New Roman" w:hAnsi="Times New Roman" w:eastAsia="宋体" w:cs="Times New Roman"/>
          <w:color w:val="auto"/>
          <w:kern w:val="0"/>
          <w:sz w:val="24"/>
          <w:highlight w:val="none"/>
        </w:rPr>
        <w:t>本项目</w:t>
      </w:r>
      <w:r>
        <w:rPr>
          <w:rFonts w:hint="eastAsia" w:ascii="Times New Roman" w:hAnsi="Times New Roman" w:eastAsia="宋体" w:cs="Times New Roman"/>
          <w:color w:val="auto"/>
          <w:kern w:val="0"/>
          <w:sz w:val="24"/>
          <w:highlight w:val="none"/>
        </w:rPr>
        <w:t>所排放的污染因子为VOCs、</w:t>
      </w:r>
      <w:r>
        <w:rPr>
          <w:rFonts w:hint="eastAsia" w:ascii="Times New Roman" w:hAnsi="Times New Roman" w:cs="Times New Roman"/>
          <w:color w:val="auto"/>
          <w:kern w:val="0"/>
          <w:sz w:val="24"/>
          <w:highlight w:val="none"/>
          <w:lang w:val="en-US" w:eastAsia="zh-CN"/>
        </w:rPr>
        <w:t>甲醇</w:t>
      </w:r>
      <w:r>
        <w:rPr>
          <w:rFonts w:hint="eastAsia" w:ascii="Times New Roman" w:hAnsi="Times New Roman" w:eastAsia="宋体" w:cs="Times New Roman"/>
          <w:color w:val="auto"/>
          <w:kern w:val="0"/>
          <w:sz w:val="24"/>
          <w:highlight w:val="none"/>
        </w:rPr>
        <w:t>，均属于达标因子</w:t>
      </w:r>
      <w:r>
        <w:rPr>
          <w:rFonts w:ascii="Times New Roman" w:hAnsi="Times New Roman" w:eastAsia="宋体" w:cs="Times New Roman"/>
          <w:color w:val="auto"/>
          <w:kern w:val="0"/>
          <w:sz w:val="24"/>
          <w:highlight w:val="none"/>
        </w:rPr>
        <w:t>；</w:t>
      </w:r>
      <w:r>
        <w:rPr>
          <w:rFonts w:hint="eastAsia" w:ascii="宋体" w:hAnsi="宋体" w:eastAsia="宋体" w:cs="宋体"/>
          <w:color w:val="auto"/>
          <w:kern w:val="0"/>
          <w:sz w:val="24"/>
          <w:highlight w:val="none"/>
        </w:rPr>
        <w:t>②</w:t>
      </w:r>
      <w:r>
        <w:rPr>
          <w:rFonts w:ascii="Times New Roman" w:hAnsi="Times New Roman" w:eastAsia="宋体" w:cs="Times New Roman"/>
          <w:color w:val="auto"/>
          <w:kern w:val="0"/>
          <w:sz w:val="24"/>
          <w:highlight w:val="none"/>
        </w:rPr>
        <w:t>本项目新增污染源正常排放下</w:t>
      </w:r>
      <w:r>
        <w:rPr>
          <w:rFonts w:hint="eastAsia" w:ascii="Times New Roman" w:hAnsi="Times New Roman" w:eastAsia="宋体" w:cs="Times New Roman"/>
          <w:color w:val="auto"/>
          <w:kern w:val="0"/>
          <w:sz w:val="24"/>
          <w:highlight w:val="none"/>
        </w:rPr>
        <w:t>VOCs</w:t>
      </w:r>
      <w:r>
        <w:rPr>
          <w:rFonts w:ascii="Times New Roman" w:hAnsi="Times New Roman" w:eastAsia="宋体" w:cs="Times New Roman"/>
          <w:color w:val="auto"/>
          <w:kern w:val="0"/>
          <w:sz w:val="24"/>
          <w:highlight w:val="none"/>
        </w:rPr>
        <w:t>的</w:t>
      </w:r>
      <w:r>
        <w:rPr>
          <w:rFonts w:hint="eastAsia" w:ascii="Times New Roman" w:hAnsi="Times New Roman" w:eastAsia="宋体" w:cs="Times New Roman"/>
          <w:color w:val="auto"/>
          <w:kern w:val="0"/>
          <w:sz w:val="24"/>
          <w:highlight w:val="none"/>
        </w:rPr>
        <w:t>8</w:t>
      </w:r>
      <w:r>
        <w:rPr>
          <w:rFonts w:ascii="Times New Roman" w:hAnsi="Times New Roman" w:eastAsia="宋体" w:cs="Times New Roman"/>
          <w:color w:val="auto"/>
          <w:kern w:val="0"/>
          <w:sz w:val="24"/>
          <w:highlight w:val="none"/>
        </w:rPr>
        <w:t>小时最大浓度贡献值占标率为</w:t>
      </w:r>
      <w:r>
        <w:rPr>
          <w:rFonts w:hint="eastAsia" w:cs="Times New Roman"/>
          <w:color w:val="auto"/>
          <w:kern w:val="0"/>
          <w:sz w:val="24"/>
          <w:highlight w:val="none"/>
          <w:lang w:val="en-US" w:eastAsia="zh-CN"/>
        </w:rPr>
        <w:t>7.91</w:t>
      </w:r>
      <w:r>
        <w:rPr>
          <w:rFonts w:ascii="Times New Roman" w:hAnsi="Times New Roman" w:eastAsia="宋体" w:cs="Times New Roman"/>
          <w:color w:val="auto"/>
          <w:kern w:val="0"/>
          <w:sz w:val="24"/>
          <w:highlight w:val="none"/>
        </w:rPr>
        <w:t>%；</w:t>
      </w:r>
      <w:r>
        <w:rPr>
          <w:rFonts w:hint="eastAsia" w:ascii="Times New Roman" w:hAnsi="Times New Roman" w:cs="Times New Roman"/>
          <w:color w:val="auto"/>
          <w:kern w:val="0"/>
          <w:sz w:val="24"/>
          <w:highlight w:val="none"/>
          <w:lang w:val="en-US" w:eastAsia="zh-CN"/>
        </w:rPr>
        <w:t>甲醇</w:t>
      </w:r>
      <w:r>
        <w:rPr>
          <w:rFonts w:ascii="Times New Roman" w:hAnsi="Times New Roman" w:eastAsia="宋体" w:cs="Times New Roman"/>
          <w:color w:val="auto"/>
          <w:kern w:val="0"/>
          <w:sz w:val="24"/>
          <w:highlight w:val="none"/>
        </w:rPr>
        <w:t>的小时和日均最大浓度贡献值占标率分别为</w:t>
      </w:r>
      <w:r>
        <w:rPr>
          <w:rFonts w:hint="eastAsia" w:cs="Times New Roman"/>
          <w:color w:val="auto"/>
          <w:kern w:val="0"/>
          <w:sz w:val="24"/>
          <w:highlight w:val="none"/>
          <w:lang w:val="en-US" w:eastAsia="zh-CN"/>
        </w:rPr>
        <w:t>0.2</w:t>
      </w:r>
      <w:r>
        <w:rPr>
          <w:rFonts w:ascii="Times New Roman" w:hAnsi="Times New Roman" w:eastAsia="宋体" w:cs="Times New Roman"/>
          <w:color w:val="auto"/>
          <w:kern w:val="0"/>
          <w:sz w:val="24"/>
          <w:highlight w:val="none"/>
        </w:rPr>
        <w:t>%和</w:t>
      </w:r>
      <w:r>
        <w:rPr>
          <w:rFonts w:hint="eastAsia" w:cs="Times New Roman"/>
          <w:color w:val="auto"/>
          <w:kern w:val="0"/>
          <w:sz w:val="24"/>
          <w:highlight w:val="none"/>
          <w:lang w:val="en-US" w:eastAsia="zh-CN"/>
        </w:rPr>
        <w:t>0.04</w:t>
      </w:r>
      <w:r>
        <w:rPr>
          <w:rFonts w:ascii="Times New Roman" w:hAnsi="Times New Roman" w:eastAsia="宋体" w:cs="Times New Roman"/>
          <w:color w:val="auto"/>
          <w:kern w:val="0"/>
          <w:sz w:val="24"/>
          <w:highlight w:val="none"/>
        </w:rPr>
        <w:t>%；项目各污染物短期浓度贡献值的最大浓度占标率均＜100%。</w:t>
      </w:r>
      <w:r>
        <w:rPr>
          <w:rFonts w:hint="eastAsia" w:ascii="宋体" w:hAnsi="宋体" w:eastAsia="宋体" w:cs="宋体"/>
          <w:color w:val="auto"/>
          <w:kern w:val="0"/>
          <w:sz w:val="24"/>
          <w:highlight w:val="none"/>
        </w:rPr>
        <w:t>③</w:t>
      </w:r>
      <w:r>
        <w:rPr>
          <w:rFonts w:ascii="Times New Roman" w:hAnsi="Times New Roman" w:eastAsia="宋体" w:cs="Times New Roman"/>
          <w:color w:val="auto"/>
          <w:kern w:val="0"/>
          <w:sz w:val="24"/>
          <w:highlight w:val="none"/>
        </w:rPr>
        <w:t>对于仅有短期浓度的TVOC</w:t>
      </w:r>
      <w:r>
        <w:rPr>
          <w:rFonts w:hint="eastAsia" w:ascii="Times New Roman" w:hAnsi="Times New Roman" w:eastAsia="宋体" w:cs="Times New Roman"/>
          <w:color w:val="auto"/>
          <w:kern w:val="0"/>
          <w:sz w:val="24"/>
          <w:highlight w:val="none"/>
        </w:rPr>
        <w:t>和</w:t>
      </w:r>
      <w:r>
        <w:rPr>
          <w:rFonts w:hint="eastAsia" w:ascii="Times New Roman" w:hAnsi="Times New Roman" w:cs="Times New Roman"/>
          <w:color w:val="auto"/>
          <w:kern w:val="0"/>
          <w:sz w:val="24"/>
          <w:highlight w:val="none"/>
          <w:lang w:val="en-US" w:eastAsia="zh-CN"/>
        </w:rPr>
        <w:t>甲醇</w:t>
      </w:r>
      <w:r>
        <w:rPr>
          <w:rFonts w:ascii="Times New Roman" w:hAnsi="Times New Roman" w:eastAsia="宋体" w:cs="Times New Roman"/>
          <w:color w:val="auto"/>
          <w:kern w:val="0"/>
          <w:sz w:val="24"/>
          <w:highlight w:val="none"/>
        </w:rPr>
        <w:t>叠加</w:t>
      </w:r>
      <w:r>
        <w:rPr>
          <w:rFonts w:hint="eastAsia" w:ascii="Times New Roman" w:hAnsi="Times New Roman" w:eastAsia="宋体" w:cs="Times New Roman"/>
          <w:color w:val="auto"/>
          <w:kern w:val="0"/>
          <w:sz w:val="24"/>
          <w:highlight w:val="none"/>
        </w:rPr>
        <w:t>背景浓度和区域在建拟建污染源后，</w:t>
      </w:r>
      <w:r>
        <w:rPr>
          <w:rFonts w:ascii="Times New Roman" w:hAnsi="Times New Roman" w:eastAsia="宋体" w:cs="Times New Roman"/>
          <w:color w:val="auto"/>
          <w:kern w:val="0"/>
          <w:sz w:val="24"/>
          <w:highlight w:val="none"/>
        </w:rPr>
        <w:t>TVOC叠加后8小时浓度</w:t>
      </w:r>
      <w:r>
        <w:rPr>
          <w:rFonts w:hint="eastAsia" w:ascii="Times New Roman" w:hAnsi="Times New Roman" w:eastAsia="宋体" w:cs="Times New Roman"/>
          <w:color w:val="auto"/>
          <w:kern w:val="0"/>
          <w:sz w:val="24"/>
          <w:highlight w:val="none"/>
        </w:rPr>
        <w:t>占标率为</w:t>
      </w:r>
      <w:r>
        <w:rPr>
          <w:rFonts w:hint="eastAsia" w:cs="Times New Roman"/>
          <w:color w:val="auto"/>
          <w:kern w:val="0"/>
          <w:sz w:val="24"/>
          <w:highlight w:val="none"/>
          <w:lang w:val="en-US" w:eastAsia="zh-CN"/>
        </w:rPr>
        <w:t>9.32</w:t>
      </w:r>
      <w:r>
        <w:rPr>
          <w:rFonts w:hint="eastAsia" w:ascii="Times New Roman" w:hAnsi="Times New Roman" w:eastAsia="宋体" w:cs="Times New Roman"/>
          <w:color w:val="auto"/>
          <w:kern w:val="0"/>
          <w:sz w:val="24"/>
          <w:highlight w:val="none"/>
        </w:rPr>
        <w:t>%；</w:t>
      </w:r>
      <w:r>
        <w:rPr>
          <w:rFonts w:hint="eastAsia" w:ascii="Times New Roman" w:hAnsi="Times New Roman" w:cs="Times New Roman"/>
          <w:color w:val="auto"/>
          <w:kern w:val="0"/>
          <w:sz w:val="24"/>
          <w:highlight w:val="none"/>
          <w:lang w:val="en-US" w:eastAsia="zh-CN"/>
        </w:rPr>
        <w:t>甲醇</w:t>
      </w:r>
      <w:r>
        <w:rPr>
          <w:rFonts w:hint="eastAsia" w:ascii="Times New Roman" w:hAnsi="Times New Roman" w:eastAsia="宋体" w:cs="Times New Roman"/>
          <w:color w:val="auto"/>
          <w:kern w:val="0"/>
          <w:sz w:val="24"/>
          <w:highlight w:val="none"/>
        </w:rPr>
        <w:t>叠加后1</w:t>
      </w:r>
      <w:r>
        <w:rPr>
          <w:rFonts w:ascii="Times New Roman" w:hAnsi="Times New Roman" w:eastAsia="宋体" w:cs="Times New Roman"/>
          <w:color w:val="auto"/>
          <w:kern w:val="0"/>
          <w:sz w:val="24"/>
          <w:highlight w:val="none"/>
        </w:rPr>
        <w:t>小时和日均最大浓度占标率分别为</w:t>
      </w:r>
      <w:r>
        <w:rPr>
          <w:rFonts w:hint="eastAsia" w:cs="Times New Roman"/>
          <w:color w:val="auto"/>
          <w:kern w:val="0"/>
          <w:sz w:val="24"/>
          <w:highlight w:val="none"/>
          <w:lang w:val="en-US" w:eastAsia="zh-CN"/>
        </w:rPr>
        <w:t>37.54</w:t>
      </w:r>
      <w:r>
        <w:rPr>
          <w:rFonts w:ascii="Times New Roman" w:hAnsi="Times New Roman" w:eastAsia="宋体" w:cs="Times New Roman"/>
          <w:color w:val="auto"/>
          <w:kern w:val="0"/>
          <w:sz w:val="24"/>
          <w:highlight w:val="none"/>
        </w:rPr>
        <w:t>%和</w:t>
      </w:r>
      <w:r>
        <w:rPr>
          <w:rFonts w:hint="eastAsia" w:cs="Times New Roman"/>
          <w:color w:val="auto"/>
          <w:kern w:val="0"/>
          <w:sz w:val="24"/>
          <w:highlight w:val="none"/>
          <w:lang w:val="en-US" w:eastAsia="zh-CN"/>
        </w:rPr>
        <w:t>84.2</w:t>
      </w:r>
      <w:r>
        <w:rPr>
          <w:rFonts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rPr>
        <w:t>均</w:t>
      </w:r>
      <w:r>
        <w:rPr>
          <w:rFonts w:ascii="Times New Roman" w:hAnsi="Times New Roman" w:eastAsia="宋体" w:cs="Times New Roman"/>
          <w:color w:val="auto"/>
          <w:kern w:val="0"/>
          <w:sz w:val="24"/>
          <w:highlight w:val="none"/>
        </w:rPr>
        <w:t>满足《环境影响评价技术导则 大气环境》(HJ2.2-2018)附录D中标准限值要求。综上，本项目的大气环境影响可以接受。</w:t>
      </w:r>
    </w:p>
    <w:p>
      <w:pPr>
        <w:pStyle w:val="33"/>
        <w:ind w:left="0" w:leftChars="0" w:firstLine="480" w:firstLineChars="200"/>
        <w:rPr>
          <w:rFonts w:ascii="Times New Roman" w:hAnsi="Times New Roman" w:eastAsia="宋体" w:cs="Times New Roman"/>
          <w:b w:val="0"/>
          <w:color w:val="auto"/>
          <w:kern w:val="0"/>
          <w:sz w:val="24"/>
          <w:szCs w:val="20"/>
          <w:highlight w:val="none"/>
          <w:lang w:val="en-US" w:eastAsia="zh-CN" w:bidi="ar-SA"/>
        </w:rPr>
      </w:pPr>
      <w:r>
        <w:rPr>
          <w:rFonts w:ascii="Times New Roman" w:hAnsi="Times New Roman" w:eastAsia="宋体" w:cs="Times New Roman"/>
          <w:b w:val="0"/>
          <w:color w:val="auto"/>
          <w:kern w:val="0"/>
          <w:sz w:val="24"/>
          <w:szCs w:val="20"/>
          <w:highlight w:val="none"/>
          <w:lang w:val="en-US" w:eastAsia="zh-CN" w:bidi="ar-SA"/>
        </w:rPr>
        <w:t>根据预测计算，本项目厂界线外没有超标点，无需设置大气环境防护距离。</w:t>
      </w:r>
    </w:p>
    <w:p>
      <w:pPr>
        <w:pStyle w:val="33"/>
        <w:numPr>
          <w:ilvl w:val="0"/>
          <w:numId w:val="5"/>
        </w:numPr>
        <w:bidi w:val="0"/>
        <w:rPr>
          <w:rFonts w:hint="eastAsia"/>
          <w:color w:val="auto"/>
          <w:lang w:val="en-US" w:eastAsia="zh-CN"/>
        </w:rPr>
      </w:pPr>
      <w:r>
        <w:rPr>
          <w:rFonts w:hint="eastAsia"/>
          <w:color w:val="auto"/>
          <w:lang w:val="en-US" w:eastAsia="zh-CN"/>
        </w:rPr>
        <w:t>噪声环境影响</w:t>
      </w:r>
    </w:p>
    <w:p>
      <w:pPr>
        <w:pStyle w:val="33"/>
        <w:bidi w:val="0"/>
        <w:rPr>
          <w:color w:val="auto"/>
        </w:rPr>
      </w:pPr>
      <w:r>
        <w:rPr>
          <w:color w:val="auto"/>
        </w:rPr>
        <w:t>拟建项目噪声源采取噪声措施后，</w:t>
      </w:r>
      <w:r>
        <w:rPr>
          <w:rFonts w:hint="eastAsia"/>
          <w:color w:val="auto"/>
          <w:lang w:eastAsia="zh-CN"/>
        </w:rPr>
        <w:t>厂界</w:t>
      </w:r>
      <w:r>
        <w:rPr>
          <w:color w:val="auto"/>
        </w:rPr>
        <w:t>预测值</w:t>
      </w:r>
      <w:r>
        <w:rPr>
          <w:rFonts w:hint="eastAsia"/>
          <w:color w:val="auto"/>
          <w:lang w:eastAsia="zh-CN"/>
        </w:rPr>
        <w:t>达标</w:t>
      </w:r>
      <w:r>
        <w:rPr>
          <w:color w:val="auto"/>
        </w:rPr>
        <w:t>，</w:t>
      </w:r>
      <w:r>
        <w:rPr>
          <w:rFonts w:hint="eastAsia"/>
          <w:color w:val="auto"/>
          <w:lang w:eastAsia="zh-CN"/>
        </w:rPr>
        <w:t>区域声</w:t>
      </w:r>
      <w:r>
        <w:rPr>
          <w:color w:val="auto"/>
        </w:rPr>
        <w:t>环境质量可维持现状。</w:t>
      </w:r>
    </w:p>
    <w:p>
      <w:pPr>
        <w:pStyle w:val="33"/>
        <w:numPr>
          <w:ilvl w:val="0"/>
          <w:numId w:val="5"/>
        </w:numPr>
        <w:bidi w:val="0"/>
        <w:rPr>
          <w:rFonts w:hint="eastAsia"/>
          <w:color w:val="auto"/>
          <w:lang w:val="en-US" w:eastAsia="zh-CN"/>
        </w:rPr>
      </w:pPr>
      <w:r>
        <w:rPr>
          <w:rFonts w:hint="eastAsia"/>
          <w:color w:val="auto"/>
          <w:lang w:val="en-US" w:eastAsia="zh-CN"/>
        </w:rPr>
        <w:t>固废环境影响</w:t>
      </w:r>
    </w:p>
    <w:p>
      <w:pPr>
        <w:pStyle w:val="33"/>
        <w:bidi w:val="0"/>
        <w:rPr>
          <w:rFonts w:hint="default"/>
          <w:color w:val="auto"/>
          <w:lang w:val="en-US" w:eastAsia="zh-CN"/>
        </w:rPr>
      </w:pPr>
      <w:r>
        <w:rPr>
          <w:rFonts w:hint="eastAsia"/>
          <w:color w:val="auto"/>
          <w:lang w:val="en-US" w:eastAsia="zh-CN"/>
        </w:rPr>
        <w:t>本项目</w:t>
      </w:r>
      <w:r>
        <w:rPr>
          <w:rFonts w:hint="eastAsia"/>
          <w:color w:val="auto"/>
          <w:lang w:eastAsia="zh-CN"/>
        </w:rPr>
        <w:t>固体废物主要来自</w:t>
      </w:r>
      <w:r>
        <w:rPr>
          <w:rFonts w:hint="eastAsia"/>
          <w:color w:val="auto"/>
        </w:rPr>
        <w:t>精馏工序产生精馏釜残、</w:t>
      </w:r>
      <w:r>
        <w:rPr>
          <w:rFonts w:hint="eastAsia"/>
          <w:color w:val="auto"/>
          <w:lang w:val="en-US" w:eastAsia="zh-CN"/>
        </w:rPr>
        <w:t>废树脂</w:t>
      </w:r>
      <w:r>
        <w:rPr>
          <w:rFonts w:hint="eastAsia"/>
          <w:color w:val="auto"/>
        </w:rPr>
        <w:t>、</w:t>
      </w:r>
      <w:r>
        <w:rPr>
          <w:rFonts w:hint="eastAsia"/>
          <w:color w:val="auto"/>
          <w:lang w:val="en-US" w:eastAsia="zh-CN"/>
        </w:rPr>
        <w:t>废活性炭和废包装桶、</w:t>
      </w:r>
      <w:r>
        <w:rPr>
          <w:rFonts w:hint="eastAsia"/>
          <w:color w:val="auto"/>
        </w:rPr>
        <w:t>生活垃圾等</w:t>
      </w:r>
      <w:r>
        <w:rPr>
          <w:rFonts w:hint="eastAsia"/>
          <w:color w:val="auto"/>
          <w:lang w:eastAsia="zh-CN"/>
        </w:rPr>
        <w:t>。</w:t>
      </w:r>
      <w:r>
        <w:rPr>
          <w:rFonts w:hint="eastAsia"/>
          <w:color w:val="auto"/>
        </w:rPr>
        <w:t>精馏残渣</w:t>
      </w:r>
      <w:r>
        <w:rPr>
          <w:rFonts w:hint="eastAsia"/>
          <w:color w:val="auto"/>
          <w:lang w:eastAsia="zh-CN"/>
        </w:rPr>
        <w:t>、</w:t>
      </w:r>
      <w:r>
        <w:rPr>
          <w:rFonts w:hint="eastAsia"/>
          <w:color w:val="auto"/>
          <w:lang w:val="en-US" w:eastAsia="zh-CN"/>
        </w:rPr>
        <w:t>废树脂和废活性炭等委托有资质的单位处理，废包装桶回收利用，生活垃圾交环卫部门统一处理。</w:t>
      </w:r>
      <w:r>
        <w:rPr>
          <w:rFonts w:hint="eastAsia"/>
          <w:color w:val="auto"/>
        </w:rPr>
        <w:t>实现减量化、资源化和无害化，对周围大气、水体、土壤环境的影响程度可减至最低。</w:t>
      </w:r>
    </w:p>
    <w:p>
      <w:pPr>
        <w:pStyle w:val="33"/>
        <w:bidi w:val="0"/>
        <w:rPr>
          <w:color w:val="auto"/>
        </w:rPr>
      </w:pPr>
      <w:r>
        <w:rPr>
          <w:rFonts w:hint="eastAsia"/>
          <w:color w:val="auto"/>
        </w:rPr>
        <w:t>（5）环境风险</w:t>
      </w:r>
    </w:p>
    <w:p>
      <w:pPr>
        <w:pStyle w:val="33"/>
        <w:bidi w:val="0"/>
        <w:rPr>
          <w:color w:val="auto"/>
        </w:rPr>
      </w:pPr>
      <w:r>
        <w:rPr>
          <w:color w:val="auto"/>
        </w:rPr>
        <w:t>根据风险分析结果，本项目实施后，全厂范围一旦发生风险，其危害主要是火灾、爆炸、泄露事故，建设方应加强对原料的储存、运输、使用方面的管理，严格按照相关规定执行，同时制定合理、有效的应急预案和防范措施，减少对环境的污染。</w:t>
      </w:r>
    </w:p>
    <w:p>
      <w:pPr>
        <w:pStyle w:val="31"/>
        <w:bidi w:val="0"/>
        <w:rPr>
          <w:rFonts w:hint="eastAsia"/>
          <w:color w:val="auto"/>
          <w:lang w:val="en-US" w:eastAsia="zh-CN"/>
        </w:rPr>
      </w:pPr>
      <w:bookmarkStart w:id="497" w:name="_Toc12546"/>
      <w:bookmarkStart w:id="498" w:name="_Toc12688"/>
      <w:r>
        <w:rPr>
          <w:rFonts w:hint="eastAsia"/>
          <w:color w:val="auto"/>
          <w:lang w:val="en-US" w:eastAsia="zh-CN"/>
        </w:rPr>
        <w:t>12.4环境制约因素</w:t>
      </w:r>
      <w:bookmarkEnd w:id="497"/>
      <w:bookmarkEnd w:id="498"/>
    </w:p>
    <w:p>
      <w:pPr>
        <w:pStyle w:val="33"/>
        <w:bidi w:val="0"/>
        <w:rPr>
          <w:rFonts w:hint="default" w:ascii="Times New Roman" w:hAnsi="Times New Roman"/>
          <w:caps w:val="0"/>
          <w:smallCaps w:val="0"/>
          <w:color w:val="auto"/>
          <w:kern w:val="0"/>
          <w:sz w:val="24"/>
          <w:szCs w:val="24"/>
          <w:lang w:val="en-US" w:eastAsia="zh-CN"/>
        </w:rPr>
      </w:pPr>
      <w:r>
        <w:rPr>
          <w:rFonts w:hint="eastAsia" w:ascii="Times New Roman" w:hAnsi="Times New Roman"/>
          <w:caps w:val="0"/>
          <w:smallCaps w:val="0"/>
          <w:color w:val="auto"/>
          <w:kern w:val="0"/>
          <w:sz w:val="24"/>
          <w:szCs w:val="24"/>
          <w:lang w:val="en-US" w:eastAsia="zh-CN"/>
        </w:rPr>
        <w:t>本项目位于</w:t>
      </w:r>
      <w:r>
        <w:rPr>
          <w:rFonts w:hint="eastAsia"/>
          <w:b w:val="0"/>
          <w:bCs w:val="0"/>
          <w:color w:val="auto"/>
          <w:kern w:val="0"/>
          <w:sz w:val="24"/>
          <w:u w:val="none"/>
        </w:rPr>
        <w:t>湖南岳阳绿色化工产业园</w:t>
      </w:r>
      <w:r>
        <w:rPr>
          <w:rFonts w:hint="eastAsia"/>
          <w:b w:val="0"/>
          <w:bCs w:val="0"/>
          <w:color w:val="auto"/>
          <w:kern w:val="0"/>
          <w:sz w:val="24"/>
          <w:u w:val="none"/>
          <w:lang w:eastAsia="zh-CN"/>
        </w:rPr>
        <w:t>，</w:t>
      </w:r>
      <w:r>
        <w:rPr>
          <w:rFonts w:hint="eastAsia"/>
          <w:b w:val="0"/>
          <w:bCs w:val="0"/>
          <w:color w:val="auto"/>
          <w:kern w:val="0"/>
          <w:sz w:val="24"/>
          <w:u w:val="none"/>
          <w:lang w:val="en-US" w:eastAsia="zh-CN"/>
        </w:rPr>
        <w:t>不新增用地。</w:t>
      </w:r>
      <w:r>
        <w:rPr>
          <w:rFonts w:hint="default" w:ascii="Times New Roman" w:hAnsi="Times New Roman"/>
          <w:caps w:val="0"/>
          <w:smallCaps w:val="0"/>
          <w:color w:val="auto"/>
          <w:kern w:val="0"/>
          <w:sz w:val="24"/>
          <w:szCs w:val="24"/>
          <w:lang w:val="en-US" w:eastAsia="zh-CN"/>
        </w:rPr>
        <w:t>拟建项目无明显环境制约因素。评价范围内无风景名胜、自然保护区、保护文物、生态敏感点或其它需要特别保护的对象存在，拟建项目选址不存在明显环境制约因素。</w:t>
      </w:r>
    </w:p>
    <w:p>
      <w:pPr>
        <w:pStyle w:val="31"/>
        <w:bidi w:val="0"/>
        <w:rPr>
          <w:rFonts w:hint="eastAsia"/>
          <w:color w:val="auto"/>
          <w:lang w:val="en-US" w:eastAsia="zh-CN"/>
        </w:rPr>
      </w:pPr>
      <w:bookmarkStart w:id="499" w:name="_Toc836"/>
      <w:bookmarkStart w:id="500" w:name="_Toc17298"/>
      <w:r>
        <w:rPr>
          <w:rFonts w:hint="eastAsia"/>
          <w:color w:val="auto"/>
          <w:lang w:val="en-US" w:eastAsia="zh-CN"/>
        </w:rPr>
        <w:t>12.5公众意见采纳情况</w:t>
      </w:r>
      <w:bookmarkEnd w:id="499"/>
      <w:bookmarkEnd w:id="500"/>
    </w:p>
    <w:p>
      <w:pPr>
        <w:pStyle w:val="33"/>
        <w:bidi w:val="0"/>
        <w:rPr>
          <w:rFonts w:hint="eastAsia"/>
          <w:color w:val="auto"/>
          <w:lang w:eastAsia="zh-CN"/>
        </w:rPr>
      </w:pPr>
      <w:r>
        <w:rPr>
          <w:rFonts w:hint="eastAsia"/>
          <w:color w:val="auto"/>
          <w:lang w:eastAsia="zh-CN"/>
        </w:rPr>
        <w:t>建设单位对项目概况和工程环境影响评价结论进行公示和公告，并发放调查表收集公众对项目的意见和建议。环评信息公示期间，建设单位、环评单位均没有收到单位、群众质疑、反对本工程建设的相关意见。</w:t>
      </w:r>
    </w:p>
    <w:p>
      <w:pPr>
        <w:pStyle w:val="31"/>
        <w:bidi w:val="0"/>
        <w:rPr>
          <w:rFonts w:hint="eastAsia"/>
          <w:color w:val="auto"/>
          <w:lang w:val="en-US" w:eastAsia="zh-CN"/>
        </w:rPr>
      </w:pPr>
      <w:bookmarkStart w:id="501" w:name="_Toc20539"/>
      <w:bookmarkStart w:id="502" w:name="_Toc5258"/>
      <w:r>
        <w:rPr>
          <w:rFonts w:hint="eastAsia"/>
          <w:color w:val="auto"/>
          <w:lang w:val="en-US" w:eastAsia="zh-CN"/>
        </w:rPr>
        <w:t>12.6环境保护措施</w:t>
      </w:r>
      <w:bookmarkEnd w:id="501"/>
      <w:bookmarkEnd w:id="502"/>
    </w:p>
    <w:p>
      <w:pPr>
        <w:pStyle w:val="33"/>
        <w:bidi w:val="0"/>
        <w:rPr>
          <w:rFonts w:hint="default"/>
          <w:color w:val="auto"/>
          <w:lang w:eastAsia="zh-CN"/>
        </w:rPr>
      </w:pPr>
      <w:r>
        <w:rPr>
          <w:rFonts w:hint="default"/>
          <w:color w:val="auto"/>
          <w:lang w:eastAsia="zh-CN"/>
        </w:rPr>
        <w:t>（1）废气处理措施</w:t>
      </w:r>
    </w:p>
    <w:p>
      <w:pPr>
        <w:pStyle w:val="33"/>
        <w:bidi w:val="0"/>
        <w:rPr>
          <w:color w:val="auto"/>
        </w:rPr>
      </w:pPr>
      <w:r>
        <w:rPr>
          <w:color w:val="auto"/>
        </w:rPr>
        <w:t>本项目在营运期产生的</w:t>
      </w:r>
      <w:r>
        <w:rPr>
          <w:rFonts w:hint="eastAsia"/>
          <w:color w:val="auto"/>
          <w:lang w:val="en-US" w:eastAsia="zh-CN"/>
        </w:rPr>
        <w:t>工艺</w:t>
      </w:r>
      <w:r>
        <w:rPr>
          <w:color w:val="auto"/>
        </w:rPr>
        <w:t>废气：采用冷凝处理+</w:t>
      </w:r>
      <w:r>
        <w:rPr>
          <w:rFonts w:hint="eastAsia"/>
          <w:color w:val="auto"/>
          <w:lang w:val="en-US" w:eastAsia="zh-CN"/>
        </w:rPr>
        <w:t>活性炭吸附</w:t>
      </w:r>
      <w:r>
        <w:rPr>
          <w:color w:val="auto"/>
        </w:rPr>
        <w:t>+</w:t>
      </w:r>
      <w:r>
        <w:rPr>
          <w:rFonts w:hint="eastAsia"/>
          <w:color w:val="auto"/>
          <w:lang w:val="en-US" w:eastAsia="zh-CN"/>
        </w:rPr>
        <w:t>现有冷凝处理+碱液喷淋＋炭吸附＋</w:t>
      </w:r>
      <w:r>
        <w:rPr>
          <w:color w:val="auto"/>
        </w:rPr>
        <w:t>2</w:t>
      </w:r>
      <w:r>
        <w:rPr>
          <w:rFonts w:hint="eastAsia"/>
          <w:color w:val="auto"/>
          <w:lang w:val="en-US" w:eastAsia="zh-CN"/>
        </w:rPr>
        <w:t>0</w:t>
      </w:r>
      <w:r>
        <w:rPr>
          <w:color w:val="auto"/>
        </w:rPr>
        <w:t>m排气筒进行排放。</w:t>
      </w:r>
    </w:p>
    <w:p>
      <w:pPr>
        <w:pStyle w:val="33"/>
        <w:bidi w:val="0"/>
        <w:rPr>
          <w:rFonts w:hint="default"/>
          <w:color w:val="auto"/>
          <w:lang w:val="en-US" w:eastAsia="zh-CN"/>
        </w:rPr>
      </w:pPr>
      <w:r>
        <w:rPr>
          <w:rFonts w:hint="eastAsia"/>
          <w:color w:val="auto"/>
          <w:lang w:val="en-US" w:eastAsia="zh-CN"/>
        </w:rPr>
        <w:t>储罐废气：采用</w:t>
      </w:r>
      <w:r>
        <w:rPr>
          <w:rFonts w:hint="eastAsia"/>
          <w:color w:val="auto"/>
        </w:rPr>
        <w:t>喷淋塔</w:t>
      </w:r>
      <w:r>
        <w:rPr>
          <w:rFonts w:hint="eastAsia"/>
          <w:color w:val="auto"/>
          <w:lang w:val="en-US" w:eastAsia="zh-CN"/>
        </w:rPr>
        <w:t>＋</w:t>
      </w:r>
      <w:r>
        <w:rPr>
          <w:rFonts w:hint="eastAsia"/>
          <w:color w:val="auto"/>
        </w:rPr>
        <w:t>UV光解</w:t>
      </w:r>
      <w:r>
        <w:rPr>
          <w:rFonts w:hint="eastAsia"/>
          <w:color w:val="auto"/>
          <w:lang w:val="en-US" w:eastAsia="zh-CN"/>
        </w:rPr>
        <w:t>＋两级</w:t>
      </w:r>
      <w:r>
        <w:rPr>
          <w:rFonts w:hint="eastAsia"/>
          <w:color w:val="auto"/>
        </w:rPr>
        <w:t>活性炭吸附</w:t>
      </w:r>
      <w:r>
        <w:rPr>
          <w:rFonts w:hint="eastAsia"/>
          <w:color w:val="auto"/>
          <w:lang w:val="en-US" w:eastAsia="zh-CN"/>
        </w:rPr>
        <w:t>+</w:t>
      </w:r>
      <w:r>
        <w:rPr>
          <w:rFonts w:hint="eastAsia"/>
          <w:color w:val="auto"/>
        </w:rPr>
        <w:t>15米</w:t>
      </w:r>
      <w:r>
        <w:rPr>
          <w:rFonts w:hint="eastAsia"/>
          <w:color w:val="auto"/>
          <w:lang w:val="en-US" w:eastAsia="zh-CN"/>
        </w:rPr>
        <w:t>高排气筒进行排放。</w:t>
      </w:r>
    </w:p>
    <w:p>
      <w:pPr>
        <w:pStyle w:val="33"/>
        <w:bidi w:val="0"/>
        <w:rPr>
          <w:rFonts w:hint="default"/>
          <w:color w:val="auto"/>
          <w:lang w:eastAsia="zh-CN"/>
        </w:rPr>
      </w:pPr>
      <w:r>
        <w:rPr>
          <w:rFonts w:hint="default"/>
          <w:color w:val="auto"/>
        </w:rPr>
        <w:t>项目废气采用以上环保措施后均</w:t>
      </w:r>
      <w:r>
        <w:rPr>
          <w:rFonts w:hint="default"/>
          <w:color w:val="auto"/>
          <w:lang w:eastAsia="zh-CN"/>
        </w:rPr>
        <w:t>可实现达标排放，措施可行。</w:t>
      </w:r>
    </w:p>
    <w:p>
      <w:pPr>
        <w:pStyle w:val="33"/>
        <w:bidi w:val="0"/>
        <w:rPr>
          <w:rFonts w:hint="default"/>
          <w:color w:val="auto"/>
          <w:lang w:val="en-US" w:eastAsia="zh-CN"/>
        </w:rPr>
      </w:pPr>
      <w:r>
        <w:rPr>
          <w:rFonts w:hint="default"/>
          <w:color w:val="auto"/>
          <w:lang w:eastAsia="zh-CN"/>
        </w:rPr>
        <w:t>（</w:t>
      </w:r>
      <w:r>
        <w:rPr>
          <w:rFonts w:hint="default"/>
          <w:color w:val="auto"/>
          <w:lang w:val="en-US" w:eastAsia="zh-CN"/>
        </w:rPr>
        <w:t>2</w:t>
      </w:r>
      <w:r>
        <w:rPr>
          <w:rFonts w:hint="default"/>
          <w:color w:val="auto"/>
          <w:lang w:eastAsia="zh-CN"/>
        </w:rPr>
        <w:t>）</w:t>
      </w:r>
      <w:r>
        <w:rPr>
          <w:rFonts w:hint="default"/>
          <w:color w:val="auto"/>
          <w:lang w:val="en-US" w:eastAsia="zh-CN"/>
        </w:rPr>
        <w:t>废水处理措施</w:t>
      </w:r>
    </w:p>
    <w:p>
      <w:pPr>
        <w:pStyle w:val="33"/>
        <w:bidi w:val="0"/>
        <w:rPr>
          <w:rFonts w:hint="default"/>
          <w:color w:val="auto"/>
        </w:rPr>
      </w:pPr>
      <w:r>
        <w:rPr>
          <w:rFonts w:hint="eastAsia"/>
          <w:color w:val="auto"/>
          <w:lang w:eastAsia="zh-CN"/>
        </w:rPr>
        <w:t>改扩建后</w:t>
      </w:r>
      <w:r>
        <w:rPr>
          <w:color w:val="auto"/>
        </w:rPr>
        <w:t>污水经</w:t>
      </w:r>
      <w:r>
        <w:rPr>
          <w:rFonts w:hint="eastAsia"/>
          <w:color w:val="auto"/>
          <w:lang w:eastAsia="zh-CN"/>
        </w:rPr>
        <w:t>厂区内</w:t>
      </w:r>
      <w:r>
        <w:rPr>
          <w:rFonts w:hint="eastAsia"/>
          <w:color w:val="auto"/>
          <w:lang w:val="en-US" w:eastAsia="zh-CN"/>
        </w:rPr>
        <w:t>二期</w:t>
      </w:r>
      <w:r>
        <w:rPr>
          <w:rFonts w:hint="eastAsia"/>
          <w:color w:val="auto"/>
          <w:lang w:eastAsia="zh-CN"/>
        </w:rPr>
        <w:t>污水处理站预</w:t>
      </w:r>
      <w:r>
        <w:rPr>
          <w:color w:val="auto"/>
        </w:rPr>
        <w:t>处理达</w:t>
      </w:r>
      <w:r>
        <w:rPr>
          <w:rFonts w:hint="eastAsia"/>
          <w:color w:val="auto"/>
        </w:rPr>
        <w:t>《石油化学工业污染物排放标准》（GB31571-2015）</w:t>
      </w:r>
      <w:r>
        <w:rPr>
          <w:rFonts w:hint="eastAsia"/>
          <w:color w:val="auto"/>
          <w:lang w:eastAsia="zh-CN"/>
        </w:rPr>
        <w:t>表</w:t>
      </w:r>
      <w:r>
        <w:rPr>
          <w:rFonts w:hint="eastAsia"/>
          <w:color w:val="auto"/>
          <w:lang w:val="en-US" w:eastAsia="zh-CN"/>
        </w:rPr>
        <w:t>1间接排放限值</w:t>
      </w:r>
      <w:r>
        <w:rPr>
          <w:rFonts w:hint="eastAsia"/>
          <w:color w:val="auto"/>
          <w:lang w:eastAsia="zh-CN"/>
        </w:rPr>
        <w:t>、</w:t>
      </w:r>
      <w:r>
        <w:rPr>
          <w:rFonts w:hint="eastAsia"/>
          <w:color w:val="auto"/>
        </w:rPr>
        <w:t>《</w:t>
      </w:r>
      <w:r>
        <w:rPr>
          <w:rFonts w:hint="eastAsia"/>
          <w:color w:val="auto"/>
          <w:lang w:eastAsia="zh-CN"/>
        </w:rPr>
        <w:t>合成树脂</w:t>
      </w:r>
      <w:r>
        <w:rPr>
          <w:rFonts w:hint="eastAsia"/>
          <w:color w:val="auto"/>
        </w:rPr>
        <w:t>工业污染物排放标准》（</w:t>
      </w:r>
      <w:r>
        <w:rPr>
          <w:color w:val="auto"/>
        </w:rPr>
        <w:t>GB3157</w:t>
      </w:r>
      <w:r>
        <w:rPr>
          <w:rFonts w:hint="eastAsia"/>
          <w:color w:val="auto"/>
          <w:lang w:val="en-US" w:eastAsia="zh-CN"/>
        </w:rPr>
        <w:t>2</w:t>
      </w:r>
      <w:r>
        <w:rPr>
          <w:color w:val="auto"/>
        </w:rPr>
        <w:t>-2015</w:t>
      </w:r>
      <w:r>
        <w:rPr>
          <w:rFonts w:hint="eastAsia"/>
          <w:color w:val="auto"/>
        </w:rPr>
        <w:t>）</w:t>
      </w:r>
      <w:r>
        <w:rPr>
          <w:rFonts w:hint="eastAsia"/>
          <w:color w:val="auto"/>
          <w:lang w:eastAsia="zh-CN"/>
        </w:rPr>
        <w:t>表</w:t>
      </w:r>
      <w:r>
        <w:rPr>
          <w:rFonts w:hint="eastAsia"/>
          <w:color w:val="auto"/>
          <w:lang w:val="en-US" w:eastAsia="zh-CN"/>
        </w:rPr>
        <w:t>1间接排放限值</w:t>
      </w:r>
      <w:r>
        <w:rPr>
          <w:rFonts w:hint="eastAsia"/>
          <w:color w:val="auto"/>
        </w:rPr>
        <w:t>及云溪区污水处理厂进水水质要求</w:t>
      </w:r>
      <w:r>
        <w:rPr>
          <w:color w:val="auto"/>
        </w:rPr>
        <w:t>后</w:t>
      </w:r>
      <w:r>
        <w:rPr>
          <w:rFonts w:hint="default"/>
          <w:color w:val="auto"/>
          <w:lang w:eastAsia="zh-CN"/>
        </w:rPr>
        <w:t>后排入云溪工业园污水处理站进一步处理，</w:t>
      </w:r>
      <w:r>
        <w:rPr>
          <w:rFonts w:hint="default"/>
          <w:color w:val="auto"/>
        </w:rPr>
        <w:t xml:space="preserve">废水防治措施可行。 </w:t>
      </w:r>
    </w:p>
    <w:p>
      <w:pPr>
        <w:pStyle w:val="33"/>
        <w:bidi w:val="0"/>
        <w:rPr>
          <w:rFonts w:hint="default"/>
          <w:color w:val="auto"/>
          <w:lang w:val="en-US" w:eastAsia="zh-CN"/>
        </w:rPr>
      </w:pPr>
      <w:r>
        <w:rPr>
          <w:rFonts w:hint="eastAsia"/>
          <w:color w:val="auto"/>
          <w:lang w:val="en-US" w:eastAsia="zh-CN"/>
        </w:rPr>
        <w:t>（3）</w:t>
      </w:r>
      <w:r>
        <w:rPr>
          <w:rFonts w:hint="default"/>
          <w:color w:val="auto"/>
          <w:lang w:val="en-US" w:eastAsia="zh-CN"/>
        </w:rPr>
        <w:t>地下水污染防治措施</w:t>
      </w:r>
    </w:p>
    <w:p>
      <w:pPr>
        <w:pStyle w:val="33"/>
        <w:bidi w:val="0"/>
        <w:rPr>
          <w:rFonts w:hint="default"/>
          <w:color w:val="auto"/>
        </w:rPr>
      </w:pPr>
      <w:r>
        <w:rPr>
          <w:rFonts w:hint="default"/>
          <w:color w:val="auto"/>
        </w:rPr>
        <w:t>项目地下水污染防治措施按照“源头控制、分区防治、污染监控、应急响应”相结合的原则，从污染物的产生、入渗、扩散、应急响应进行控制。</w:t>
      </w:r>
    </w:p>
    <w:p>
      <w:pPr>
        <w:pStyle w:val="33"/>
        <w:bidi w:val="0"/>
        <w:rPr>
          <w:rFonts w:hint="default"/>
          <w:color w:val="auto"/>
        </w:rPr>
      </w:pPr>
      <w:r>
        <w:rPr>
          <w:rFonts w:hint="default"/>
          <w:color w:val="auto"/>
        </w:rPr>
        <w:t>（4）噪声污染防治措施</w:t>
      </w:r>
    </w:p>
    <w:p>
      <w:pPr>
        <w:pStyle w:val="33"/>
        <w:bidi w:val="0"/>
        <w:rPr>
          <w:rFonts w:hint="default"/>
          <w:color w:val="auto"/>
        </w:rPr>
      </w:pPr>
      <w:r>
        <w:rPr>
          <w:rFonts w:hint="default"/>
          <w:color w:val="auto"/>
        </w:rPr>
        <w:t>采取隔声、消声、减震措施。高噪声安装减震基座，周围设置隔声挡板</w:t>
      </w:r>
      <w:r>
        <w:rPr>
          <w:rFonts w:hint="default"/>
          <w:color w:val="auto"/>
          <w:lang w:eastAsia="zh-CN"/>
        </w:rPr>
        <w:t>，</w:t>
      </w:r>
      <w:r>
        <w:rPr>
          <w:rFonts w:hint="default"/>
          <w:color w:val="auto"/>
        </w:rPr>
        <w:t>此外在厂区四周设置围墙，同时进行厂区绿化。采取以上措施后，厂界</w:t>
      </w:r>
      <w:r>
        <w:rPr>
          <w:rFonts w:hint="default"/>
          <w:color w:val="auto"/>
          <w:lang w:eastAsia="zh-CN"/>
        </w:rPr>
        <w:t>噪声</w:t>
      </w:r>
      <w:r>
        <w:rPr>
          <w:rFonts w:hint="default"/>
          <w:color w:val="auto"/>
        </w:rPr>
        <w:t>可以</w:t>
      </w:r>
      <w:r>
        <w:rPr>
          <w:rFonts w:hint="default"/>
          <w:color w:val="auto"/>
          <w:lang w:eastAsia="zh-CN"/>
        </w:rPr>
        <w:t>达标</w:t>
      </w:r>
      <w:r>
        <w:rPr>
          <w:rFonts w:hint="default"/>
          <w:color w:val="auto"/>
        </w:rPr>
        <w:t>。</w:t>
      </w:r>
    </w:p>
    <w:p>
      <w:pPr>
        <w:pStyle w:val="33"/>
        <w:bidi w:val="0"/>
        <w:rPr>
          <w:rFonts w:hint="default"/>
          <w:color w:val="auto"/>
          <w:lang w:val="en-US" w:eastAsia="zh-CN"/>
        </w:rPr>
      </w:pPr>
      <w:r>
        <w:rPr>
          <w:rFonts w:hint="default"/>
          <w:color w:val="auto"/>
          <w:lang w:val="en-US" w:eastAsia="zh-CN"/>
        </w:rPr>
        <w:t>（5）固废污染防治措施</w:t>
      </w:r>
    </w:p>
    <w:p>
      <w:pPr>
        <w:pStyle w:val="33"/>
        <w:bidi w:val="0"/>
        <w:rPr>
          <w:rFonts w:hint="default"/>
          <w:color w:val="auto"/>
          <w:lang w:val="en-US" w:eastAsia="zh-CN"/>
        </w:rPr>
      </w:pPr>
      <w:r>
        <w:rPr>
          <w:rFonts w:hint="default"/>
          <w:color w:val="auto"/>
          <w:lang w:val="en-US" w:eastAsia="zh-CN"/>
        </w:rPr>
        <w:t>本项目</w:t>
      </w:r>
      <w:r>
        <w:rPr>
          <w:rFonts w:hint="default"/>
          <w:color w:val="auto"/>
          <w:lang w:eastAsia="zh-CN"/>
        </w:rPr>
        <w:t>固体废物主要</w:t>
      </w:r>
      <w:r>
        <w:rPr>
          <w:rFonts w:hint="default"/>
          <w:color w:val="auto"/>
          <w:lang w:val="en-US" w:eastAsia="zh-CN"/>
        </w:rPr>
        <w:t>为</w:t>
      </w:r>
      <w:r>
        <w:rPr>
          <w:rFonts w:hint="eastAsia"/>
          <w:color w:val="auto"/>
          <w:lang w:eastAsia="zh-CN"/>
        </w:rPr>
        <w:t>来自</w:t>
      </w:r>
      <w:r>
        <w:rPr>
          <w:rFonts w:hint="eastAsia"/>
          <w:color w:val="auto"/>
        </w:rPr>
        <w:t>精馏工序产生的</w:t>
      </w:r>
      <w:r>
        <w:rPr>
          <w:rFonts w:hint="eastAsia"/>
          <w:color w:val="auto"/>
          <w:lang w:val="en-US" w:eastAsia="zh-CN"/>
        </w:rPr>
        <w:t>反应釜残</w:t>
      </w:r>
      <w:r>
        <w:rPr>
          <w:rFonts w:hint="eastAsia"/>
          <w:color w:val="auto"/>
          <w:lang w:eastAsia="zh-CN"/>
        </w:rPr>
        <w:t>、</w:t>
      </w:r>
      <w:r>
        <w:rPr>
          <w:rFonts w:hint="eastAsia"/>
          <w:color w:val="auto"/>
          <w:lang w:val="en-US" w:eastAsia="zh-CN"/>
        </w:rPr>
        <w:t>废树脂、</w:t>
      </w:r>
      <w:r>
        <w:rPr>
          <w:rFonts w:hint="eastAsia"/>
          <w:color w:val="auto"/>
          <w:lang w:val="en-US" w:eastAsia="zh-Hans"/>
        </w:rPr>
        <w:t>废活性炭、废包装袋和</w:t>
      </w:r>
      <w:r>
        <w:rPr>
          <w:rFonts w:hint="default"/>
          <w:color w:val="auto"/>
          <w:lang w:val="en-US" w:eastAsia="zh-CN"/>
        </w:rPr>
        <w:t>生活垃圾</w:t>
      </w:r>
      <w:r>
        <w:rPr>
          <w:rFonts w:hint="default"/>
          <w:color w:val="auto"/>
          <w:lang w:eastAsia="zh-CN"/>
        </w:rPr>
        <w:t>。</w:t>
      </w:r>
      <w:r>
        <w:rPr>
          <w:rFonts w:hint="eastAsia"/>
          <w:color w:val="auto"/>
          <w:lang w:val="en-US" w:eastAsia="zh-CN"/>
        </w:rPr>
        <w:t>反应釜残</w:t>
      </w:r>
      <w:r>
        <w:rPr>
          <w:rFonts w:hint="eastAsia"/>
          <w:color w:val="auto"/>
          <w:lang w:eastAsia="zh-CN"/>
        </w:rPr>
        <w:t>、</w:t>
      </w:r>
      <w:r>
        <w:rPr>
          <w:rFonts w:hint="eastAsia"/>
          <w:color w:val="auto"/>
          <w:lang w:val="en-US" w:eastAsia="zh-CN"/>
        </w:rPr>
        <w:t>废树脂</w:t>
      </w:r>
      <w:r>
        <w:rPr>
          <w:rFonts w:hint="eastAsia"/>
          <w:color w:val="auto"/>
          <w:lang w:val="en-US" w:eastAsia="zh-Hans"/>
        </w:rPr>
        <w:t>和废活性炭属于危废，</w:t>
      </w:r>
      <w:r>
        <w:rPr>
          <w:rFonts w:hint="default"/>
          <w:color w:val="auto"/>
          <w:lang w:eastAsia="zh-CN"/>
        </w:rPr>
        <w:t>送有资质单位处置</w:t>
      </w:r>
      <w:r>
        <w:rPr>
          <w:rFonts w:hint="eastAsia"/>
          <w:color w:val="auto"/>
          <w:lang w:eastAsia="zh-Hans"/>
        </w:rPr>
        <w:t>；</w:t>
      </w:r>
      <w:r>
        <w:rPr>
          <w:rFonts w:hint="eastAsia"/>
          <w:color w:val="auto"/>
          <w:lang w:val="en-US" w:eastAsia="zh-Hans"/>
        </w:rPr>
        <w:t>废包装桶厂家回收利用；</w:t>
      </w:r>
      <w:r>
        <w:rPr>
          <w:rFonts w:hint="default"/>
          <w:color w:val="auto"/>
          <w:lang w:val="en-US" w:eastAsia="zh-CN"/>
        </w:rPr>
        <w:t>生活垃圾交环卫部门统一处理。</w:t>
      </w:r>
    </w:p>
    <w:p>
      <w:pPr>
        <w:pStyle w:val="31"/>
        <w:bidi w:val="0"/>
        <w:rPr>
          <w:rFonts w:hint="eastAsia"/>
          <w:color w:val="auto"/>
          <w:lang w:val="en-US" w:eastAsia="zh-CN"/>
        </w:rPr>
      </w:pPr>
      <w:bookmarkStart w:id="503" w:name="_Toc4304"/>
      <w:bookmarkStart w:id="504" w:name="_Toc21213"/>
      <w:r>
        <w:rPr>
          <w:rFonts w:hint="eastAsia"/>
          <w:color w:val="auto"/>
          <w:lang w:val="en-US" w:eastAsia="zh-CN"/>
        </w:rPr>
        <w:t>12.7环境影响经济损益分析结论</w:t>
      </w:r>
      <w:bookmarkEnd w:id="503"/>
      <w:bookmarkEnd w:id="504"/>
    </w:p>
    <w:p>
      <w:pPr>
        <w:pStyle w:val="33"/>
        <w:bidi w:val="0"/>
        <w:rPr>
          <w:rFonts w:hint="default"/>
          <w:color w:val="auto"/>
          <w:lang w:val="en-US" w:eastAsia="zh-CN"/>
        </w:rPr>
      </w:pPr>
      <w:bookmarkStart w:id="505" w:name="_Toc155187699"/>
      <w:r>
        <w:rPr>
          <w:rFonts w:hint="eastAsia"/>
          <w:color w:val="auto"/>
          <w:lang w:val="en-US" w:eastAsia="zh-CN"/>
        </w:rPr>
        <w:t>项目环保设施的正常运行，可明显提高项目资源利用率，减少污染物的排放，产生的经济效益可完全满足项目环保设施的运行费用，并且项目建设还可以带来明显的环境效益和社会效益。</w:t>
      </w:r>
    </w:p>
    <w:p>
      <w:pPr>
        <w:pStyle w:val="33"/>
        <w:bidi w:val="0"/>
        <w:rPr>
          <w:rFonts w:hint="default"/>
          <w:color w:val="auto"/>
          <w:lang w:val="en-US" w:eastAsia="zh-CN"/>
        </w:rPr>
      </w:pPr>
      <w:r>
        <w:rPr>
          <w:rFonts w:hint="eastAsia"/>
          <w:color w:val="auto"/>
          <w:lang w:val="en-US" w:eastAsia="zh-CN"/>
        </w:rPr>
        <w:t>因此，从环境经济角度来分析，本项目建设是可行的。</w:t>
      </w:r>
      <w:bookmarkEnd w:id="505"/>
    </w:p>
    <w:p>
      <w:pPr>
        <w:pStyle w:val="31"/>
        <w:bidi w:val="0"/>
        <w:rPr>
          <w:rFonts w:hint="eastAsia"/>
          <w:color w:val="auto"/>
          <w:lang w:val="en-US" w:eastAsia="zh-CN"/>
        </w:rPr>
      </w:pPr>
      <w:bookmarkStart w:id="506" w:name="_Toc29086"/>
      <w:bookmarkStart w:id="507" w:name="_Toc16533"/>
      <w:r>
        <w:rPr>
          <w:rFonts w:hint="eastAsia"/>
          <w:color w:val="auto"/>
          <w:lang w:val="en-US" w:eastAsia="zh-CN"/>
        </w:rPr>
        <w:t>12.8环境管理与监测计划</w:t>
      </w:r>
      <w:bookmarkEnd w:id="506"/>
      <w:bookmarkEnd w:id="507"/>
    </w:p>
    <w:p>
      <w:pPr>
        <w:pStyle w:val="33"/>
        <w:bidi w:val="0"/>
        <w:rPr>
          <w:color w:val="auto"/>
        </w:rPr>
      </w:pPr>
      <w:r>
        <w:rPr>
          <w:rFonts w:hint="eastAsia"/>
          <w:color w:val="auto"/>
        </w:rPr>
        <w:t>本项目成立了环境管理机构并配备了专职管理人员，提出了施工期环境监理措施；从废气、废水、噪声等方面制定了环境监测工作计划，为环境保护污染防治工作提供了科学依据。</w:t>
      </w:r>
    </w:p>
    <w:p>
      <w:pPr>
        <w:pStyle w:val="31"/>
        <w:bidi w:val="0"/>
        <w:rPr>
          <w:rFonts w:hint="eastAsia"/>
          <w:color w:val="auto"/>
          <w:lang w:val="en-US" w:eastAsia="zh-CN"/>
        </w:rPr>
      </w:pPr>
      <w:bookmarkStart w:id="508" w:name="_Toc32732"/>
      <w:bookmarkStart w:id="509" w:name="_Toc25833"/>
      <w:r>
        <w:rPr>
          <w:rFonts w:hint="eastAsia"/>
          <w:color w:val="auto"/>
          <w:lang w:val="en-US" w:eastAsia="zh-CN"/>
        </w:rPr>
        <w:t>12.9总结论</w:t>
      </w:r>
      <w:bookmarkEnd w:id="508"/>
      <w:bookmarkEnd w:id="509"/>
    </w:p>
    <w:p>
      <w:pPr>
        <w:pStyle w:val="33"/>
        <w:bidi w:val="0"/>
        <w:rPr>
          <w:rFonts w:ascii="Times New Roman" w:hAnsi="Times New Roman"/>
          <w:caps w:val="0"/>
          <w:smallCaps w:val="0"/>
          <w:color w:val="auto"/>
          <w:sz w:val="24"/>
          <w:szCs w:val="24"/>
        </w:rPr>
      </w:pPr>
      <w:r>
        <w:rPr>
          <w:rFonts w:ascii="Times New Roman" w:hAnsi="Times New Roman"/>
          <w:caps w:val="0"/>
          <w:smallCaps w:val="0"/>
          <w:color w:val="auto"/>
          <w:sz w:val="24"/>
          <w:szCs w:val="24"/>
        </w:rPr>
        <w:t>岳阳市凌峰化工有限公司</w:t>
      </w:r>
      <w:bookmarkStart w:id="510" w:name="_Toc304810347"/>
      <w:bookmarkStart w:id="511" w:name="_Toc299377581"/>
      <w:bookmarkStart w:id="512" w:name="_Toc302463861"/>
      <w:r>
        <w:rPr>
          <w:rFonts w:hint="eastAsia"/>
          <w:color w:val="auto"/>
        </w:rPr>
        <w:t>1.5万吨/年碳酸二甲酯及1万吨/醋酸甲酯项目</w:t>
      </w:r>
      <w:r>
        <w:rPr>
          <w:rFonts w:hint="eastAsia" w:ascii="Times New Roman" w:hAnsi="Times New Roman"/>
          <w:caps w:val="0"/>
          <w:smallCaps w:val="0"/>
          <w:color w:val="auto"/>
          <w:sz w:val="24"/>
          <w:szCs w:val="24"/>
        </w:rPr>
        <w:t>符合国家产业政策，项目选址符合云溪绿色化工产业园区总体规划，项目污染源治理措施可靠有效，污染物均能够达标排放，固体废物能得到合理处置，外排污染物对周围环境影响不大，可以满足当地的环境功能区划的要求；项目的风险在落实各项措施和加强管理的条件下，在可接受范围之内；污染物排放总量符合污染物总量控制要求，绝大多数公众支持该项目建设，项目具有良好的经济和社会效益。综上所述，在全面加强监督管理，执行环保</w:t>
      </w:r>
      <w:r>
        <w:rPr>
          <w:rFonts w:ascii="Times New Roman" w:hAnsi="Times New Roman"/>
          <w:caps w:val="0"/>
          <w:smallCaps w:val="0"/>
          <w:color w:val="auto"/>
          <w:sz w:val="24"/>
          <w:szCs w:val="24"/>
        </w:rPr>
        <w:t>“</w:t>
      </w:r>
      <w:r>
        <w:rPr>
          <w:rFonts w:hint="eastAsia" w:ascii="Times New Roman" w:hAnsi="Times New Roman"/>
          <w:caps w:val="0"/>
          <w:smallCaps w:val="0"/>
          <w:color w:val="auto"/>
          <w:sz w:val="24"/>
          <w:szCs w:val="24"/>
        </w:rPr>
        <w:t>三同时</w:t>
      </w:r>
      <w:r>
        <w:rPr>
          <w:rFonts w:ascii="Times New Roman" w:hAnsi="Times New Roman"/>
          <w:caps w:val="0"/>
          <w:smallCaps w:val="0"/>
          <w:color w:val="auto"/>
          <w:sz w:val="24"/>
          <w:szCs w:val="24"/>
        </w:rPr>
        <w:t>”</w:t>
      </w:r>
      <w:r>
        <w:rPr>
          <w:rFonts w:hint="eastAsia" w:ascii="Times New Roman" w:hAnsi="Times New Roman"/>
          <w:caps w:val="0"/>
          <w:smallCaps w:val="0"/>
          <w:color w:val="auto"/>
          <w:sz w:val="24"/>
          <w:szCs w:val="24"/>
        </w:rPr>
        <w:t>制度和认真落实各项环保措施的条件下，从环境保护角度分析，项目的建设是可行的。</w:t>
      </w:r>
      <w:bookmarkEnd w:id="510"/>
      <w:bookmarkEnd w:id="511"/>
      <w:bookmarkEnd w:id="512"/>
    </w:p>
    <w:p>
      <w:pPr>
        <w:pStyle w:val="31"/>
        <w:bidi w:val="0"/>
        <w:rPr>
          <w:rFonts w:hint="eastAsia"/>
          <w:color w:val="auto"/>
          <w:lang w:val="en-US" w:eastAsia="zh-CN"/>
        </w:rPr>
      </w:pPr>
      <w:bookmarkStart w:id="513" w:name="_Toc1139"/>
      <w:bookmarkStart w:id="514" w:name="_Toc28303"/>
      <w:r>
        <w:rPr>
          <w:rFonts w:hint="eastAsia"/>
          <w:color w:val="auto"/>
          <w:lang w:val="en-US" w:eastAsia="zh-CN"/>
        </w:rPr>
        <w:t>12.10建议</w:t>
      </w:r>
      <w:bookmarkEnd w:id="513"/>
      <w:bookmarkEnd w:id="514"/>
    </w:p>
    <w:p>
      <w:pPr>
        <w:pStyle w:val="33"/>
        <w:numPr>
          <w:ilvl w:val="0"/>
          <w:numId w:val="6"/>
        </w:numPr>
        <w:bidi w:val="0"/>
        <w:rPr>
          <w:rFonts w:hint="eastAsia"/>
          <w:color w:val="auto"/>
          <w:lang w:val="en-US" w:eastAsia="zh-CN"/>
        </w:rPr>
      </w:pPr>
      <w:r>
        <w:rPr>
          <w:rFonts w:hint="eastAsia"/>
          <w:color w:val="auto"/>
          <w:lang w:val="en-US" w:eastAsia="zh-CN"/>
        </w:rPr>
        <w:t>加强内部管理，努力杜绝非正常排放情况下的污染物排放，以减少对水体、大气等周围环境的影响</w:t>
      </w:r>
    </w:p>
    <w:p>
      <w:pPr>
        <w:pStyle w:val="33"/>
        <w:numPr>
          <w:ilvl w:val="0"/>
          <w:numId w:val="6"/>
        </w:numPr>
        <w:bidi w:val="0"/>
        <w:rPr>
          <w:rFonts w:hint="eastAsia"/>
          <w:color w:val="auto"/>
          <w:lang w:val="en-US" w:eastAsia="zh-CN"/>
        </w:rPr>
      </w:pPr>
      <w:r>
        <w:rPr>
          <w:rFonts w:hint="eastAsia"/>
          <w:color w:val="auto"/>
          <w:lang w:val="en-US" w:eastAsia="zh-CN"/>
        </w:rPr>
        <w:t>建立健全环保安全责任制，安排专人负责污染治理设施的维护、保养和使用，加强废气、废水治理设施的运行维护，确保各类污染防治设施能够正常运行。</w:t>
      </w:r>
    </w:p>
    <w:p>
      <w:pPr>
        <w:pStyle w:val="33"/>
        <w:numPr>
          <w:ilvl w:val="0"/>
          <w:numId w:val="6"/>
        </w:numPr>
        <w:bidi w:val="0"/>
        <w:rPr>
          <w:rFonts w:hint="eastAsia"/>
          <w:color w:val="auto"/>
          <w:lang w:val="en-US" w:eastAsia="zh-CN"/>
        </w:rPr>
      </w:pPr>
      <w:r>
        <w:rPr>
          <w:rFonts w:hint="eastAsia"/>
          <w:color w:val="auto"/>
          <w:lang w:val="en-US" w:eastAsia="zh-CN"/>
        </w:rPr>
        <w:t>在处理设施出现故障时应及时维修，确保处理设施正常运行;如短时间内无法修复，应立即安排停产检修。</w:t>
      </w:r>
    </w:p>
    <w:p>
      <w:pPr>
        <w:pStyle w:val="33"/>
        <w:numPr>
          <w:ilvl w:val="0"/>
          <w:numId w:val="6"/>
        </w:numPr>
        <w:bidi w:val="0"/>
        <w:rPr>
          <w:rFonts w:hint="default"/>
          <w:color w:val="auto"/>
          <w:lang w:val="en-US" w:eastAsia="zh-CN"/>
        </w:rPr>
      </w:pPr>
      <w:r>
        <w:rPr>
          <w:rFonts w:hint="eastAsia"/>
          <w:color w:val="auto"/>
          <w:lang w:val="en-US" w:eastAsia="zh-CN"/>
        </w:rPr>
        <w:t>建议项目废水排口、废气排放口及固废堆场应按照相应的环保规定及规范化整治要求完善；加强对化学品的妥善保管，制定严格的管理制度；对企业的设备维护应纳入平时的工作日程；全厂采用严格的管理制度进行监督。</w:t>
      </w:r>
    </w:p>
    <w:sectPr>
      <w:pgSz w:w="11906" w:h="16838"/>
      <w:pgMar w:top="1417" w:right="1304" w:bottom="1417" w:left="1304"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QR" w:date="2021-02-03T10:34:23Z" w:initials="Q">
    <w:p w14:paraId="13EE262C">
      <w:pPr>
        <w:pStyle w:val="10"/>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3EE262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2010600030101010101"/>
    <w:charset w:val="80"/>
    <w:family w:val="auto"/>
    <w:pitch w:val="default"/>
    <w:sig w:usb0="00000000" w:usb1="0000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Noto Sans Mono CJK JP Regular">
    <w:altName w:val="苹方-简"/>
    <w:panose1 w:val="00000000000000000000"/>
    <w:charset w:val="00"/>
    <w:family w:val="swiss"/>
    <w:pitch w:val="default"/>
    <w:sig w:usb0="00000000" w:usb1="00000000" w:usb2="00000000" w:usb3="00000000" w:csb0="00000000" w:csb1="00000000"/>
  </w:font>
  <w:font w:name="Calibri Light">
    <w:altName w:val="Helvetica Neue"/>
    <w:panose1 w:val="020F0302020204030204"/>
    <w:charset w:val="00"/>
    <w:family w:val="auto"/>
    <w:pitch w:val="default"/>
    <w:sig w:usb0="00000000" w:usb1="00000000" w:usb2="00000000" w:usb3="00000000" w:csb0="2000019F" w:csb1="00000000"/>
  </w:font>
  <w:font w:name="楷体">
    <w:altName w:val="汉仪楷体KW"/>
    <w:panose1 w:val="02010609060101010101"/>
    <w:charset w:val="86"/>
    <w:family w:val="auto"/>
    <w:pitch w:val="default"/>
    <w:sig w:usb0="00000000" w:usb1="00000000" w:usb2="00000016" w:usb3="00000000" w:csb0="00040001" w:csb1="00000000"/>
  </w:font>
  <w:font w:name="Segoe Print">
    <w:altName w:val="苹方-简"/>
    <w:panose1 w:val="02000600000000000000"/>
    <w:charset w:val="00"/>
    <w:family w:val="auto"/>
    <w:pitch w:val="default"/>
    <w:sig w:usb0="00000000" w:usb1="00000000" w:usb2="00000000" w:usb3="00000000" w:csb0="2000009F" w:csb1="47010000"/>
  </w:font>
  <w:font w:name="仿宋">
    <w:altName w:val="方正仿宋_GBK"/>
    <w:panose1 w:val="02010609060101010101"/>
    <w:charset w:val="86"/>
    <w:family w:val="auto"/>
    <w:pitch w:val="default"/>
    <w:sig w:usb0="00000000" w:usb1="00000000" w:usb2="00000016" w:usb3="00000000" w:csb0="00040001" w:csb1="00000000"/>
  </w:font>
  <w:font w:name="Arial Black">
    <w:panose1 w:val="020B0A04020102020204"/>
    <w:charset w:val="00"/>
    <w:family w:val="swiss"/>
    <w:pitch w:val="default"/>
    <w:sig w:usb0="00000287" w:usb1="00000000" w:usb2="00000000" w:usb3="00000000" w:csb0="2000009F" w:csb1="DFD70000"/>
  </w:font>
  <w:font w:name="仿宋_GB2312">
    <w:altName w:val="方正仿宋_GBK"/>
    <w:panose1 w:val="02010609030101010101"/>
    <w:charset w:val="86"/>
    <w:family w:val="modern"/>
    <w:pitch w:val="default"/>
    <w:sig w:usb0="00000000" w:usb1="00000000" w:usb2="00000000" w:usb3="00000000" w:csb0="00040000" w:csb1="00000000"/>
  </w:font>
  <w:font w:name="新宋体-18030">
    <w:altName w:val="苹方-简"/>
    <w:panose1 w:val="00000000000000000000"/>
    <w:charset w:val="00"/>
    <w:family w:val="auto"/>
    <w:pitch w:val="default"/>
    <w:sig w:usb0="00000000" w:usb1="00000000" w:usb2="00000000" w:usb3="00000000" w:csb0="00040001" w:csb1="00000000"/>
  </w:font>
  <w:font w:name="楷体_GB2312">
    <w:altName w:val="汉仪楷体简"/>
    <w:panose1 w:val="02010609030101010101"/>
    <w:charset w:val="86"/>
    <w:family w:val="modern"/>
    <w:pitch w:val="default"/>
    <w:sig w:usb0="00000000" w:usb1="00000000" w:usb2="00000000" w:usb3="00000000" w:csb0="00040000" w:csb1="00000000"/>
  </w:font>
  <w:font w:name="新宋体">
    <w:altName w:val="方正书宋_GBK"/>
    <w:panose1 w:val="02010609030101010101"/>
    <w:charset w:val="86"/>
    <w:family w:val="modern"/>
    <w:pitch w:val="default"/>
    <w:sig w:usb0="00000000" w:usb1="00000000" w:usb2="00000006" w:usb3="00000000" w:csb0="00040001" w:csb1="00000000"/>
  </w:font>
  <w:font w:name="Tms Rmn">
    <w:altName w:val="苹方-简"/>
    <w:panose1 w:val="02020603040505020304"/>
    <w:charset w:val="00"/>
    <w:family w:val="roman"/>
    <w:pitch w:val="default"/>
    <w:sig w:usb0="00000000" w:usb1="00000000" w:usb2="00000000" w:usb3="00000000" w:csb0="00000001" w:csb1="00000000"/>
  </w:font>
  <w:font w:name="MS Mincho">
    <w:altName w:val="Hiragino Sans"/>
    <w:panose1 w:val="02020609040205080304"/>
    <w:charset w:val="80"/>
    <w:family w:val="modern"/>
    <w:pitch w:val="default"/>
    <w:sig w:usb0="00000000" w:usb1="00000000" w:usb2="00000012" w:usb3="00000000" w:csb0="4002009F" w:csb1="DFD70000"/>
  </w:font>
  <w:font w:name="等线">
    <w:altName w:val="汉仪中等线KW"/>
    <w:panose1 w:val="02010600030101010101"/>
    <w:charset w:val="86"/>
    <w:family w:val="auto"/>
    <w:pitch w:val="default"/>
    <w:sig w:usb0="00000000" w:usb1="00000000" w:usb2="00000016" w:usb3="00000000" w:csb0="0004000F" w:csb1="00000000"/>
  </w:font>
  <w:font w:name="Cambria Math">
    <w:altName w:val="Kingsoft Math"/>
    <w:panose1 w:val="02040503050406030204"/>
    <w:charset w:val="00"/>
    <w:family w:val="roman"/>
    <w:pitch w:val="default"/>
    <w:sig w:usb0="00000000" w:usb1="00000000"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PMingLiU">
    <w:altName w:val="宋体-繁"/>
    <w:panose1 w:val="02020500000000000000"/>
    <w:charset w:val="88"/>
    <w:family w:val="roman"/>
    <w:pitch w:val="default"/>
    <w:sig w:usb0="00000000" w:usb1="00000000" w:usb2="00000016" w:usb3="00000000" w:csb0="00100001" w:csb1="00000000"/>
  </w:font>
  <w:font w:name="Noto Sans CJK JP Black">
    <w:altName w:val="苹方-简"/>
    <w:panose1 w:val="00000000000000000000"/>
    <w:charset w:val="00"/>
    <w:family w:val="swiss"/>
    <w:pitch w:val="default"/>
    <w:sig w:usb0="00000000" w:usb1="00000000" w:usb2="00000000" w:usb3="00000000" w:csb0="00040001" w:csb1="00000000"/>
  </w:font>
  <w:font w:name="Songti SC Regular">
    <w:panose1 w:val="02010800040101010101"/>
    <w:charset w:val="86"/>
    <w:family w:val="auto"/>
    <w:pitch w:val="default"/>
    <w:sig w:usb0="00000001" w:usb1="080F0000" w:usb2="00000000" w:usb3="00000000" w:csb0="00040000" w:csb1="00000000"/>
  </w:font>
  <w:font w:name="微软雅黑">
    <w:altName w:val="汉仪旗黑"/>
    <w:panose1 w:val="020B0503020204020204"/>
    <w:charset w:val="86"/>
    <w:family w:val="auto"/>
    <w:pitch w:val="default"/>
    <w:sig w:usb0="00000000" w:usb1="00000000" w:usb2="00000016" w:usb3="00000000" w:csb0="0004001F"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宋体-简">
    <w:panose1 w:val="02010800040101010101"/>
    <w:charset w:val="86"/>
    <w:family w:val="auto"/>
    <w:pitch w:val="default"/>
    <w:sig w:usb0="00000001" w:usb1="080F0000" w:usb2="00000000" w:usb3="00000000" w:csb0="00040000" w:csb1="00000000"/>
  </w:font>
  <w:font w:name="Kingsoft Math">
    <w:panose1 w:val="02040503050406030204"/>
    <w:charset w:val="00"/>
    <w:family w:val="auto"/>
    <w:pitch w:val="default"/>
    <w:sig w:usb0="80000087" w:usb1="00002068" w:usb2="00000000" w:usb3="00000000" w:csb0="2000019F"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楷体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楷体简">
    <w:panose1 w:val="02010600000101010101"/>
    <w:charset w:val="86"/>
    <w:family w:val="auto"/>
    <w:pitch w:val="default"/>
    <w:sig w:usb0="00000001" w:usb1="080E0800" w:usb2="00000002" w:usb3="00000000" w:csb0="00040000" w:csb1="00000000"/>
  </w:font>
  <w:font w:name="Hiragino Sans">
    <w:panose1 w:val="020B0300000000000000"/>
    <w:charset w:val="80"/>
    <w:family w:val="auto"/>
    <w:pitch w:val="default"/>
    <w:sig w:usb0="E00002FF" w:usb1="7AE7FFFF" w:usb2="00000012" w:usb3="00000000" w:csb0="0002000D" w:csb1="00000000"/>
  </w:font>
  <w:font w:name="汉仪中等线KW">
    <w:panose1 w:val="01010104010101010101"/>
    <w:charset w:val="86"/>
    <w:family w:val="auto"/>
    <w:pitch w:val="default"/>
    <w:sig w:usb0="800002BF" w:usb1="004F7CFA" w:usb2="00000000" w:usb3="00000000" w:csb0="00040001" w:csb1="00000000"/>
  </w:font>
  <w:font w:name="宋体-繁">
    <w:panose1 w:val="02010600040101010101"/>
    <w:charset w:val="86"/>
    <w:family w:val="auto"/>
    <w:pitch w:val="default"/>
    <w:sig w:usb0="00000287" w:usb1="080F0000" w:usb2="00000000" w:usb3="00000000" w:csb0="0004009F" w:csb1="DFD70000"/>
  </w:font>
  <w:font w:name="汉仪旗黑">
    <w:panose1 w:val="00020600040101010101"/>
    <w:charset w:val="86"/>
    <w:family w:val="auto"/>
    <w:pitch w:val="default"/>
    <w:sig w:usb0="A00002BF" w:usb1="1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- 1 -</w:t>
                          </w:r>
                          <w:r>
                            <w:fldChar w:fldCharType="end"/>
                          </w:r>
                        </w:p>
                      </w:txbxContent>
                    </wps:txbx>
                    <wps:bodyPr vert="horz" wrap="none" lIns="0" tIns="0" rIns="0" bIns="0" anchor="t" upright="0">
                      <a:spAutoFit/>
                    </wps:bodyPr>
                  </wps:wsp>
                </a:graphicData>
              </a:graphic>
            </wp:anchor>
          </w:drawing>
        </mc:Choice>
        <mc:Fallback>
          <w:pict>
            <v:shape id="文本框 205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zql5uc8AAAAFAQAADwAAAAAAAAABACAAAAA4AAAA&#10;ZHJzL2Rvd25yZXYueG1sUEsBAhQAFAAAAAgAh07iQDr7aH7BAQAAZgMAAA4AAAAAAAAAAQAgAAAA&#10;NAEAAGRycy9lMm9Eb2MueG1sUEsFBgAAAAAGAAYAWQEAAGc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20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- 18 -</w:t>
                          </w:r>
                          <w:r>
                            <w:fldChar w:fldCharType="end"/>
                          </w:r>
                        </w:p>
                      </w:txbxContent>
                    </wps:txbx>
                    <wps:bodyPr vert="horz" wrap="none" lIns="0" tIns="0" rIns="0" bIns="0" anchor="t" upright="0">
                      <a:spAutoFit/>
                    </wps:bodyPr>
                  </wps:wsp>
                </a:graphicData>
              </a:graphic>
            </wp:anchor>
          </w:drawing>
        </mc:Choice>
        <mc:Fallback>
          <w:pict>
            <v:shape id="文本框 206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DOqXm5zwAAAAUBAAAPAAAAAAAAAAEAIAAAADgAAABk&#10;cnMvZG93bnJldi54bWxQSwECFAAUAAAACACHTuJA2ZdFzcABAABmAwAADgAAAAAAAAABACAAAAA0&#10;AQAAZHJzL2Uyb0RvYy54bWxQSwUGAAAAAAYABgBZAQAAZg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- 18 -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20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- 181 -</w:t>
                          </w:r>
                          <w:r>
                            <w:fldChar w:fldCharType="end"/>
                          </w:r>
                        </w:p>
                      </w:txbxContent>
                    </wps:txbx>
                    <wps:bodyPr vert="horz" wrap="none" lIns="0" tIns="0" rIns="0" bIns="0" anchor="t" upright="0">
                      <a:spAutoFit/>
                    </wps:bodyPr>
                  </wps:wsp>
                </a:graphicData>
              </a:graphic>
            </wp:anchor>
          </w:drawing>
        </mc:Choice>
        <mc:Fallback>
          <w:pict>
            <v:shape id="文本框 206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&#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DOqXm5zwAAAAUBAAAPAAAAAAAAAAEAIAAAADgAAABk&#10;cnMvZG93bnJldi54bWxQSwECFAAUAAAACACHTuJApbIPn8ABAABmAwAADgAAAAAAAAABACAAAAA0&#10;AQAAZHJzL2Uyb0RvYy54bWxQSwUGAAAAAAYABgBZAQAAZg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- 181 -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20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- 214 -</w:t>
                          </w:r>
                          <w:r>
                            <w:fldChar w:fldCharType="end"/>
                          </w:r>
                        </w:p>
                      </w:txbxContent>
                    </wps:txbx>
                    <wps:bodyPr vert="horz" wrap="none" lIns="0" tIns="0" rIns="0" bIns="0" anchor="t" upright="0">
                      <a:spAutoFit/>
                    </wps:bodyPr>
                  </wps:wsp>
                </a:graphicData>
              </a:graphic>
            </wp:anchor>
          </w:drawing>
        </mc:Choice>
        <mc:Fallback>
          <w:pict>
            <v:shape id="文本框 206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&#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DOqXm5zwAAAAUBAAAPAAAAAAAAAAEAIAAAADgAAABk&#10;cnMvZG93bnJldi54bWxQSwECFAAUAAAACACHTuJAF1zQpMABAABmAwAADgAAAAAAAAABACAAAAA0&#10;AQAAZHJzL2Uyb0RvYy54bWxQSwUGAAAAAAYABgBZAQAAZg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- 214 -</w:t>
                    </w:r>
                    <w:r>
                      <w:fldChar w:fldCharType="end"/>
                    </w:r>
                  </w:p>
                </w:txbxContent>
              </v:textbox>
            </v:shape>
          </w:pict>
        </mc:Fallback>
      </mc:AlternateContent>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s>
      <w:snapToGrid w:val="0"/>
      <w:ind w:right="360"/>
      <w:jc w:val="center"/>
      <w:rPr>
        <w:rFonts w:ascii="楷体" w:hAnsi="楷体" w:eastAsia="楷体" w:cs="Times New Roman"/>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tabs>
        <w:tab w:val="clear" w:pos="8306"/>
      </w:tabs>
      <w:ind w:right="360"/>
      <w:rPr>
        <w:rFonts w:ascii="楷体" w:hAnsi="楷体" w:eastAsia="楷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3B40E0"/>
    <w:multiLevelType w:val="singleLevel"/>
    <w:tmpl w:val="AC3B40E0"/>
    <w:lvl w:ilvl="0" w:tentative="0">
      <w:start w:val="1"/>
      <w:numFmt w:val="decimal"/>
      <w:suff w:val="nothing"/>
      <w:lvlText w:val="（%1）"/>
      <w:lvlJc w:val="left"/>
    </w:lvl>
  </w:abstractNum>
  <w:abstractNum w:abstractNumId="1">
    <w:nsid w:val="CB1A95FA"/>
    <w:multiLevelType w:val="singleLevel"/>
    <w:tmpl w:val="CB1A95FA"/>
    <w:lvl w:ilvl="0" w:tentative="0">
      <w:start w:val="1"/>
      <w:numFmt w:val="decimal"/>
      <w:lvlText w:val="(%1)"/>
      <w:lvlJc w:val="left"/>
      <w:pPr>
        <w:tabs>
          <w:tab w:val="left" w:pos="312"/>
        </w:tabs>
      </w:pPr>
    </w:lvl>
  </w:abstractNum>
  <w:abstractNum w:abstractNumId="2">
    <w:nsid w:val="D63ABE17"/>
    <w:multiLevelType w:val="singleLevel"/>
    <w:tmpl w:val="D63ABE17"/>
    <w:lvl w:ilvl="0" w:tentative="0">
      <w:start w:val="1"/>
      <w:numFmt w:val="decimal"/>
      <w:lvlText w:val="(%1)"/>
      <w:lvlJc w:val="left"/>
      <w:pPr>
        <w:tabs>
          <w:tab w:val="left" w:pos="312"/>
        </w:tabs>
      </w:pPr>
    </w:lvl>
  </w:abstractNum>
  <w:abstractNum w:abstractNumId="3">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45"/>
      <w:lvlText w:val="%3."/>
      <w:lvlJc w:val="right"/>
      <w:pPr>
        <w:tabs>
          <w:tab w:val="left" w:pos="1260"/>
        </w:tabs>
        <w:ind w:left="1260" w:hanging="420"/>
      </w:pPr>
    </w:lvl>
    <w:lvl w:ilvl="3" w:tentative="0">
      <w:start w:val="1"/>
      <w:numFmt w:val="decimal"/>
      <w:pStyle w:val="4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A1690DA"/>
    <w:multiLevelType w:val="singleLevel"/>
    <w:tmpl w:val="5A1690DA"/>
    <w:lvl w:ilvl="0" w:tentative="0">
      <w:start w:val="1"/>
      <w:numFmt w:val="decimal"/>
      <w:suff w:val="nothing"/>
      <w:lvlText w:val="（%1）"/>
      <w:lvlJc w:val="left"/>
    </w:lvl>
  </w:abstractNum>
  <w:abstractNum w:abstractNumId="5">
    <w:nsid w:val="5AC48849"/>
    <w:multiLevelType w:val="singleLevel"/>
    <w:tmpl w:val="5AC48849"/>
    <w:lvl w:ilvl="0" w:tentative="0">
      <w:start w:val="4"/>
      <w:numFmt w:val="decimal"/>
      <w:suff w:val="nothing"/>
      <w:lvlText w:val="（%1）"/>
      <w:lvlJc w:val="left"/>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R">
    <w15:presenceInfo w15:providerId="None" w15:userId="Q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val="0"/>
  <w:bordersDoNotSurroundFooter w:val="0"/>
  <w:documentProtection w:enforcement="0"/>
  <w:defaultTabStop w:val="21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D04E0"/>
    <w:rsid w:val="006D36BE"/>
    <w:rsid w:val="009F2377"/>
    <w:rsid w:val="00AB119E"/>
    <w:rsid w:val="01113E8B"/>
    <w:rsid w:val="01261981"/>
    <w:rsid w:val="016D14CB"/>
    <w:rsid w:val="02321C6E"/>
    <w:rsid w:val="025C457B"/>
    <w:rsid w:val="02D44A39"/>
    <w:rsid w:val="02FE3257"/>
    <w:rsid w:val="036A646D"/>
    <w:rsid w:val="037908E0"/>
    <w:rsid w:val="03A9018D"/>
    <w:rsid w:val="03AD74B6"/>
    <w:rsid w:val="03E70D28"/>
    <w:rsid w:val="04AD682F"/>
    <w:rsid w:val="04BD035E"/>
    <w:rsid w:val="04C2001C"/>
    <w:rsid w:val="04F45035"/>
    <w:rsid w:val="064A55A2"/>
    <w:rsid w:val="071F6D38"/>
    <w:rsid w:val="08FD6C6F"/>
    <w:rsid w:val="092C16B2"/>
    <w:rsid w:val="09646E41"/>
    <w:rsid w:val="09C21C09"/>
    <w:rsid w:val="09E3568B"/>
    <w:rsid w:val="0BB16BC8"/>
    <w:rsid w:val="0C786017"/>
    <w:rsid w:val="0DB4661F"/>
    <w:rsid w:val="0DB91F0C"/>
    <w:rsid w:val="0E3741E4"/>
    <w:rsid w:val="0E8661E1"/>
    <w:rsid w:val="0F325FB0"/>
    <w:rsid w:val="0F572884"/>
    <w:rsid w:val="0F9D27CE"/>
    <w:rsid w:val="0FA6211A"/>
    <w:rsid w:val="0FB477D5"/>
    <w:rsid w:val="108B7FC1"/>
    <w:rsid w:val="114A4ECD"/>
    <w:rsid w:val="11891381"/>
    <w:rsid w:val="119553EB"/>
    <w:rsid w:val="1266078A"/>
    <w:rsid w:val="12F17615"/>
    <w:rsid w:val="137D0D29"/>
    <w:rsid w:val="13842B29"/>
    <w:rsid w:val="13C65FA3"/>
    <w:rsid w:val="14D10C93"/>
    <w:rsid w:val="14F07E0F"/>
    <w:rsid w:val="158B2D09"/>
    <w:rsid w:val="16267D4B"/>
    <w:rsid w:val="162767DC"/>
    <w:rsid w:val="16E210A5"/>
    <w:rsid w:val="17332DA2"/>
    <w:rsid w:val="17560063"/>
    <w:rsid w:val="18167B43"/>
    <w:rsid w:val="18C24801"/>
    <w:rsid w:val="18D50C41"/>
    <w:rsid w:val="18E663C8"/>
    <w:rsid w:val="19FC3E81"/>
    <w:rsid w:val="1A4409CD"/>
    <w:rsid w:val="1A537537"/>
    <w:rsid w:val="1A845631"/>
    <w:rsid w:val="1BBA0CAF"/>
    <w:rsid w:val="1BCD2F90"/>
    <w:rsid w:val="1C4E0266"/>
    <w:rsid w:val="1C4E1D84"/>
    <w:rsid w:val="1C6A3B68"/>
    <w:rsid w:val="1C8A0F79"/>
    <w:rsid w:val="1CAD3EE0"/>
    <w:rsid w:val="1CE80F8F"/>
    <w:rsid w:val="1E876FB1"/>
    <w:rsid w:val="1F0675C6"/>
    <w:rsid w:val="1F1156FD"/>
    <w:rsid w:val="1F26422E"/>
    <w:rsid w:val="1F333540"/>
    <w:rsid w:val="1FBC0B4C"/>
    <w:rsid w:val="1FC21855"/>
    <w:rsid w:val="216552AB"/>
    <w:rsid w:val="21DD4C57"/>
    <w:rsid w:val="22080AEE"/>
    <w:rsid w:val="232A7C8B"/>
    <w:rsid w:val="23FB069F"/>
    <w:rsid w:val="24E25480"/>
    <w:rsid w:val="267F32E2"/>
    <w:rsid w:val="267F53A0"/>
    <w:rsid w:val="278D4497"/>
    <w:rsid w:val="27F83018"/>
    <w:rsid w:val="28A05C6C"/>
    <w:rsid w:val="292B753F"/>
    <w:rsid w:val="296440B1"/>
    <w:rsid w:val="2A72308C"/>
    <w:rsid w:val="2AA217B3"/>
    <w:rsid w:val="2ACB6DF0"/>
    <w:rsid w:val="2B326212"/>
    <w:rsid w:val="2B62016C"/>
    <w:rsid w:val="2BF27CA4"/>
    <w:rsid w:val="2DA5034C"/>
    <w:rsid w:val="2DB84C1B"/>
    <w:rsid w:val="2DEF66D6"/>
    <w:rsid w:val="2E9119B6"/>
    <w:rsid w:val="2EB242AF"/>
    <w:rsid w:val="2F9A22EE"/>
    <w:rsid w:val="2FAB2F88"/>
    <w:rsid w:val="301A4779"/>
    <w:rsid w:val="30FA0884"/>
    <w:rsid w:val="313207A5"/>
    <w:rsid w:val="31B91D8E"/>
    <w:rsid w:val="32E12C1D"/>
    <w:rsid w:val="332A49DE"/>
    <w:rsid w:val="332F6533"/>
    <w:rsid w:val="33797695"/>
    <w:rsid w:val="33F6453A"/>
    <w:rsid w:val="34B03A5C"/>
    <w:rsid w:val="34FB3D02"/>
    <w:rsid w:val="35A97E2D"/>
    <w:rsid w:val="35CE7B62"/>
    <w:rsid w:val="37BA1D9D"/>
    <w:rsid w:val="388642D3"/>
    <w:rsid w:val="38A13C9A"/>
    <w:rsid w:val="38A3684D"/>
    <w:rsid w:val="38A91003"/>
    <w:rsid w:val="38CD0976"/>
    <w:rsid w:val="38E11794"/>
    <w:rsid w:val="391057A7"/>
    <w:rsid w:val="39324539"/>
    <w:rsid w:val="394830DB"/>
    <w:rsid w:val="39870A91"/>
    <w:rsid w:val="39C51DFC"/>
    <w:rsid w:val="3A0343DA"/>
    <w:rsid w:val="3ADD6C28"/>
    <w:rsid w:val="3ADE7029"/>
    <w:rsid w:val="3CF013C2"/>
    <w:rsid w:val="3D5E65E9"/>
    <w:rsid w:val="3E9B2D7E"/>
    <w:rsid w:val="3F733935"/>
    <w:rsid w:val="3FAE49B9"/>
    <w:rsid w:val="3FF34826"/>
    <w:rsid w:val="417258CE"/>
    <w:rsid w:val="41904BA6"/>
    <w:rsid w:val="41B4530B"/>
    <w:rsid w:val="41DE2C93"/>
    <w:rsid w:val="41E46F76"/>
    <w:rsid w:val="421B52D2"/>
    <w:rsid w:val="42357F8C"/>
    <w:rsid w:val="42557D16"/>
    <w:rsid w:val="438D487D"/>
    <w:rsid w:val="443F50FC"/>
    <w:rsid w:val="459D7807"/>
    <w:rsid w:val="461A4091"/>
    <w:rsid w:val="463642A1"/>
    <w:rsid w:val="46B604A0"/>
    <w:rsid w:val="46CA5B77"/>
    <w:rsid w:val="474344C8"/>
    <w:rsid w:val="474E3FBA"/>
    <w:rsid w:val="475F1632"/>
    <w:rsid w:val="47D329CC"/>
    <w:rsid w:val="49B76644"/>
    <w:rsid w:val="49E55088"/>
    <w:rsid w:val="49F15E73"/>
    <w:rsid w:val="4ACF7C9A"/>
    <w:rsid w:val="4B4737B6"/>
    <w:rsid w:val="4B47618E"/>
    <w:rsid w:val="4B973584"/>
    <w:rsid w:val="4BE73E1D"/>
    <w:rsid w:val="4BED3951"/>
    <w:rsid w:val="4CB85948"/>
    <w:rsid w:val="4CF308BC"/>
    <w:rsid w:val="4D2372B8"/>
    <w:rsid w:val="4D3A722A"/>
    <w:rsid w:val="4DB04E9B"/>
    <w:rsid w:val="4E6517A6"/>
    <w:rsid w:val="4E9E11D9"/>
    <w:rsid w:val="4EBD614D"/>
    <w:rsid w:val="4F505AFD"/>
    <w:rsid w:val="4F9E1373"/>
    <w:rsid w:val="4FA552EB"/>
    <w:rsid w:val="4FE3766C"/>
    <w:rsid w:val="4FE609FC"/>
    <w:rsid w:val="50265A0A"/>
    <w:rsid w:val="50447577"/>
    <w:rsid w:val="50940E37"/>
    <w:rsid w:val="50946544"/>
    <w:rsid w:val="50D34CB0"/>
    <w:rsid w:val="50E31DF4"/>
    <w:rsid w:val="520764E2"/>
    <w:rsid w:val="521F7186"/>
    <w:rsid w:val="526A352D"/>
    <w:rsid w:val="52EF2996"/>
    <w:rsid w:val="53A32DB6"/>
    <w:rsid w:val="54EE5E9E"/>
    <w:rsid w:val="54F06622"/>
    <w:rsid w:val="55044EB9"/>
    <w:rsid w:val="56496996"/>
    <w:rsid w:val="57647F7E"/>
    <w:rsid w:val="57BB218C"/>
    <w:rsid w:val="58BB0CB4"/>
    <w:rsid w:val="59277B6C"/>
    <w:rsid w:val="594659F3"/>
    <w:rsid w:val="59E84642"/>
    <w:rsid w:val="5A2F617F"/>
    <w:rsid w:val="5AC71941"/>
    <w:rsid w:val="5AFD53BB"/>
    <w:rsid w:val="5B0634E4"/>
    <w:rsid w:val="5B4B5DC8"/>
    <w:rsid w:val="5BF56299"/>
    <w:rsid w:val="5C941E0D"/>
    <w:rsid w:val="5CEF0FB3"/>
    <w:rsid w:val="5E010006"/>
    <w:rsid w:val="5E56555C"/>
    <w:rsid w:val="5F0E726C"/>
    <w:rsid w:val="5F3151A3"/>
    <w:rsid w:val="5FE7A8B2"/>
    <w:rsid w:val="600E11D7"/>
    <w:rsid w:val="603F19C4"/>
    <w:rsid w:val="609F2372"/>
    <w:rsid w:val="610304FB"/>
    <w:rsid w:val="620C3893"/>
    <w:rsid w:val="6269535B"/>
    <w:rsid w:val="63255F48"/>
    <w:rsid w:val="63971DDC"/>
    <w:rsid w:val="6436092D"/>
    <w:rsid w:val="64C37842"/>
    <w:rsid w:val="64DA3649"/>
    <w:rsid w:val="66401ACC"/>
    <w:rsid w:val="664B58F8"/>
    <w:rsid w:val="67455DE4"/>
    <w:rsid w:val="67E74D3D"/>
    <w:rsid w:val="67EE0851"/>
    <w:rsid w:val="68374FF7"/>
    <w:rsid w:val="692D1948"/>
    <w:rsid w:val="69AC5E0C"/>
    <w:rsid w:val="6A284CBA"/>
    <w:rsid w:val="6A4B75CC"/>
    <w:rsid w:val="6B3554C2"/>
    <w:rsid w:val="6B7F6424"/>
    <w:rsid w:val="6B9557EC"/>
    <w:rsid w:val="6BB51690"/>
    <w:rsid w:val="6BEA2CC9"/>
    <w:rsid w:val="6CA45DDF"/>
    <w:rsid w:val="6CAB37AC"/>
    <w:rsid w:val="6DEA34E5"/>
    <w:rsid w:val="6EDE2923"/>
    <w:rsid w:val="6EEF6138"/>
    <w:rsid w:val="6EF02B23"/>
    <w:rsid w:val="6EF519F0"/>
    <w:rsid w:val="6F086BF5"/>
    <w:rsid w:val="70025BCD"/>
    <w:rsid w:val="702A1A52"/>
    <w:rsid w:val="7063704F"/>
    <w:rsid w:val="70D77AC2"/>
    <w:rsid w:val="717E6D98"/>
    <w:rsid w:val="71970C91"/>
    <w:rsid w:val="71DA28A9"/>
    <w:rsid w:val="71ED2DDF"/>
    <w:rsid w:val="7245108F"/>
    <w:rsid w:val="72D94415"/>
    <w:rsid w:val="735D7A3B"/>
    <w:rsid w:val="738D1BD5"/>
    <w:rsid w:val="73A80D11"/>
    <w:rsid w:val="73B46B28"/>
    <w:rsid w:val="73BC400B"/>
    <w:rsid w:val="73D44874"/>
    <w:rsid w:val="73D84D8D"/>
    <w:rsid w:val="75716772"/>
    <w:rsid w:val="7740496C"/>
    <w:rsid w:val="77B72F2A"/>
    <w:rsid w:val="77C31695"/>
    <w:rsid w:val="785F2102"/>
    <w:rsid w:val="78916CF7"/>
    <w:rsid w:val="79550D0C"/>
    <w:rsid w:val="7B802EA9"/>
    <w:rsid w:val="7C3E76A0"/>
    <w:rsid w:val="7C9625C9"/>
    <w:rsid w:val="7C9E266F"/>
    <w:rsid w:val="7CB7535E"/>
    <w:rsid w:val="7CF671C6"/>
    <w:rsid w:val="7F1B1E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4"/>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4"/>
    <w:unhideWhenUsed/>
    <w:qFormat/>
    <w:uiPriority w:val="0"/>
    <w:pPr>
      <w:keepNext/>
      <w:keepLines/>
      <w:spacing w:before="260" w:beforeLines="0" w:beforeAutospacing="0" w:after="260" w:afterLines="0" w:afterAutospacing="0" w:line="413" w:lineRule="auto"/>
      <w:outlineLvl w:val="2"/>
    </w:pPr>
    <w:rPr>
      <w:b/>
      <w:sz w:val="32"/>
    </w:rPr>
  </w:style>
  <w:style w:type="paragraph" w:styleId="7">
    <w:name w:val="heading 4"/>
    <w:basedOn w:val="1"/>
    <w:next w:val="1"/>
    <w:qFormat/>
    <w:uiPriority w:val="9"/>
    <w:pPr>
      <w:keepNext/>
      <w:keepLines/>
      <w:adjustRightInd w:val="0"/>
      <w:snapToGrid w:val="0"/>
      <w:spacing w:line="360" w:lineRule="auto"/>
      <w:jc w:val="left"/>
      <w:outlineLvl w:val="3"/>
    </w:pPr>
    <w:rPr>
      <w:rFonts w:ascii="Times New Roman" w:hAnsi="Times New Roman" w:eastAsia="宋体" w:cs="Times New Roman"/>
      <w:bCs/>
      <w:sz w:val="24"/>
      <w:szCs w:val="28"/>
    </w:rPr>
  </w:style>
  <w:style w:type="character" w:default="1" w:styleId="21">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ascii="Times New Roman" w:hAnsi="Times New Roman" w:eastAsia="宋体" w:cs="Times New Roman"/>
      <w:sz w:val="20"/>
      <w:szCs w:val="20"/>
    </w:rPr>
  </w:style>
  <w:style w:type="paragraph" w:styleId="4">
    <w:name w:val="Body Text First Indent"/>
    <w:basedOn w:val="2"/>
    <w:qFormat/>
    <w:uiPriority w:val="0"/>
    <w:pPr>
      <w:adjustRightInd w:val="0"/>
      <w:snapToGrid w:val="0"/>
      <w:spacing w:line="360" w:lineRule="auto"/>
      <w:ind w:firstLine="200" w:firstLineChars="200"/>
    </w:pPr>
    <w:rPr>
      <w:sz w:val="24"/>
    </w:rPr>
  </w:style>
  <w:style w:type="paragraph" w:styleId="8">
    <w:name w:val="Normal Indent"/>
    <w:basedOn w:val="1"/>
    <w:qFormat/>
    <w:uiPriority w:val="0"/>
    <w:pPr>
      <w:adjustRightInd w:val="0"/>
      <w:spacing w:line="312" w:lineRule="atLeast"/>
      <w:ind w:firstLine="420"/>
      <w:textAlignment w:val="baseline"/>
    </w:pPr>
    <w:rPr>
      <w:rFonts w:ascii="Times New Roman" w:hAnsi="Times New Roman" w:eastAsia="宋体" w:cs="Times New Roman"/>
      <w:sz w:val="20"/>
      <w:szCs w:val="20"/>
    </w:rPr>
  </w:style>
  <w:style w:type="paragraph" w:styleId="9">
    <w:name w:val="caption"/>
    <w:basedOn w:val="1"/>
    <w:next w:val="1"/>
    <w:qFormat/>
    <w:uiPriority w:val="0"/>
    <w:pPr>
      <w:adjustRightInd w:val="0"/>
      <w:snapToGrid w:val="0"/>
      <w:jc w:val="center"/>
    </w:pPr>
    <w:rPr>
      <w:rFonts w:ascii="Times New Roman" w:hAnsi="Times New Roman" w:eastAsia="宋体" w:cs="Times New Roman"/>
      <w:b/>
      <w:sz w:val="24"/>
      <w:szCs w:val="20"/>
    </w:rPr>
  </w:style>
  <w:style w:type="paragraph" w:styleId="10">
    <w:name w:val="annotation text"/>
    <w:basedOn w:val="1"/>
    <w:qFormat/>
    <w:uiPriority w:val="0"/>
    <w:pPr>
      <w:jc w:val="left"/>
    </w:pPr>
  </w:style>
  <w:style w:type="paragraph" w:styleId="11">
    <w:name w:val="Body Text Indent"/>
    <w:basedOn w:val="1"/>
    <w:next w:val="12"/>
    <w:qFormat/>
    <w:uiPriority w:val="0"/>
    <w:pPr>
      <w:spacing w:after="120"/>
      <w:ind w:left="420" w:leftChars="200"/>
    </w:pPr>
    <w:rPr>
      <w:rFonts w:ascii="Times New Roman" w:hAnsi="Times New Roman" w:eastAsia="宋体" w:cs="Times New Roman"/>
      <w:spacing w:val="62"/>
      <w:sz w:val="24"/>
      <w:szCs w:val="20"/>
    </w:rPr>
  </w:style>
  <w:style w:type="paragraph" w:styleId="12">
    <w:name w:val="Body Text First Indent 2"/>
    <w:basedOn w:val="11"/>
    <w:next w:val="4"/>
    <w:qFormat/>
    <w:uiPriority w:val="0"/>
    <w:pPr>
      <w:ind w:firstLine="420" w:firstLineChars="200"/>
    </w:pPr>
    <w:rPr>
      <w:spacing w:val="0"/>
      <w:sz w:val="21"/>
      <w:szCs w:val="24"/>
    </w:rPr>
  </w:style>
  <w:style w:type="paragraph" w:styleId="13">
    <w:name w:val="Block Text"/>
    <w:basedOn w:val="1"/>
    <w:qFormat/>
    <w:uiPriority w:val="0"/>
    <w:pPr>
      <w:spacing w:after="120"/>
      <w:ind w:left="1440" w:leftChars="700" w:right="1440" w:rightChars="700"/>
    </w:pPr>
  </w:style>
  <w:style w:type="paragraph" w:styleId="14">
    <w:name w:val="toc 3"/>
    <w:basedOn w:val="1"/>
    <w:next w:val="1"/>
    <w:qFormat/>
    <w:uiPriority w:val="0"/>
    <w:pPr>
      <w:ind w:left="840" w:leftChars="400"/>
    </w:pPr>
    <w:rPr>
      <w:rFonts w:ascii="Times New Roman" w:hAnsi="Times New Roman" w:eastAsia="仿宋"/>
    </w:rPr>
  </w:style>
  <w:style w:type="paragraph" w:styleId="15">
    <w:name w:val="Plain Text"/>
    <w:basedOn w:val="1"/>
    <w:qFormat/>
    <w:uiPriority w:val="0"/>
    <w:rPr>
      <w:rFonts w:ascii="宋体" w:hAnsi="Courier New" w:eastAsia="宋体" w:cs="Times New Roman"/>
      <w:sz w:val="20"/>
      <w:szCs w:val="20"/>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next w:val="13"/>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8">
    <w:name w:val="toc 1"/>
    <w:basedOn w:val="1"/>
    <w:next w:val="1"/>
    <w:qFormat/>
    <w:uiPriority w:val="39"/>
    <w:pPr>
      <w:spacing w:before="120" w:after="120"/>
      <w:jc w:val="left"/>
    </w:pPr>
    <w:rPr>
      <w:rFonts w:ascii="Times New Roman" w:hAnsi="Times New Roman" w:eastAsia="宋体"/>
      <w:b/>
      <w:bCs/>
      <w:caps/>
      <w:sz w:val="28"/>
      <w:szCs w:val="20"/>
    </w:rPr>
  </w:style>
  <w:style w:type="paragraph" w:styleId="19">
    <w:name w:val="toc 2"/>
    <w:basedOn w:val="1"/>
    <w:next w:val="1"/>
    <w:qFormat/>
    <w:uiPriority w:val="39"/>
    <w:pPr>
      <w:ind w:left="420" w:leftChars="200"/>
    </w:pPr>
    <w:rPr>
      <w:rFonts w:ascii="Times New Roman" w:hAnsi="Times New Roman" w:eastAsia="仿宋"/>
      <w:sz w:val="24"/>
    </w:rPr>
  </w:style>
  <w:style w:type="paragraph" w:styleId="20">
    <w:name w:val="Normal (Web)"/>
    <w:basedOn w:val="1"/>
    <w:qFormat/>
    <w:uiPriority w:val="0"/>
    <w:pPr>
      <w:widowControl/>
      <w:spacing w:before="100" w:beforeAutospacing="1" w:after="100" w:afterAutospacing="1"/>
      <w:jc w:val="left"/>
    </w:pPr>
    <w:rPr>
      <w:rFonts w:ascii="宋体" w:hAnsi="宋体" w:eastAsia="宋体" w:cs="Times New Roman"/>
      <w:kern w:val="0"/>
      <w:sz w:val="24"/>
      <w:szCs w:val="21"/>
    </w:rPr>
  </w:style>
  <w:style w:type="character" w:styleId="22">
    <w:name w:val="Strong"/>
    <w:qFormat/>
    <w:uiPriority w:val="0"/>
    <w:rPr>
      <w:b/>
      <w:bCs/>
    </w:rPr>
  </w:style>
  <w:style w:type="character" w:styleId="23">
    <w:name w:val="page number"/>
    <w:basedOn w:val="21"/>
    <w:qFormat/>
    <w:uiPriority w:val="0"/>
  </w:style>
  <w:style w:type="character" w:styleId="24">
    <w:name w:val="FollowedHyperlink"/>
    <w:basedOn w:val="21"/>
    <w:qFormat/>
    <w:uiPriority w:val="0"/>
    <w:rPr>
      <w:color w:val="444444"/>
      <w:u w:val="none"/>
    </w:rPr>
  </w:style>
  <w:style w:type="character" w:styleId="25">
    <w:name w:val="Hyperlink"/>
    <w:basedOn w:val="21"/>
    <w:qFormat/>
    <w:uiPriority w:val="0"/>
    <w:rPr>
      <w:color w:val="444444"/>
      <w:u w:val="none"/>
    </w:rPr>
  </w:style>
  <w:style w:type="character" w:styleId="26">
    <w:name w:val="annotation reference"/>
    <w:qFormat/>
    <w:uiPriority w:val="0"/>
    <w:rPr>
      <w:sz w:val="21"/>
      <w:szCs w:val="21"/>
    </w:rPr>
  </w:style>
  <w:style w:type="table" w:styleId="28">
    <w:name w:val="Table Grid"/>
    <w:basedOn w:val="27"/>
    <w:qFormat/>
    <w:uiPriority w:val="0"/>
    <w:pPr>
      <w:widowControl w:val="0"/>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29">
    <w:name w:val="Char Char Char Char1"/>
    <w:basedOn w:val="1"/>
    <w:qFormat/>
    <w:uiPriority w:val="0"/>
    <w:rPr>
      <w:sz w:val="24"/>
      <w:szCs w:val="24"/>
    </w:rPr>
  </w:style>
  <w:style w:type="paragraph" w:customStyle="1" w:styleId="30">
    <w:name w:val="一级标题"/>
    <w:basedOn w:val="3"/>
    <w:next w:val="5"/>
    <w:link w:val="74"/>
    <w:qFormat/>
    <w:uiPriority w:val="0"/>
    <w:pPr>
      <w:spacing w:line="240" w:lineRule="auto"/>
    </w:pPr>
    <w:rPr>
      <w:rFonts w:ascii="Times New Roman" w:hAnsi="Times New Roman" w:eastAsia="宋体"/>
      <w:sz w:val="32"/>
      <w:szCs w:val="32"/>
    </w:rPr>
  </w:style>
  <w:style w:type="paragraph" w:customStyle="1" w:styleId="31">
    <w:name w:val="二级标题报告书"/>
    <w:basedOn w:val="5"/>
    <w:next w:val="6"/>
    <w:link w:val="75"/>
    <w:qFormat/>
    <w:uiPriority w:val="0"/>
    <w:pPr>
      <w:spacing w:line="360" w:lineRule="auto"/>
    </w:pPr>
    <w:rPr>
      <w:rFonts w:ascii="Times New Roman" w:hAnsi="Times New Roman" w:eastAsia="宋体"/>
      <w:sz w:val="30"/>
    </w:rPr>
  </w:style>
  <w:style w:type="paragraph" w:customStyle="1" w:styleId="32">
    <w:name w:val="三级标题报告书"/>
    <w:basedOn w:val="6"/>
    <w:next w:val="1"/>
    <w:qFormat/>
    <w:uiPriority w:val="0"/>
    <w:pPr>
      <w:spacing w:line="360" w:lineRule="auto"/>
    </w:pPr>
    <w:rPr>
      <w:rFonts w:ascii="Times New Roman" w:hAnsi="Times New Roman" w:eastAsia="宋体"/>
      <w:sz w:val="28"/>
    </w:rPr>
  </w:style>
  <w:style w:type="paragraph" w:customStyle="1" w:styleId="33">
    <w:name w:val="正文报告书"/>
    <w:basedOn w:val="34"/>
    <w:next w:val="1"/>
    <w:link w:val="39"/>
    <w:qFormat/>
    <w:uiPriority w:val="0"/>
    <w:pPr>
      <w:spacing w:before="20" w:line="360" w:lineRule="auto"/>
      <w:ind w:firstLine="643" w:firstLineChars="200"/>
    </w:pPr>
    <w:rPr>
      <w:rFonts w:ascii="Times New Roman" w:hAnsi="Times New Roman"/>
      <w:sz w:val="24"/>
    </w:rPr>
  </w:style>
  <w:style w:type="paragraph" w:customStyle="1" w:styleId="34">
    <w:name w:val="正文1"/>
    <w:basedOn w:val="1"/>
    <w:next w:val="1"/>
    <w:qFormat/>
    <w:uiPriority w:val="0"/>
    <w:pPr>
      <w:spacing w:line="360" w:lineRule="auto"/>
      <w:ind w:firstLine="420" w:firstLineChars="200"/>
    </w:pPr>
    <w:rPr>
      <w:rFonts w:ascii="Times New Roman" w:hAnsi="Times New Roman" w:eastAsia="宋体"/>
      <w:sz w:val="28"/>
    </w:rPr>
  </w:style>
  <w:style w:type="paragraph" w:customStyle="1" w:styleId="35">
    <w:name w:val="表格报告书"/>
    <w:basedOn w:val="33"/>
    <w:next w:val="33"/>
    <w:qFormat/>
    <w:uiPriority w:val="0"/>
    <w:pPr>
      <w:spacing w:line="240" w:lineRule="auto"/>
      <w:ind w:firstLine="0" w:firstLineChars="0"/>
      <w:jc w:val="center"/>
    </w:pPr>
    <w:rPr>
      <w:rFonts w:ascii="Times New Roman" w:hAnsi="Times New Roman" w:eastAsia="宋体"/>
      <w:sz w:val="21"/>
    </w:rPr>
  </w:style>
  <w:style w:type="paragraph" w:customStyle="1" w:styleId="36">
    <w:name w:val="表格标题"/>
    <w:basedOn w:val="1"/>
    <w:next w:val="35"/>
    <w:link w:val="37"/>
    <w:qFormat/>
    <w:uiPriority w:val="0"/>
    <w:pPr>
      <w:spacing w:line="360" w:lineRule="auto"/>
      <w:jc w:val="center"/>
    </w:pPr>
    <w:rPr>
      <w:rFonts w:ascii="Times New Roman" w:hAnsi="Times New Roman" w:eastAsia="宋体"/>
      <w:b/>
      <w:sz w:val="24"/>
    </w:rPr>
  </w:style>
  <w:style w:type="character" w:customStyle="1" w:styleId="37">
    <w:name w:val="表格标题 Char"/>
    <w:link w:val="36"/>
    <w:qFormat/>
    <w:uiPriority w:val="0"/>
    <w:rPr>
      <w:rFonts w:ascii="Times New Roman" w:hAnsi="Times New Roman" w:eastAsia="宋体"/>
      <w:b/>
      <w:sz w:val="24"/>
    </w:rPr>
  </w:style>
  <w:style w:type="paragraph" w:customStyle="1" w:styleId="38">
    <w:name w:val="报告表正文"/>
    <w:basedOn w:val="1"/>
    <w:qFormat/>
    <w:uiPriority w:val="0"/>
    <w:pPr>
      <w:spacing w:line="360" w:lineRule="auto"/>
      <w:jc w:val="both"/>
    </w:pPr>
    <w:rPr>
      <w:rFonts w:ascii="Times New Roman" w:hAnsi="Times New Roman"/>
      <w:sz w:val="24"/>
      <w:szCs w:val="24"/>
    </w:rPr>
  </w:style>
  <w:style w:type="character" w:customStyle="1" w:styleId="39">
    <w:name w:val="正文报告书 Char"/>
    <w:link w:val="33"/>
    <w:qFormat/>
    <w:uiPriority w:val="0"/>
    <w:rPr>
      <w:rFonts w:ascii="Times New Roman" w:hAnsi="Times New Roman" w:eastAsia="宋体"/>
      <w:sz w:val="24"/>
    </w:rPr>
  </w:style>
  <w:style w:type="paragraph" w:customStyle="1" w:styleId="40">
    <w:name w:val="Default"/>
    <w:next w:val="38"/>
    <w:qFormat/>
    <w:uiPriority w:val="0"/>
    <w:pPr>
      <w:widowControl w:val="0"/>
      <w:autoSpaceDE w:val="0"/>
      <w:autoSpaceDN w:val="0"/>
      <w:adjustRightInd w:val="0"/>
    </w:pPr>
    <w:rPr>
      <w:rFonts w:ascii="Arial Black" w:hAnsi="Arial Black" w:eastAsia="宋体" w:cs="Times New Roman"/>
      <w:lang w:val="en-US" w:eastAsia="zh-CN" w:bidi="ar-SA"/>
    </w:rPr>
  </w:style>
  <w:style w:type="paragraph" w:customStyle="1" w:styleId="41">
    <w:name w:val="Date1"/>
    <w:basedOn w:val="1"/>
    <w:next w:val="1"/>
    <w:qFormat/>
    <w:uiPriority w:val="0"/>
    <w:pPr>
      <w:adjustRightInd w:val="0"/>
      <w:jc w:val="left"/>
      <w:textAlignment w:val="baseline"/>
    </w:pPr>
    <w:rPr>
      <w:rFonts w:ascii="宋体" w:hAnsi="宋体"/>
      <w:sz w:val="28"/>
      <w:szCs w:val="20"/>
    </w:rPr>
  </w:style>
  <w:style w:type="paragraph" w:customStyle="1" w:styleId="42">
    <w:name w:val="四级条标题"/>
    <w:basedOn w:val="43"/>
    <w:next w:val="47"/>
    <w:qFormat/>
    <w:uiPriority w:val="0"/>
    <w:pPr>
      <w:widowControl/>
      <w:numPr>
        <w:ilvl w:val="3"/>
        <w:numId w:val="0"/>
      </w:numPr>
      <w:tabs>
        <w:tab w:val="left" w:pos="1260"/>
        <w:tab w:val="left" w:pos="1680"/>
      </w:tabs>
      <w:outlineLvl w:val="5"/>
    </w:pPr>
    <w:rPr>
      <w:rFonts w:ascii="黑体" w:eastAsia="黑体"/>
      <w:kern w:val="0"/>
      <w:szCs w:val="20"/>
    </w:rPr>
  </w:style>
  <w:style w:type="paragraph" w:customStyle="1" w:styleId="43">
    <w:name w:val="三级条标题"/>
    <w:basedOn w:val="44"/>
    <w:next w:val="47"/>
    <w:qFormat/>
    <w:uiPriority w:val="0"/>
    <w:pPr>
      <w:numPr>
        <w:ilvl w:val="3"/>
        <w:numId w:val="0"/>
      </w:numPr>
      <w:tabs>
        <w:tab w:val="left" w:pos="1260"/>
        <w:tab w:val="left" w:pos="1680"/>
      </w:tabs>
      <w:outlineLvl w:val="4"/>
    </w:pPr>
  </w:style>
  <w:style w:type="paragraph" w:customStyle="1" w:styleId="44">
    <w:name w:val="二级条标题"/>
    <w:basedOn w:val="45"/>
    <w:next w:val="47"/>
    <w:qFormat/>
    <w:uiPriority w:val="0"/>
    <w:pPr>
      <w:numPr>
        <w:ilvl w:val="3"/>
        <w:numId w:val="1"/>
      </w:numPr>
      <w:tabs>
        <w:tab w:val="left" w:pos="1260"/>
      </w:tabs>
      <w:outlineLvl w:val="3"/>
    </w:pPr>
  </w:style>
  <w:style w:type="paragraph" w:customStyle="1" w:styleId="45">
    <w:name w:val="一级条标题"/>
    <w:basedOn w:val="46"/>
    <w:next w:val="47"/>
    <w:qFormat/>
    <w:uiPriority w:val="0"/>
    <w:pPr>
      <w:numPr>
        <w:ilvl w:val="2"/>
        <w:numId w:val="1"/>
      </w:numPr>
      <w:spacing w:before="0" w:beforeLines="0" w:after="0" w:afterLines="0"/>
      <w:outlineLvl w:val="2"/>
    </w:pPr>
  </w:style>
  <w:style w:type="paragraph" w:customStyle="1" w:styleId="46">
    <w:name w:val="章标题"/>
    <w:next w:val="47"/>
    <w:qFormat/>
    <w:uiPriority w:val="0"/>
    <w:pPr>
      <w:spacing w:before="156" w:beforeLines="50" w:after="156" w:afterLines="50"/>
      <w:jc w:val="both"/>
      <w:outlineLvl w:val="1"/>
    </w:pPr>
    <w:rPr>
      <w:rFonts w:ascii="黑体" w:hAnsi="Times New Roman" w:eastAsia="黑体" w:cs="Times New Roman"/>
      <w:sz w:val="21"/>
      <w:szCs w:val="22"/>
      <w:lang w:val="en-US" w:eastAsia="zh-CN" w:bidi="ar-SA"/>
    </w:rPr>
  </w:style>
  <w:style w:type="paragraph" w:customStyle="1" w:styleId="47">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48">
    <w:name w:val="文章正文"/>
    <w:basedOn w:val="1"/>
    <w:qFormat/>
    <w:uiPriority w:val="0"/>
    <w:pPr>
      <w:widowControl w:val="0"/>
      <w:spacing w:beforeLines="50" w:afterLines="50" w:line="360" w:lineRule="auto"/>
      <w:ind w:firstLine="480" w:firstLineChars="200"/>
      <w:jc w:val="both"/>
    </w:pPr>
    <w:rPr>
      <w:rFonts w:ascii="宋体" w:hAnsi="宋体" w:cs="宋体"/>
      <w:sz w:val="24"/>
    </w:rPr>
  </w:style>
  <w:style w:type="paragraph" w:customStyle="1" w:styleId="49">
    <w:name w:val="p0"/>
    <w:basedOn w:val="1"/>
    <w:qFormat/>
    <w:uiPriority w:val="0"/>
    <w:pPr>
      <w:widowControl/>
    </w:pPr>
    <w:rPr>
      <w:rFonts w:ascii="Times New Roman" w:hAnsi="Times New Roman" w:eastAsia="宋体" w:cs="Times New Roman"/>
      <w:kern w:val="0"/>
      <w:szCs w:val="21"/>
    </w:rPr>
  </w:style>
  <w:style w:type="paragraph" w:customStyle="1" w:styleId="50">
    <w:name w:val="body"/>
    <w:basedOn w:val="1"/>
    <w:qFormat/>
    <w:uiPriority w:val="0"/>
    <w:pPr>
      <w:spacing w:line="360" w:lineRule="auto"/>
      <w:ind w:firstLine="480" w:firstLineChars="200"/>
    </w:pPr>
    <w:rPr>
      <w:rFonts w:ascii="宋体" w:hAnsi="宋体" w:eastAsia="宋体" w:cs="Times New Roman"/>
      <w:sz w:val="24"/>
      <w:szCs w:val="20"/>
    </w:rPr>
  </w:style>
  <w:style w:type="paragraph" w:customStyle="1" w:styleId="51">
    <w:name w:val="表格正文"/>
    <w:basedOn w:val="1"/>
    <w:qFormat/>
    <w:uiPriority w:val="0"/>
    <w:pPr>
      <w:spacing w:line="360" w:lineRule="exact"/>
      <w:jc w:val="center"/>
    </w:pPr>
    <w:rPr>
      <w:sz w:val="21"/>
    </w:rPr>
  </w:style>
  <w:style w:type="paragraph" w:customStyle="1" w:styleId="52">
    <w:name w:val="自定正文"/>
    <w:basedOn w:val="1"/>
    <w:qFormat/>
    <w:uiPriority w:val="0"/>
    <w:pPr>
      <w:widowControl w:val="0"/>
      <w:snapToGrid w:val="0"/>
      <w:spacing w:line="360" w:lineRule="auto"/>
      <w:ind w:firstLine="200" w:firstLineChars="200"/>
      <w:jc w:val="both"/>
      <w:textAlignment w:val="center"/>
    </w:pPr>
    <w:rPr>
      <w:rFonts w:ascii="Arial" w:hAnsi="Arial"/>
      <w:color w:val="000000"/>
      <w:sz w:val="24"/>
    </w:rPr>
  </w:style>
  <w:style w:type="paragraph" w:customStyle="1" w:styleId="53">
    <w:name w:val="A0正文"/>
    <w:basedOn w:val="1"/>
    <w:qFormat/>
    <w:uiPriority w:val="0"/>
    <w:pPr>
      <w:spacing w:line="360" w:lineRule="auto"/>
      <w:ind w:firstLine="200" w:firstLineChars="200"/>
    </w:pPr>
    <w:rPr>
      <w:rFonts w:ascii="Times New Roman" w:hAnsi="Times New Roman" w:eastAsia="宋体" w:cs="宋体"/>
      <w:sz w:val="24"/>
      <w:szCs w:val="20"/>
      <w:lang w:val="zh-CN"/>
    </w:rPr>
  </w:style>
  <w:style w:type="paragraph" w:customStyle="1" w:styleId="54">
    <w:name w:val="报告书1级标题"/>
    <w:basedOn w:val="3"/>
    <w:next w:val="5"/>
    <w:qFormat/>
    <w:uiPriority w:val="0"/>
    <w:pPr>
      <w:jc w:val="center"/>
    </w:pPr>
    <w:rPr>
      <w:rFonts w:ascii="Calibri" w:hAnsi="Calibri"/>
    </w:rPr>
  </w:style>
  <w:style w:type="paragraph" w:customStyle="1" w:styleId="55">
    <w:name w:val="Table Paragraph"/>
    <w:basedOn w:val="1"/>
    <w:qFormat/>
    <w:uiPriority w:val="1"/>
    <w:rPr>
      <w:rFonts w:ascii="宋体" w:hAnsi="Calibri"/>
      <w:kern w:val="0"/>
      <w:sz w:val="34"/>
      <w:szCs w:val="20"/>
    </w:rPr>
  </w:style>
  <w:style w:type="paragraph" w:customStyle="1" w:styleId="56">
    <w:name w:val="表1表2"/>
    <w:basedOn w:val="1"/>
    <w:qFormat/>
    <w:uiPriority w:val="0"/>
    <w:pPr>
      <w:autoSpaceDE w:val="0"/>
      <w:autoSpaceDN w:val="0"/>
      <w:adjustRightInd w:val="0"/>
      <w:spacing w:line="360" w:lineRule="auto"/>
      <w:jc w:val="center"/>
      <w:textAlignment w:val="center"/>
    </w:pPr>
    <w:rPr>
      <w:rFonts w:eastAsia="仿宋_GB2312"/>
      <w:kern w:val="0"/>
      <w:sz w:val="24"/>
      <w:szCs w:val="21"/>
    </w:rPr>
  </w:style>
  <w:style w:type="paragraph" w:customStyle="1" w:styleId="57">
    <w:name w:val="报告书、报告表表格文字"/>
    <w:basedOn w:val="1"/>
    <w:qFormat/>
    <w:uiPriority w:val="0"/>
    <w:pPr>
      <w:adjustRightInd w:val="0"/>
      <w:snapToGrid w:val="0"/>
      <w:spacing w:line="240" w:lineRule="auto"/>
      <w:ind w:firstLine="0" w:firstLineChars="0"/>
      <w:jc w:val="center"/>
    </w:pPr>
    <w:rPr>
      <w:rFonts w:ascii="Times New Roman" w:hAnsi="Times New Roman" w:eastAsia="宋体" w:cs="Times New Roman"/>
      <w:sz w:val="24"/>
    </w:rPr>
  </w:style>
  <w:style w:type="paragraph" w:customStyle="1" w:styleId="58">
    <w:name w:val="报告正文"/>
    <w:basedOn w:val="1"/>
    <w:qFormat/>
    <w:uiPriority w:val="0"/>
    <w:pPr>
      <w:adjustRightInd w:val="0"/>
      <w:snapToGrid w:val="0"/>
      <w:spacing w:line="360" w:lineRule="auto"/>
      <w:ind w:firstLine="200" w:firstLineChars="200"/>
    </w:pPr>
    <w:rPr>
      <w:rFonts w:ascii="宋体" w:eastAsia="宋体"/>
      <w:kern w:val="2"/>
      <w:sz w:val="24"/>
      <w:lang w:val="en-US" w:eastAsia="zh-CN" w:bidi="ar-SA"/>
    </w:rPr>
  </w:style>
  <w:style w:type="paragraph" w:customStyle="1" w:styleId="59">
    <w:name w:val="缩进"/>
    <w:basedOn w:val="1"/>
    <w:qFormat/>
    <w:uiPriority w:val="0"/>
    <w:pPr>
      <w:autoSpaceDE w:val="0"/>
      <w:autoSpaceDN w:val="0"/>
      <w:adjustRightInd w:val="0"/>
      <w:spacing w:line="400" w:lineRule="atLeast"/>
      <w:ind w:firstLine="425"/>
      <w:textAlignment w:val="baseline"/>
    </w:pPr>
    <w:rPr>
      <w:rFonts w:ascii="Times New Roman" w:hAnsi="Times New Roman" w:eastAsia="宋体" w:cs="Times New Roman"/>
      <w:kern w:val="0"/>
      <w:sz w:val="24"/>
      <w:szCs w:val="20"/>
    </w:rPr>
  </w:style>
  <w:style w:type="paragraph" w:customStyle="1" w:styleId="60">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61">
    <w:name w:val="acee正文"/>
    <w:basedOn w:val="1"/>
    <w:qFormat/>
    <w:uiPriority w:val="0"/>
    <w:pPr>
      <w:spacing w:line="480" w:lineRule="exact"/>
      <w:ind w:firstLine="640" w:firstLineChars="200"/>
    </w:pPr>
    <w:rPr>
      <w:rFonts w:ascii="仿宋_GB2312" w:hAnsi="宋体" w:eastAsia="仿宋_GB2312"/>
      <w:sz w:val="32"/>
    </w:rPr>
  </w:style>
  <w:style w:type="paragraph" w:customStyle="1" w:styleId="62">
    <w:name w:val="表格"/>
    <w:basedOn w:val="1"/>
    <w:next w:val="1"/>
    <w:qFormat/>
    <w:uiPriority w:val="0"/>
    <w:pPr>
      <w:spacing w:line="240" w:lineRule="atLeast"/>
      <w:jc w:val="center"/>
    </w:pPr>
    <w:rPr>
      <w:rFonts w:eastAsia="楷体_GB2312"/>
      <w:sz w:val="24"/>
    </w:rPr>
  </w:style>
  <w:style w:type="paragraph" w:customStyle="1" w:styleId="63">
    <w:name w:val="新表格正文"/>
    <w:basedOn w:val="1"/>
    <w:qFormat/>
    <w:uiPriority w:val="0"/>
    <w:pPr>
      <w:jc w:val="center"/>
    </w:pPr>
    <w:rPr>
      <w:kern w:val="0"/>
      <w:sz w:val="20"/>
      <w:szCs w:val="21"/>
      <w:lang w:val="zh-CN"/>
    </w:rPr>
  </w:style>
  <w:style w:type="paragraph" w:customStyle="1" w:styleId="64">
    <w:name w:val="表格文字"/>
    <w:basedOn w:val="4"/>
    <w:qFormat/>
    <w:uiPriority w:val="0"/>
    <w:pPr>
      <w:spacing w:line="240" w:lineRule="auto"/>
      <w:ind w:firstLine="0" w:firstLineChars="0"/>
      <w:jc w:val="center"/>
    </w:pPr>
    <w:rPr>
      <w:sz w:val="21"/>
    </w:rPr>
  </w:style>
  <w:style w:type="paragraph" w:customStyle="1" w:styleId="65">
    <w:name w:val="表格正文0524"/>
    <w:basedOn w:val="63"/>
    <w:qFormat/>
    <w:uiPriority w:val="0"/>
    <w:rPr>
      <w:kern w:val="2"/>
      <w:sz w:val="21"/>
    </w:rPr>
  </w:style>
  <w:style w:type="paragraph" w:customStyle="1" w:styleId="66">
    <w:name w:val="样式2"/>
    <w:basedOn w:val="1"/>
    <w:qFormat/>
    <w:uiPriority w:val="0"/>
    <w:pPr>
      <w:tabs>
        <w:tab w:val="left" w:pos="2310"/>
        <w:tab w:val="left" w:pos="3990"/>
        <w:tab w:val="left" w:pos="5460"/>
        <w:tab w:val="left" w:pos="7305"/>
      </w:tabs>
      <w:adjustRightInd w:val="0"/>
      <w:snapToGrid w:val="0"/>
      <w:spacing w:line="500" w:lineRule="exact"/>
      <w:ind w:firstLine="200" w:firstLineChars="200"/>
    </w:pPr>
    <w:rPr>
      <w:sz w:val="24"/>
    </w:rPr>
  </w:style>
  <w:style w:type="paragraph" w:customStyle="1" w:styleId="67">
    <w:name w:val="样式 标题 3条标题1.1.1h3H3level_3PIM 3Level 3 HeadHeading 3 - ol...1"/>
    <w:basedOn w:val="6"/>
    <w:qFormat/>
    <w:uiPriority w:val="0"/>
    <w:pPr>
      <w:tabs>
        <w:tab w:val="left" w:pos="1020"/>
      </w:tabs>
      <w:adjustRightInd/>
      <w:snapToGrid/>
      <w:spacing w:before="0" w:after="0"/>
      <w:ind w:left="1020" w:hanging="720"/>
    </w:pPr>
    <w:rPr>
      <w:color w:val="000000"/>
      <w:sz w:val="28"/>
    </w:rPr>
  </w:style>
  <w:style w:type="paragraph" w:customStyle="1" w:styleId="68">
    <w:name w:val="常用表格样式"/>
    <w:basedOn w:val="1"/>
    <w:next w:val="1"/>
    <w:qFormat/>
    <w:uiPriority w:val="0"/>
    <w:pPr>
      <w:tabs>
        <w:tab w:val="left" w:pos="2310"/>
        <w:tab w:val="left" w:pos="3990"/>
        <w:tab w:val="left" w:pos="5460"/>
        <w:tab w:val="left" w:pos="7305"/>
      </w:tabs>
      <w:jc w:val="center"/>
    </w:pPr>
    <w:rPr>
      <w:rFonts w:ascii="宋体" w:hAnsi="新宋体" w:eastAsia="仿宋_GB2312"/>
      <w:spacing w:val="2"/>
      <w:sz w:val="18"/>
    </w:rPr>
  </w:style>
  <w:style w:type="paragraph" w:customStyle="1" w:styleId="69">
    <w:name w:val="图、表1-1"/>
    <w:basedOn w:val="1"/>
    <w:qFormat/>
    <w:uiPriority w:val="0"/>
    <w:pPr>
      <w:ind w:firstLine="0" w:firstLineChars="0"/>
      <w:jc w:val="center"/>
    </w:pPr>
    <w:rPr>
      <w:rFonts w:ascii="Times New Roman" w:hAnsi="Times New Roman" w:eastAsia="宋体" w:cs="Times New Roman"/>
      <w:b/>
      <w:bCs/>
      <w:sz w:val="21"/>
      <w:szCs w:val="21"/>
    </w:rPr>
  </w:style>
  <w:style w:type="paragraph" w:customStyle="1" w:styleId="70">
    <w:name w:val="新3级标题"/>
    <w:basedOn w:val="1"/>
    <w:qFormat/>
    <w:uiPriority w:val="0"/>
    <w:pPr>
      <w:widowControl w:val="0"/>
      <w:adjustRightInd w:val="0"/>
      <w:snapToGrid w:val="0"/>
      <w:spacing w:line="360" w:lineRule="auto"/>
      <w:jc w:val="both"/>
      <w:outlineLvl w:val="2"/>
    </w:pPr>
    <w:rPr>
      <w:rFonts w:eastAsia="黑体"/>
      <w:sz w:val="28"/>
      <w:szCs w:val="28"/>
    </w:rPr>
  </w:style>
  <w:style w:type="paragraph" w:customStyle="1" w:styleId="71">
    <w:name w:val="报告书、报告表正文"/>
    <w:basedOn w:val="1"/>
    <w:qFormat/>
    <w:uiPriority w:val="0"/>
    <w:pPr>
      <w:spacing w:line="360" w:lineRule="auto"/>
      <w:ind w:firstLine="480" w:firstLineChars="200"/>
      <w:jc w:val="left"/>
    </w:pPr>
    <w:rPr>
      <w:rFonts w:ascii="Times New Roman" w:hAnsi="Times New Roman" w:eastAsia="宋体" w:cs="Times New Roman"/>
      <w:sz w:val="24"/>
    </w:rPr>
  </w:style>
  <w:style w:type="paragraph" w:customStyle="1" w:styleId="72">
    <w:name w:val="List Paragraph"/>
    <w:basedOn w:val="1"/>
    <w:qFormat/>
    <w:uiPriority w:val="34"/>
    <w:pPr>
      <w:ind w:firstLine="420" w:firstLineChars="200"/>
    </w:pPr>
  </w:style>
  <w:style w:type="paragraph" w:customStyle="1" w:styleId="73">
    <w:name w:val="Body Text 21"/>
    <w:basedOn w:val="1"/>
    <w:qFormat/>
    <w:uiPriority w:val="0"/>
    <w:pPr>
      <w:autoSpaceDE w:val="0"/>
      <w:autoSpaceDN w:val="0"/>
      <w:adjustRightInd w:val="0"/>
      <w:spacing w:line="480" w:lineRule="exact"/>
      <w:ind w:firstLine="540"/>
      <w:textAlignment w:val="baseline"/>
    </w:pPr>
    <w:rPr>
      <w:rFonts w:ascii="宋体" w:hAnsi="Tms Rmn" w:eastAsia="宋体" w:cs="Times New Roman"/>
      <w:kern w:val="0"/>
      <w:sz w:val="24"/>
      <w:szCs w:val="20"/>
    </w:rPr>
  </w:style>
  <w:style w:type="character" w:customStyle="1" w:styleId="74">
    <w:name w:val="一级标题 Char"/>
    <w:link w:val="30"/>
    <w:qFormat/>
    <w:uiPriority w:val="0"/>
    <w:rPr>
      <w:rFonts w:ascii="Times New Roman" w:hAnsi="Times New Roman" w:eastAsia="宋体"/>
      <w:sz w:val="32"/>
      <w:szCs w:val="32"/>
    </w:rPr>
  </w:style>
  <w:style w:type="character" w:customStyle="1" w:styleId="75">
    <w:name w:val="二级标题报告书 Char"/>
    <w:link w:val="31"/>
    <w:qFormat/>
    <w:uiPriority w:val="0"/>
    <w:rPr>
      <w:rFonts w:ascii="Times New Roman" w:hAnsi="Times New Roman" w:eastAsia="宋体"/>
      <w:sz w:val="30"/>
    </w:rPr>
  </w:style>
  <w:style w:type="character" w:customStyle="1" w:styleId="76">
    <w:name w:val="font61"/>
    <w:basedOn w:val="21"/>
    <w:qFormat/>
    <w:uiPriority w:val="0"/>
    <w:rPr>
      <w:rFonts w:hint="eastAsia" w:ascii="仿宋" w:hAnsi="仿宋" w:eastAsia="仿宋" w:cs="仿宋"/>
      <w:color w:val="000000"/>
      <w:sz w:val="22"/>
      <w:szCs w:val="22"/>
      <w:u w:val="none"/>
    </w:rPr>
  </w:style>
  <w:style w:type="character" w:customStyle="1" w:styleId="77">
    <w:name w:val="font41"/>
    <w:basedOn w:val="21"/>
    <w:qFormat/>
    <w:uiPriority w:val="0"/>
    <w:rPr>
      <w:rFonts w:hint="default" w:ascii="Times New Roman" w:hAnsi="Times New Roman" w:cs="Times New Roman"/>
      <w:b/>
      <w:color w:val="000000"/>
      <w:sz w:val="21"/>
      <w:szCs w:val="21"/>
      <w:u w:val="none"/>
    </w:rPr>
  </w:style>
  <w:style w:type="character" w:customStyle="1" w:styleId="78">
    <w:name w:val="bsharetext"/>
    <w:basedOn w:val="21"/>
    <w:qFormat/>
    <w:uiPriority w:val="0"/>
  </w:style>
  <w:style w:type="character" w:customStyle="1" w:styleId="79">
    <w:name w:val="wx-space"/>
    <w:basedOn w:val="21"/>
    <w:qFormat/>
    <w:uiPriority w:val="0"/>
  </w:style>
  <w:style w:type="character" w:customStyle="1" w:styleId="80">
    <w:name w:val="wx-space1"/>
    <w:basedOn w:val="21"/>
    <w:qFormat/>
    <w:uiPriority w:val="0"/>
  </w:style>
  <w:style w:type="character" w:customStyle="1" w:styleId="81">
    <w:name w:val="hover25"/>
    <w:basedOn w:val="21"/>
    <w:qFormat/>
    <w:uiPriority w:val="0"/>
    <w:rPr>
      <w:color w:val="000000"/>
      <w:shd w:val="clear" w:color="auto" w:fill="FFFFFF"/>
    </w:rPr>
  </w:style>
  <w:style w:type="character" w:customStyle="1" w:styleId="82">
    <w:name w:val="font01"/>
    <w:basedOn w:val="21"/>
    <w:qFormat/>
    <w:uiPriority w:val="0"/>
    <w:rPr>
      <w:rFonts w:hint="eastAsia" w:ascii="宋体" w:hAnsi="宋体" w:eastAsia="宋体" w:cs="宋体"/>
      <w:color w:val="000000"/>
      <w:sz w:val="21"/>
      <w:szCs w:val="21"/>
      <w:u w:val="none"/>
    </w:rPr>
  </w:style>
  <w:style w:type="character" w:customStyle="1" w:styleId="83">
    <w:name w:val="font31"/>
    <w:basedOn w:val="21"/>
    <w:qFormat/>
    <w:uiPriority w:val="0"/>
    <w:rPr>
      <w:rFonts w:hint="default" w:ascii="Times New Roman" w:hAnsi="Times New Roman" w:cs="Times New Roman"/>
      <w:color w:val="000000"/>
      <w:sz w:val="21"/>
      <w:szCs w:val="21"/>
      <w:u w:val="none"/>
    </w:rPr>
  </w:style>
  <w:style w:type="character" w:customStyle="1" w:styleId="84">
    <w:name w:val="font21"/>
    <w:basedOn w:val="21"/>
    <w:qFormat/>
    <w:uiPriority w:val="0"/>
    <w:rPr>
      <w:rFonts w:hint="default" w:ascii="Times New Roman" w:hAnsi="Times New Roman" w:cs="Times New Roman"/>
      <w:color w:val="000000"/>
      <w:sz w:val="21"/>
      <w:szCs w:val="21"/>
      <w:u w:val="none"/>
      <w:vertAlign w:val="subscript"/>
    </w:rPr>
  </w:style>
</w:styles>
</file>

<file path=word/_rels/document.xml.rels><?xml version="1.0" encoding="UTF-8" standalone="yes"?>
<Relationships xmlns="http://schemas.openxmlformats.org/package/2006/relationships"><Relationship Id="rId99" Type="http://schemas.openxmlformats.org/officeDocument/2006/relationships/image" Target="media/image60.png"/><Relationship Id="rId98" Type="http://schemas.openxmlformats.org/officeDocument/2006/relationships/image" Target="media/image59.emf"/><Relationship Id="rId97" Type="http://schemas.openxmlformats.org/officeDocument/2006/relationships/oleObject" Target="embeddings/oleObject28.bin"/><Relationship Id="rId96" Type="http://schemas.openxmlformats.org/officeDocument/2006/relationships/oleObject" Target="embeddings/oleObject27.bin"/><Relationship Id="rId95" Type="http://schemas.openxmlformats.org/officeDocument/2006/relationships/oleObject" Target="embeddings/oleObject26.bin"/><Relationship Id="rId94" Type="http://schemas.openxmlformats.org/officeDocument/2006/relationships/image" Target="media/image58.wmf"/><Relationship Id="rId93" Type="http://schemas.openxmlformats.org/officeDocument/2006/relationships/oleObject" Target="embeddings/oleObject25.bin"/><Relationship Id="rId92" Type="http://schemas.openxmlformats.org/officeDocument/2006/relationships/image" Target="media/image57.wmf"/><Relationship Id="rId91" Type="http://schemas.openxmlformats.org/officeDocument/2006/relationships/oleObject" Target="embeddings/oleObject24.bin"/><Relationship Id="rId90" Type="http://schemas.openxmlformats.org/officeDocument/2006/relationships/image" Target="media/image56.wmf"/><Relationship Id="rId9" Type="http://schemas.openxmlformats.org/officeDocument/2006/relationships/header" Target="header2.xml"/><Relationship Id="rId89" Type="http://schemas.openxmlformats.org/officeDocument/2006/relationships/oleObject" Target="embeddings/oleObject23.bin"/><Relationship Id="rId88" Type="http://schemas.openxmlformats.org/officeDocument/2006/relationships/image" Target="media/image55.wmf"/><Relationship Id="rId87" Type="http://schemas.openxmlformats.org/officeDocument/2006/relationships/oleObject" Target="embeddings/oleObject22.bin"/><Relationship Id="rId86" Type="http://schemas.openxmlformats.org/officeDocument/2006/relationships/image" Target="media/image54.wmf"/><Relationship Id="rId85" Type="http://schemas.openxmlformats.org/officeDocument/2006/relationships/oleObject" Target="embeddings/oleObject21.bin"/><Relationship Id="rId84" Type="http://schemas.openxmlformats.org/officeDocument/2006/relationships/image" Target="media/image53.wmf"/><Relationship Id="rId83" Type="http://schemas.openxmlformats.org/officeDocument/2006/relationships/oleObject" Target="embeddings/oleObject20.bin"/><Relationship Id="rId82" Type="http://schemas.openxmlformats.org/officeDocument/2006/relationships/image" Target="media/image52.png"/><Relationship Id="rId81" Type="http://schemas.openxmlformats.org/officeDocument/2006/relationships/image" Target="media/image51.wmf"/><Relationship Id="rId80" Type="http://schemas.openxmlformats.org/officeDocument/2006/relationships/oleObject" Target="embeddings/oleObject19.bin"/><Relationship Id="rId8" Type="http://schemas.openxmlformats.org/officeDocument/2006/relationships/footer" Target="footer3.xml"/><Relationship Id="rId79" Type="http://schemas.openxmlformats.org/officeDocument/2006/relationships/image" Target="media/image50.png"/><Relationship Id="rId78" Type="http://schemas.openxmlformats.org/officeDocument/2006/relationships/image" Target="media/image49.png"/><Relationship Id="rId77" Type="http://schemas.openxmlformats.org/officeDocument/2006/relationships/image" Target="media/image48.png"/><Relationship Id="rId76" Type="http://schemas.openxmlformats.org/officeDocument/2006/relationships/image" Target="media/image47.png"/><Relationship Id="rId75" Type="http://schemas.openxmlformats.org/officeDocument/2006/relationships/image" Target="media/image46.wmf"/><Relationship Id="rId74" Type="http://schemas.openxmlformats.org/officeDocument/2006/relationships/oleObject" Target="embeddings/oleObject18.bin"/><Relationship Id="rId73" Type="http://schemas.openxmlformats.org/officeDocument/2006/relationships/image" Target="media/image45.wmf"/><Relationship Id="rId72" Type="http://schemas.openxmlformats.org/officeDocument/2006/relationships/oleObject" Target="embeddings/oleObject17.bin"/><Relationship Id="rId71" Type="http://schemas.openxmlformats.org/officeDocument/2006/relationships/image" Target="media/image44.emf"/><Relationship Id="rId70" Type="http://schemas.openxmlformats.org/officeDocument/2006/relationships/oleObject" Target="embeddings/oleObject16.bin"/><Relationship Id="rId7" Type="http://schemas.openxmlformats.org/officeDocument/2006/relationships/header" Target="header1.xml"/><Relationship Id="rId69" Type="http://schemas.openxmlformats.org/officeDocument/2006/relationships/image" Target="media/image43.wmf"/><Relationship Id="rId68" Type="http://schemas.openxmlformats.org/officeDocument/2006/relationships/oleObject" Target="embeddings/oleObject15.bin"/><Relationship Id="rId67" Type="http://schemas.openxmlformats.org/officeDocument/2006/relationships/image" Target="media/image42.wmf"/><Relationship Id="rId66" Type="http://schemas.openxmlformats.org/officeDocument/2006/relationships/oleObject" Target="embeddings/oleObject14.bin"/><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wmf"/><Relationship Id="rId62" Type="http://schemas.openxmlformats.org/officeDocument/2006/relationships/image" Target="media/image38.wmf"/><Relationship Id="rId61" Type="http://schemas.openxmlformats.org/officeDocument/2006/relationships/oleObject" Target="embeddings/oleObject13.bin"/><Relationship Id="rId60" Type="http://schemas.openxmlformats.org/officeDocument/2006/relationships/image" Target="media/image37.png"/><Relationship Id="rId6" Type="http://schemas.openxmlformats.org/officeDocument/2006/relationships/footer" Target="foot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footer" Target="foot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emf"/><Relationship Id="rId45" Type="http://schemas.openxmlformats.org/officeDocument/2006/relationships/oleObject" Target="embeddings/oleObject12.bin"/><Relationship Id="rId44" Type="http://schemas.openxmlformats.org/officeDocument/2006/relationships/image" Target="media/image22.emf"/><Relationship Id="rId43" Type="http://schemas.openxmlformats.org/officeDocument/2006/relationships/oleObject" Target="embeddings/oleObject11.bin"/><Relationship Id="rId42" Type="http://schemas.openxmlformats.org/officeDocument/2006/relationships/image" Target="media/image21.emf"/><Relationship Id="rId41" Type="http://schemas.openxmlformats.org/officeDocument/2006/relationships/oleObject" Target="embeddings/oleObject10.bin"/><Relationship Id="rId40" Type="http://schemas.openxmlformats.org/officeDocument/2006/relationships/image" Target="media/image20.wmf"/><Relationship Id="rId4" Type="http://schemas.microsoft.com/office/2011/relationships/commentsExtended" Target="commentsExtended.xml"/><Relationship Id="rId39" Type="http://schemas.openxmlformats.org/officeDocument/2006/relationships/oleObject" Target="embeddings/oleObject9.bin"/><Relationship Id="rId38" Type="http://schemas.openxmlformats.org/officeDocument/2006/relationships/image" Target="media/image19.emf"/><Relationship Id="rId37" Type="http://schemas.openxmlformats.org/officeDocument/2006/relationships/oleObject" Target="embeddings/oleObject8.bin"/><Relationship Id="rId36" Type="http://schemas.openxmlformats.org/officeDocument/2006/relationships/image" Target="media/image18.emf"/><Relationship Id="rId35" Type="http://schemas.openxmlformats.org/officeDocument/2006/relationships/oleObject" Target="embeddings/oleObject7.bin"/><Relationship Id="rId34" Type="http://schemas.openxmlformats.org/officeDocument/2006/relationships/image" Target="media/image17.png"/><Relationship Id="rId33" Type="http://schemas.openxmlformats.org/officeDocument/2006/relationships/image" Target="media/image16.emf"/><Relationship Id="rId32" Type="http://schemas.openxmlformats.org/officeDocument/2006/relationships/oleObject" Target="embeddings/oleObject6.bin"/><Relationship Id="rId31" Type="http://schemas.openxmlformats.org/officeDocument/2006/relationships/image" Target="media/image15.png"/><Relationship Id="rId30" Type="http://schemas.openxmlformats.org/officeDocument/2006/relationships/image" Target="media/image14.emf"/><Relationship Id="rId3" Type="http://schemas.openxmlformats.org/officeDocument/2006/relationships/comments" Target="comments.xml"/><Relationship Id="rId29" Type="http://schemas.openxmlformats.org/officeDocument/2006/relationships/oleObject" Target="embeddings/oleObject5.bin"/><Relationship Id="rId28" Type="http://schemas.openxmlformats.org/officeDocument/2006/relationships/image" Target="media/image13.png"/><Relationship Id="rId27" Type="http://schemas.openxmlformats.org/officeDocument/2006/relationships/image" Target="media/image12.emf"/><Relationship Id="rId26" Type="http://schemas.openxmlformats.org/officeDocument/2006/relationships/oleObject" Target="embeddings/oleObject4.bin"/><Relationship Id="rId25" Type="http://schemas.openxmlformats.org/officeDocument/2006/relationships/image" Target="media/image11.png"/><Relationship Id="rId24" Type="http://schemas.openxmlformats.org/officeDocument/2006/relationships/image" Target="media/image10.emf"/><Relationship Id="rId23" Type="http://schemas.openxmlformats.org/officeDocument/2006/relationships/oleObject" Target="embeddings/oleObject3.bin"/><Relationship Id="rId22" Type="http://schemas.openxmlformats.org/officeDocument/2006/relationships/image" Target="media/image9.png"/><Relationship Id="rId21" Type="http://schemas.openxmlformats.org/officeDocument/2006/relationships/image" Target="media/image8.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emf"/><Relationship Id="rId17" Type="http://schemas.openxmlformats.org/officeDocument/2006/relationships/oleObject" Target="embeddings/oleObject1.bin"/><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9" Type="http://schemas.microsoft.com/office/2011/relationships/people" Target="people.xml"/><Relationship Id="rId108" Type="http://schemas.openxmlformats.org/officeDocument/2006/relationships/fontTable" Target="fontTable.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66.png"/><Relationship Id="rId104" Type="http://schemas.openxmlformats.org/officeDocument/2006/relationships/image" Target="media/image65.png"/><Relationship Id="rId103" Type="http://schemas.openxmlformats.org/officeDocument/2006/relationships/image" Target="media/image64.png"/><Relationship Id="rId102" Type="http://schemas.openxmlformats.org/officeDocument/2006/relationships/image" Target="media/image63.png"/><Relationship Id="rId101" Type="http://schemas.openxmlformats.org/officeDocument/2006/relationships/image" Target="media/image62.png"/><Relationship Id="rId100" Type="http://schemas.openxmlformats.org/officeDocument/2006/relationships/image" Target="media/image61.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237</Pages>
  <Words>121235</Words>
  <Characters>150175</Characters>
  <Lines>0</Lines>
  <Paragraphs>0</Paragraphs>
  <TotalTime>0</TotalTime>
  <ScaleCrop>false</ScaleCrop>
  <LinksUpToDate>false</LinksUpToDate>
  <CharactersWithSpaces>153536</CharactersWithSpaces>
  <Application>WPS Office_3.1.1.4956_F1E327BC-269C-435d-A152-05C5408002CA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2020-05-25T14:15:00Z</dcterms:created>
  <dc:creator>QR</dc:creator>
  <cp:lastModifiedBy>huchen</cp:lastModifiedBy>
  <cp:lastPrinted>2021-02-03T14:00:00Z</cp:lastPrinted>
  <dcterms:modified xsi:type="dcterms:W3CDTF">2021-01-12T10:48:43Z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